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left"/>
        <w:rPr>
          <w:rFonts w:ascii="方正小标宋简体" w:eastAsia="方正小标宋简体" w:cs="方正小标宋简体"/>
          <w:color w:val="FF0000"/>
          <w:spacing w:val="-8"/>
          <w:w w:val="40"/>
          <w:sz w:val="110"/>
          <w:szCs w:val="110"/>
        </w:rPr>
      </w:pPr>
    </w:p>
    <w:p>
      <w:pPr>
        <w:spacing w:line="1200" w:lineRule="exact"/>
        <w:jc w:val="center"/>
        <w:rPr>
          <w:rFonts w:hint="eastAsia" w:ascii="方正小标宋简体" w:eastAsia="方正小标宋简体" w:cs="方正小标宋简体"/>
          <w:color w:val="FF0000"/>
          <w:spacing w:val="-8"/>
          <w:w w:val="45"/>
          <w:sz w:val="110"/>
          <w:szCs w:val="110"/>
        </w:rPr>
      </w:pPr>
      <w:r>
        <w:rPr>
          <w:rFonts w:hint="eastAsia" w:ascii="方正小标宋简体" w:eastAsia="方正小标宋简体" w:cs="方正小标宋简体"/>
          <w:color w:val="FF0000"/>
          <w:spacing w:val="-8"/>
          <w:w w:val="45"/>
          <w:sz w:val="110"/>
          <w:szCs w:val="110"/>
        </w:rPr>
        <w:t>中共临泽县委全面依法治县委员会办公室</w:t>
      </w:r>
    </w:p>
    <w:p>
      <w:pPr>
        <w:spacing w:line="1200" w:lineRule="exact"/>
        <w:jc w:val="center"/>
        <w:rPr>
          <w:rFonts w:hint="default" w:ascii="仿宋_GB2312" w:hAnsi="仿宋_GB2312" w:eastAsia="仿宋_GB2312" w:cs="仿宋_GB2312"/>
          <w:sz w:val="32"/>
          <w:szCs w:val="32"/>
          <w:lang w:val="en-US"/>
        </w:rPr>
      </w:pPr>
      <w:r>
        <w:rPr>
          <w:rFonts w:ascii="仿宋_GB2312" w:hAnsi="仿宋_GB2312" w:eastAsia="仿宋_GB2312" w:cs="仿宋_GB2312"/>
          <w:sz w:val="32"/>
          <w:szCs w:val="32"/>
        </w:rPr>
        <w:pict>
          <v:shape id="_x0000_s1029" o:spid="_x0000_s1029" o:spt="202" type="#_x0000_t202" style="position:absolute;left:0pt;margin-left:193.5pt;margin-top:50.1pt;height:37.95pt;width:36pt;z-index:251659264;mso-width-relative:page;mso-height-relative:page;" filled="f" stroked="f" coordsize="21600,21600" o:gfxdata="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mii&#10;7dcAAAALAQAADwAAAAAAAAABACAAAAAiAAAAZHJzL2Rvd25yZXYueG1sUEsBAhQAFAAAAAgAh07i&#10;QPFS+9OxAQAAWwMAAA4AAAAAAAAAAQAgAAAAJgEAAGRycy9lMm9Eb2MueG1sUEsFBgAAAAAGAAYA&#10;WQEAAEkFAAAAAA==&#10;">
            <v:path/>
            <v:fill on="f" focussize="0,0"/>
            <v:stroke on="f" joinstyle="miter"/>
            <v:imagedata o:title=""/>
            <o:lock v:ext="edit"/>
            <v:textbox>
              <w:txbxContent>
                <w:p>
                  <w:pPr>
                    <w:rPr>
                      <w:rFonts w:eastAsia="Times New Roman" w:cs="Calibri"/>
                      <w:color w:val="FF0000"/>
                      <w:sz w:val="44"/>
                      <w:szCs w:val="44"/>
                    </w:rPr>
                  </w:pPr>
                  <w:r>
                    <w:rPr>
                      <w:rFonts w:hint="eastAsia" w:ascii="宋体" w:hAnsi="宋体"/>
                      <w:color w:val="FF0000"/>
                      <w:sz w:val="44"/>
                      <w:szCs w:val="44"/>
                    </w:rPr>
                    <w:t xml:space="preserve">★    </w:t>
                  </w:r>
                </w:p>
              </w:txbxContent>
            </v:textbox>
          </v:shape>
        </w:pict>
      </w:r>
      <w:r>
        <w:rPr>
          <w:rFonts w:hint="eastAsia" w:ascii="仿宋_GB2312" w:hAnsi="仿宋_GB2312" w:eastAsia="仿宋_GB2312" w:cs="仿宋_GB2312"/>
          <w:sz w:val="32"/>
          <w:szCs w:val="32"/>
          <w:lang w:eastAsia="zh-CN"/>
        </w:rPr>
        <w:t>县委法治办〔</w:t>
      </w:r>
      <w:r>
        <w:rPr>
          <w:rFonts w:hint="eastAsia" w:ascii="仿宋_GB2312" w:hAnsi="仿宋_GB2312" w:eastAsia="仿宋_GB2312" w:cs="仿宋_GB2312"/>
          <w:sz w:val="32"/>
          <w:szCs w:val="32"/>
          <w:lang w:val="en-US" w:eastAsia="zh-CN"/>
        </w:rPr>
        <w:t>2023〕34号</w:t>
      </w:r>
    </w:p>
    <w:p>
      <w:pPr>
        <w:spacing w:line="60" w:lineRule="exact"/>
        <w:jc w:val="center"/>
        <w:rPr>
          <w:rFonts w:cs="仿宋_GB2312"/>
          <w:sz w:val="32"/>
          <w:szCs w:val="32"/>
        </w:rPr>
      </w:pPr>
    </w:p>
    <w:p>
      <w:pPr>
        <w:spacing w:line="200" w:lineRule="exact"/>
        <w:rPr>
          <w:rFonts w:ascii="仿宋_GB2312" w:hAnsi="����"/>
          <w:color w:val="000000"/>
          <w:sz w:val="32"/>
          <w:szCs w:val="32"/>
        </w:rPr>
      </w:pPr>
      <w:r>
        <w:rPr>
          <w:rFonts w:ascii="仿宋_GB2312" w:hAnsi="微软雅黑" w:eastAsia="仿宋_GB2312" w:cs="仿宋_GB2312"/>
          <w:color w:val="666666"/>
          <w:kern w:val="0"/>
          <w:sz w:val="32"/>
          <w:szCs w:val="32"/>
          <w:u w:val="thick" w:color="FF0000"/>
        </w:rPr>
        <w:t xml:space="preserve">                         </w:t>
      </w:r>
      <w:r>
        <w:rPr>
          <w:rFonts w:ascii="仿宋_GB2312" w:hAnsi="微软雅黑" w:eastAsia="仿宋_GB2312" w:cs="仿宋_GB2312"/>
          <w:color w:val="666666"/>
          <w:kern w:val="0"/>
          <w:sz w:val="32"/>
          <w:szCs w:val="32"/>
        </w:rPr>
        <w:t xml:space="preserve">   </w:t>
      </w:r>
      <w:r>
        <w:rPr>
          <w:rFonts w:ascii="仿宋_GB2312" w:hAnsi="微软雅黑" w:eastAsia="仿宋_GB2312" w:cs="仿宋_GB2312"/>
          <w:color w:val="666666"/>
          <w:kern w:val="0"/>
          <w:sz w:val="32"/>
          <w:szCs w:val="32"/>
          <w:u w:val="thick" w:color="FF0000"/>
        </w:rPr>
        <w:t xml:space="preserve">                                         </w:t>
      </w:r>
      <w:r>
        <w:rPr>
          <w:rFonts w:ascii="仿宋_GB2312" w:hAnsi="微软雅黑" w:eastAsia="仿宋_GB2312" w:cs="仿宋_GB2312"/>
          <w:color w:val="666666"/>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s="黑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s="黑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中共临泽县委全面依法治县委员会办公室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关于报送全面推行行政柔性执法</w:t>
      </w:r>
    </w:p>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ascii="方正小标宋简体" w:hAnsi="黑体" w:eastAsia="方正小标宋简体" w:cs="黑体"/>
          <w:sz w:val="44"/>
          <w:szCs w:val="44"/>
        </w:rPr>
        <w:t>优化法治化营商环境工作情况的通知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黑体" w:eastAsia="仿宋_GB2312" w:cs="Arial"/>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cs="Arial"/>
          <w:kern w:val="0"/>
          <w:sz w:val="32"/>
          <w:szCs w:val="32"/>
        </w:rPr>
      </w:pPr>
      <w:r>
        <w:rPr>
          <w:rFonts w:hint="eastAsia" w:ascii="仿宋_GB2312" w:hAnsi="黑体" w:eastAsia="仿宋_GB2312" w:cs="Arial"/>
          <w:kern w:val="0"/>
          <w:sz w:val="32"/>
          <w:szCs w:val="32"/>
          <w:lang w:eastAsia="zh-CN"/>
        </w:rPr>
        <w:t>县政府各行政执法部门、县属及省市驻临有关单位</w:t>
      </w:r>
      <w:r>
        <w:rPr>
          <w:rFonts w:hint="eastAsia" w:ascii="仿宋_GB2312" w:hAnsi="黑体" w:eastAsia="仿宋_GB2312" w:cs="Arial"/>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1134" w:right="1418" w:bottom="1134" w:left="1417" w:header="851" w:footer="850" w:gutter="0"/>
          <w:pgNumType w:fmt="numberInDash" w:start="1"/>
          <w:cols w:space="425" w:num="1"/>
          <w:docGrid w:type="lines" w:linePitch="312" w:charSpace="0"/>
        </w:sect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市司法局《关于报送全面推行行政柔性执法优化法治化营商环境工作情况的通知》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请各有关部门单位（附件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）对照中共临泽县委全面依法治县委员会办公室《关于分解落实市人大常委会行政柔性执法优化法治营商环境审议意见工作任务的通知》（</w:t>
      </w:r>
      <w:r>
        <w:rPr>
          <w:rFonts w:hint="eastAsia" w:ascii="仿宋_GB2312" w:eastAsia="仿宋_GB2312"/>
          <w:color w:val="000000"/>
          <w:sz w:val="32"/>
          <w:szCs w:val="32"/>
        </w:rPr>
        <w:t>县委法治办〔2022〕48号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《关于对市人民政府＜关于全市推行行政柔性执法优化法治营商环境工作情况的报告＞的审议意见》工作任务分解表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工作任务内容，认真梳理本单位全面推行行政柔性执法、优化法治化营商环境工作落实情况，总结成熟经验和有益做法，发现薄弱环节和突出问题，及时查漏补缺形成工作情况报告（包括主要做法及成效、存在问题及下一步工作措施），填报</w:t>
      </w:r>
      <w:r>
        <w:rPr>
          <w:rFonts w:hint="eastAsia" w:ascii="仿宋_GB2312" w:hAnsi="仿宋_GB2312" w:eastAsia="仿宋_GB2312" w:cs="仿宋_GB2312"/>
          <w:sz w:val="32"/>
          <w:szCs w:val="32"/>
        </w:rPr>
        <w:t>《制定“两轻一免”清单情况统计表》（附件2）、《实施行政柔性执法和“两轻一免”情况统计表》（附件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，做到总结报告要客观全面，数据统计要真实准确。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sz w:val="32"/>
          <w:szCs w:val="32"/>
          <w:lang w:eastAsia="zh-CN"/>
        </w:rPr>
        <w:t>各相关部门单位工作情况报告及</w:t>
      </w:r>
      <w:r>
        <w:rPr>
          <w:rFonts w:hint="eastAsia" w:ascii="仿宋_GB2312" w:hAnsi="仿宋_GB2312" w:eastAsia="仿宋_GB2312" w:cs="仿宋_GB2312"/>
          <w:sz w:val="32"/>
          <w:szCs w:val="32"/>
          <w:lang w:val="en-US" w:eastAsia="zh-CN"/>
        </w:rPr>
        <w:t>统计表</w:t>
      </w:r>
      <w:r>
        <w:rPr>
          <w:rFonts w:hint="eastAsia" w:ascii="仿宋_GB2312" w:hAnsi="仿宋_GB2312" w:eastAsia="仿宋_GB2312" w:cs="仿宋_GB2312"/>
          <w:sz w:val="32"/>
          <w:szCs w:val="32"/>
        </w:rPr>
        <w:t>经单位负责人审核签字并加盖公章后于8月2日</w:t>
      </w:r>
      <w:r>
        <w:rPr>
          <w:rFonts w:hint="eastAsia" w:ascii="仿宋_GB2312" w:hAnsi="仿宋_GB2312" w:eastAsia="仿宋_GB2312" w:cs="仿宋_GB2312"/>
          <w:sz w:val="32"/>
          <w:szCs w:val="32"/>
          <w:lang w:eastAsia="zh-CN"/>
        </w:rPr>
        <w:t>（星期三）</w:t>
      </w:r>
      <w:r>
        <w:rPr>
          <w:rFonts w:hint="eastAsia" w:ascii="仿宋_GB2312" w:hAnsi="仿宋_GB2312" w:eastAsia="仿宋_GB2312" w:cs="仿宋_GB2312"/>
          <w:sz w:val="32"/>
          <w:szCs w:val="32"/>
        </w:rPr>
        <w:t>前报县司法局</w:t>
      </w:r>
      <w:r>
        <w:rPr>
          <w:rFonts w:hint="eastAsia" w:ascii="仿宋_GB2312" w:hAnsi="仿宋_GB2312" w:eastAsia="仿宋_GB2312" w:cs="仿宋_GB2312"/>
          <w:sz w:val="32"/>
          <w:szCs w:val="32"/>
          <w:lang w:eastAsia="zh-CN"/>
        </w:rPr>
        <w:t>（公安大厦</w:t>
      </w:r>
      <w:r>
        <w:rPr>
          <w:rFonts w:hint="eastAsia" w:ascii="仿宋_GB2312" w:hAnsi="仿宋_GB2312" w:eastAsia="仿宋_GB2312" w:cs="仿宋_GB2312"/>
          <w:sz w:val="32"/>
          <w:szCs w:val="32"/>
          <w:lang w:val="en-US" w:eastAsia="zh-CN"/>
        </w:rPr>
        <w:t>1215室</w:t>
      </w:r>
      <w:r>
        <w:rPr>
          <w:rFonts w:hint="eastAsia" w:ascii="仿宋_GB2312" w:hAnsi="仿宋_GB2312" w:eastAsia="仿宋_GB2312" w:cs="仿宋_GB2312"/>
          <w:sz w:val="32"/>
          <w:szCs w:val="32"/>
          <w:lang w:eastAsia="zh-CN"/>
        </w:rPr>
        <w:t>），同时报送电子版</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联系人：吴  江  5953633   13993608987（钉钉同号）</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1918" w:leftChars="304"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附件：1.《关于对市人民政府＜关于全市推行行政柔性执法优化法治营商环境工作情况的报告＞的审议意见》工作任务分解表 </w:t>
      </w:r>
    </w:p>
    <w:p>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制定“两轻一免”清单情况统计表</w:t>
      </w:r>
      <w:r>
        <w:rPr>
          <w:rFonts w:hint="eastAsia" w:ascii="仿宋_GB2312" w:hAnsi="仿宋_GB2312" w:eastAsia="仿宋_GB2312" w:cs="仿宋_GB2312"/>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实施行政柔性执法和“两轻一免”情况统计表</w:t>
      </w:r>
      <w:r>
        <w:rPr>
          <w:rFonts w:hint="eastAsia" w:ascii="仿宋_GB2312" w:hAnsi="仿宋_GB2312" w:eastAsia="仿宋_GB2312" w:cs="仿宋_GB2312"/>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报送部门</w:t>
      </w:r>
      <w:r>
        <w:rPr>
          <w:rFonts w:hint="eastAsia" w:ascii="仿宋_GB2312" w:hAnsi="仿宋_GB2312" w:eastAsia="仿宋_GB2312" w:cs="仿宋_GB2312"/>
          <w:sz w:val="32"/>
          <w:szCs w:val="32"/>
        </w:rPr>
        <w:t>单位</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2156" w:firstLineChars="7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中共临泽县委全面依法治县委员会办公室</w:t>
      </w:r>
    </w:p>
    <w:p>
      <w:pPr>
        <w:keepNext w:val="0"/>
        <w:keepLines w:val="0"/>
        <w:pageBreakBefore w:val="0"/>
        <w:widowControl/>
        <w:kinsoku/>
        <w:wordWrap/>
        <w:overflowPunct/>
        <w:topLinePunct w:val="0"/>
        <w:autoSpaceDE/>
        <w:autoSpaceDN/>
        <w:bidi w:val="0"/>
        <w:adjustRightInd/>
        <w:snapToGrid/>
        <w:spacing w:line="560" w:lineRule="exact"/>
        <w:ind w:firstLine="3520" w:firstLineChars="1100"/>
        <w:textAlignment w:val="auto"/>
        <w:rPr>
          <w:rFonts w:hint="eastAsia" w:ascii="仿宋_GB2312" w:hAnsi="黑体" w:eastAsia="仿宋_GB2312" w:cs="Arial"/>
          <w:kern w:val="0"/>
          <w:sz w:val="32"/>
          <w:szCs w:val="32"/>
        </w:rPr>
      </w:pPr>
      <w:r>
        <w:rPr>
          <w:rFonts w:hint="eastAsia" w:ascii="仿宋_GB2312" w:hAnsi="黑体" w:eastAsia="仿宋_GB2312" w:cs="Arial"/>
          <w:kern w:val="0"/>
          <w:sz w:val="32"/>
          <w:szCs w:val="32"/>
        </w:rPr>
        <w:t>2023年7月31日</w:t>
      </w:r>
    </w:p>
    <w:p>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
          <w:kern w:val="2"/>
          <w:sz w:val="28"/>
          <w:szCs w:val="28"/>
        </w:rPr>
      </w:pPr>
      <w:r>
        <w:rPr>
          <w:color w:val="FFFFFF"/>
        </w:rPr>
        <w:pict>
          <v:line id="直接连接符 3" o:spid="_x0000_s1030" o:spt="20" style="position:absolute;left:0pt;margin-left:16.1pt;margin-top:30.35pt;height:2.25pt;width:426pt;z-index:251662336;mso-width-relative:page;mso-height-relative:page;" filled="f" stroked="t" coordsize="21600,21600" o:gfxdata="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FmSi1AAAAAcBAAAPAAAAAAAAAAEAIAAAACIAAABkcnMvZG93bnJldi54bWxQ&#10;SwECFAAUAAAACACHTuJAX41ZpfsBAAD2AwAADgAAAAAAAAABACAAAAAjAQAAZHJzL2Uyb0RvYy54&#10;bWxQSwUGAAAAAAYABgBZAQAAkAUAAAAA&#10;">
            <v:path arrowok="t"/>
            <v:fill on="f" focussize="0,0"/>
            <v:stroke weight="0.6pt" color="#000000" joinstyle="round"/>
            <v:imagedata o:title=""/>
            <o:lock v:ext="edit" aspectratio="f"/>
          </v:line>
        </w:pict>
      </w:r>
      <w:r>
        <w:rPr>
          <w:color w:val="FFFFFF"/>
        </w:rPr>
        <w:pict>
          <v:line id="直接连接符 6" o:spid="_x0000_s1031" o:spt="20" style="position:absolute;left:0pt;margin-left:16.7pt;margin-top:1.1pt;height:2.25pt;width:426pt;z-index:251663360;mso-width-relative:page;mso-height-relative:page;" filled="f" stroked="t" coordsize="21600,21600" o:gfxdata="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oOGF0QAAAAQBAAAPAAAAAAAAAAEAIAAAACIAAABkcnMvZG93bnJldi54bWxQSwEC&#10;FAAUAAAACACHTuJAFKiPefsBAAD2AwAADgAAAAAAAAABACAAAAAgAQAAZHJzL2Uyb0RvYy54bWxQ&#10;SwUGAAAAAAYABgBZAQAAjQUAAAAA&#10;">
            <v:path arrowok="t"/>
            <v:fill on="f" focussize="0,0"/>
            <v:stroke weight="0.6pt" color="#000000" joinstyle="round"/>
            <v:imagedata o:title=""/>
            <o:lock v:ext="edit" aspectratio="f"/>
          </v:line>
        </w:pict>
      </w:r>
      <w:r>
        <w:rPr>
          <w:rFonts w:hint="eastAsia" w:hAnsi="仿宋_GB2312" w:cs="仿宋_GB2312"/>
          <w:color w:val="FFFFFF"/>
          <w:kern w:val="2"/>
          <w:sz w:val="28"/>
          <w:szCs w:val="28"/>
          <w:lang w:val="en-US" w:eastAsia="zh-CN"/>
        </w:rPr>
        <w:t xml:space="preserve">B  </w:t>
      </w:r>
      <w:r>
        <w:rPr>
          <w:rFonts w:hint="eastAsia" w:ascii="仿宋_GB2312" w:hAnsi="仿宋_GB2312" w:eastAsia="仿宋_GB2312" w:cs="仿宋_GB2312"/>
          <w:color w:val="auto"/>
          <w:spacing w:val="-6"/>
          <w:kern w:val="2"/>
          <w:sz w:val="28"/>
          <w:szCs w:val="28"/>
        </w:rPr>
        <w:t>中共临泽县委全面依法治县委员会办公室</w:t>
      </w:r>
      <w:r>
        <w:rPr>
          <w:rFonts w:ascii="仿宋_GB2312" w:hAnsi="仿宋_GB2312" w:eastAsia="仿宋_GB2312" w:cs="仿宋_GB2312"/>
          <w:color w:val="auto"/>
          <w:spacing w:val="-6"/>
          <w:kern w:val="2"/>
          <w:sz w:val="28"/>
          <w:szCs w:val="28"/>
        </w:rPr>
        <w:t xml:space="preserve">  </w:t>
      </w:r>
      <w:r>
        <w:rPr>
          <w:rFonts w:hint="eastAsia" w:hAnsi="仿宋_GB2312" w:cs="仿宋_GB2312"/>
          <w:color w:val="auto"/>
          <w:spacing w:val="-6"/>
          <w:kern w:val="2"/>
          <w:sz w:val="28"/>
          <w:szCs w:val="28"/>
          <w:lang w:val="en-US" w:eastAsia="zh-CN"/>
        </w:rPr>
        <w:t xml:space="preserve">    </w:t>
      </w:r>
      <w:r>
        <w:rPr>
          <w:rFonts w:ascii="仿宋_GB2312" w:hAnsi="仿宋_GB2312" w:eastAsia="仿宋_GB2312" w:cs="仿宋_GB2312"/>
          <w:color w:val="auto"/>
          <w:spacing w:val="-6"/>
          <w:kern w:val="2"/>
          <w:sz w:val="28"/>
          <w:szCs w:val="28"/>
        </w:rPr>
        <w:t>202</w:t>
      </w:r>
      <w:r>
        <w:rPr>
          <w:rFonts w:hint="eastAsia" w:ascii="仿宋_GB2312" w:hAnsi="仿宋_GB2312" w:eastAsia="仿宋_GB2312" w:cs="仿宋_GB2312"/>
          <w:color w:val="auto"/>
          <w:spacing w:val="-6"/>
          <w:kern w:val="2"/>
          <w:sz w:val="28"/>
          <w:szCs w:val="28"/>
          <w:lang w:val="en-US" w:eastAsia="zh-CN"/>
        </w:rPr>
        <w:t>3</w:t>
      </w:r>
      <w:r>
        <w:rPr>
          <w:rFonts w:hint="eastAsia" w:ascii="仿宋_GB2312" w:hAnsi="仿宋_GB2312" w:eastAsia="仿宋_GB2312" w:cs="仿宋_GB2312"/>
          <w:color w:val="auto"/>
          <w:spacing w:val="-6"/>
          <w:kern w:val="2"/>
          <w:sz w:val="28"/>
          <w:szCs w:val="28"/>
        </w:rPr>
        <w:t>年</w:t>
      </w:r>
      <w:r>
        <w:rPr>
          <w:rFonts w:hint="eastAsia" w:ascii="仿宋_GB2312" w:hAnsi="仿宋_GB2312" w:eastAsia="仿宋_GB2312" w:cs="仿宋_GB2312"/>
          <w:color w:val="auto"/>
          <w:spacing w:val="-6"/>
          <w:kern w:val="2"/>
          <w:sz w:val="28"/>
          <w:szCs w:val="28"/>
          <w:lang w:val="en-US" w:eastAsia="zh-CN"/>
        </w:rPr>
        <w:t>7</w:t>
      </w:r>
      <w:r>
        <w:rPr>
          <w:rFonts w:hint="eastAsia" w:ascii="仿宋_GB2312" w:hAnsi="仿宋_GB2312" w:eastAsia="仿宋_GB2312" w:cs="仿宋_GB2312"/>
          <w:color w:val="auto"/>
          <w:spacing w:val="-6"/>
          <w:kern w:val="2"/>
          <w:sz w:val="28"/>
          <w:szCs w:val="28"/>
        </w:rPr>
        <w:t>月</w:t>
      </w:r>
      <w:r>
        <w:rPr>
          <w:rFonts w:hint="eastAsia" w:ascii="仿宋_GB2312" w:hAnsi="仿宋_GB2312" w:eastAsia="仿宋_GB2312" w:cs="仿宋_GB2312"/>
          <w:color w:val="auto"/>
          <w:spacing w:val="-6"/>
          <w:kern w:val="2"/>
          <w:sz w:val="28"/>
          <w:szCs w:val="28"/>
          <w:lang w:val="en-US" w:eastAsia="zh-CN"/>
        </w:rPr>
        <w:t>31</w:t>
      </w:r>
      <w:r>
        <w:rPr>
          <w:rFonts w:hint="eastAsia" w:ascii="仿宋_GB2312" w:hAnsi="仿宋_GB2312" w:eastAsia="仿宋_GB2312" w:cs="仿宋_GB2312"/>
          <w:color w:val="auto"/>
          <w:spacing w:val="-6"/>
          <w:kern w:val="2"/>
          <w:sz w:val="28"/>
          <w:szCs w:val="28"/>
        </w:rPr>
        <w:t>日印发</w:t>
      </w:r>
    </w:p>
    <w:p>
      <w:pPr>
        <w:pStyle w:val="3"/>
        <w:sectPr>
          <w:footerReference r:id="rId4" w:type="default"/>
          <w:pgSz w:w="11906" w:h="16838"/>
          <w:pgMar w:top="1134" w:right="1418" w:bottom="1134" w:left="1417" w:header="851" w:footer="850" w:gutter="0"/>
          <w:pgNumType w:fmt="numberInDash" w:start="2"/>
          <w:cols w:space="425" w:num="1"/>
          <w:docGrid w:type="lines" w:linePitch="312" w:charSpace="0"/>
        </w:sectPr>
      </w:pPr>
    </w:p>
    <w:p>
      <w:pPr>
        <w:spacing w:line="587" w:lineRule="exact"/>
        <w:rPr>
          <w:rFonts w:ascii="黑体" w:hAnsi="黑体" w:eastAsia="黑体" w:cs="仿宋_GB2312"/>
          <w:sz w:val="32"/>
          <w:szCs w:val="32"/>
        </w:rPr>
      </w:pPr>
      <w:r>
        <w:rPr>
          <w:rFonts w:hint="eastAsia" w:ascii="黑体" w:hAnsi="黑体" w:eastAsia="黑体" w:cs="仿宋_GB2312"/>
          <w:sz w:val="32"/>
          <w:szCs w:val="32"/>
        </w:rPr>
        <w:t>附件1</w:t>
      </w:r>
    </w:p>
    <w:p>
      <w:pPr>
        <w:spacing w:line="587"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《关于对市人民政府＜关于全市推行行政柔性执法优化法治营商环境</w:t>
      </w:r>
    </w:p>
    <w:p>
      <w:pPr>
        <w:spacing w:line="587"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工作情况的报告＞的审议意见》工作任务分解表</w:t>
      </w:r>
    </w:p>
    <w:p>
      <w:pPr>
        <w:spacing w:line="400" w:lineRule="exact"/>
        <w:rPr>
          <w:rFonts w:ascii="仿宋_GB2312" w:hAnsi="仿宋_GB2312" w:eastAsia="仿宋_GB2312" w:cs="仿宋_GB2312"/>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553"/>
        <w:gridCol w:w="605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87" w:lineRule="exact"/>
              <w:jc w:val="center"/>
              <w:rPr>
                <w:rFonts w:ascii="仿宋_GB2312" w:hAnsi="仿宋_GB2312" w:eastAsia="仿宋_GB2312" w:cs="仿宋_GB2312"/>
                <w:b/>
                <w:sz w:val="28"/>
                <w:szCs w:val="28"/>
              </w:rPr>
            </w:pPr>
            <w:r>
              <w:rPr>
                <w:rFonts w:hint="eastAsia" w:ascii="仿宋_GB2312" w:eastAsia="仿宋_GB2312"/>
                <w:b/>
                <w:sz w:val="28"/>
                <w:szCs w:val="28"/>
              </w:rPr>
              <w:t>序号</w:t>
            </w:r>
          </w:p>
        </w:tc>
        <w:tc>
          <w:tcPr>
            <w:tcW w:w="3563" w:type="dxa"/>
            <w:vAlign w:val="center"/>
          </w:tcPr>
          <w:p>
            <w:pPr>
              <w:spacing w:line="587" w:lineRule="exact"/>
              <w:jc w:val="center"/>
              <w:rPr>
                <w:rFonts w:ascii="仿宋_GB2312" w:hAnsi="仿宋_GB2312" w:eastAsia="仿宋_GB2312" w:cs="仿宋_GB2312"/>
                <w:b/>
                <w:sz w:val="28"/>
                <w:szCs w:val="28"/>
              </w:rPr>
            </w:pPr>
            <w:r>
              <w:rPr>
                <w:rFonts w:hint="eastAsia" w:ascii="仿宋_GB2312" w:eastAsia="仿宋_GB2312"/>
                <w:b/>
                <w:sz w:val="28"/>
                <w:szCs w:val="28"/>
              </w:rPr>
              <w:t>审议意见</w:t>
            </w:r>
          </w:p>
        </w:tc>
        <w:tc>
          <w:tcPr>
            <w:tcW w:w="6076" w:type="dxa"/>
            <w:vAlign w:val="center"/>
          </w:tcPr>
          <w:p>
            <w:pPr>
              <w:spacing w:line="587" w:lineRule="exact"/>
              <w:jc w:val="center"/>
              <w:rPr>
                <w:rFonts w:ascii="仿宋_GB2312" w:hAnsi="仿宋_GB2312" w:eastAsia="仿宋_GB2312" w:cs="仿宋_GB2312"/>
                <w:b/>
                <w:sz w:val="28"/>
                <w:szCs w:val="28"/>
              </w:rPr>
            </w:pPr>
            <w:r>
              <w:rPr>
                <w:rFonts w:hint="eastAsia" w:ascii="仿宋_GB2312" w:eastAsia="仿宋_GB2312"/>
                <w:b/>
                <w:sz w:val="28"/>
                <w:szCs w:val="28"/>
              </w:rPr>
              <w:t>工  作  任  务</w:t>
            </w:r>
          </w:p>
        </w:tc>
        <w:tc>
          <w:tcPr>
            <w:tcW w:w="2552" w:type="dxa"/>
            <w:vAlign w:val="center"/>
          </w:tcPr>
          <w:p>
            <w:pPr>
              <w:spacing w:line="587" w:lineRule="exact"/>
              <w:jc w:val="center"/>
              <w:rPr>
                <w:rFonts w:ascii="仿宋_GB2312" w:hAnsi="仿宋_GB2312" w:eastAsia="仿宋_GB2312" w:cs="仿宋_GB2312"/>
                <w:b/>
                <w:sz w:val="28"/>
                <w:szCs w:val="28"/>
              </w:rPr>
            </w:pPr>
            <w:r>
              <w:rPr>
                <w:rFonts w:hint="eastAsia" w:ascii="仿宋_GB2312" w:eastAsia="仿宋_GB2312"/>
                <w:b/>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87" w:lineRule="exac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3563" w:type="dxa"/>
            <w:vMerge w:val="restart"/>
            <w:vAlign w:val="center"/>
          </w:tcPr>
          <w:p>
            <w:pPr>
              <w:spacing w:line="320" w:lineRule="exact"/>
              <w:rPr>
                <w:rFonts w:cs="仿宋_GB2312" w:asciiTheme="minorEastAsia" w:hAnsiTheme="minorEastAsia"/>
                <w:sz w:val="24"/>
                <w:szCs w:val="24"/>
              </w:rPr>
            </w:pPr>
            <w:r>
              <w:rPr>
                <w:rFonts w:hint="eastAsia" w:asciiTheme="minorEastAsia" w:hAnsiTheme="minorEastAsia"/>
                <w:sz w:val="24"/>
                <w:szCs w:val="24"/>
              </w:rPr>
              <w:t>一、提高思想认识，切实增强柔性执法主动性</w:t>
            </w:r>
          </w:p>
        </w:tc>
        <w:tc>
          <w:tcPr>
            <w:tcW w:w="6076" w:type="dxa"/>
          </w:tcPr>
          <w:p>
            <w:pPr>
              <w:spacing w:line="320" w:lineRule="exact"/>
              <w:rPr>
                <w:rFonts w:cs="仿宋_GB2312" w:asciiTheme="minorEastAsia" w:hAnsiTheme="minorEastAsia"/>
                <w:sz w:val="24"/>
                <w:szCs w:val="24"/>
              </w:rPr>
            </w:pPr>
            <w:r>
              <w:rPr>
                <w:rFonts w:hint="eastAsia" w:asciiTheme="minorEastAsia" w:hAnsiTheme="minorEastAsia"/>
                <w:sz w:val="24"/>
                <w:szCs w:val="24"/>
              </w:rPr>
              <w:t>全面贯彻落实好党的二十大精神，切实提高政治站位，深刻认识全面推行行政柔性执法是营造法治营商环境、推进法治政府建设、激发市场活力的有益探索。</w:t>
            </w:r>
          </w:p>
        </w:tc>
        <w:tc>
          <w:tcPr>
            <w:tcW w:w="2552" w:type="dxa"/>
            <w:vAlign w:val="center"/>
          </w:tcPr>
          <w:p>
            <w:pPr>
              <w:jc w:val="center"/>
              <w:rPr>
                <w:rFonts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87" w:lineRule="exac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3563" w:type="dxa"/>
            <w:vMerge w:val="continue"/>
            <w:vAlign w:val="center"/>
          </w:tcPr>
          <w:p>
            <w:pPr>
              <w:spacing w:line="320" w:lineRule="exact"/>
              <w:rPr>
                <w:rFonts w:cs="仿宋_GB2312" w:asciiTheme="minorEastAsia" w:hAnsiTheme="minorEastAsia"/>
                <w:sz w:val="24"/>
                <w:szCs w:val="24"/>
              </w:rPr>
            </w:pPr>
          </w:p>
        </w:tc>
        <w:tc>
          <w:tcPr>
            <w:tcW w:w="6076" w:type="dxa"/>
          </w:tcPr>
          <w:p>
            <w:pPr>
              <w:spacing w:line="320" w:lineRule="exact"/>
              <w:rPr>
                <w:rFonts w:cs="仿宋_GB2312" w:asciiTheme="minorEastAsia" w:hAnsiTheme="minorEastAsia"/>
                <w:sz w:val="24"/>
                <w:szCs w:val="24"/>
              </w:rPr>
            </w:pPr>
            <w:r>
              <w:rPr>
                <w:rFonts w:hint="eastAsia" w:asciiTheme="minorEastAsia" w:hAnsiTheme="minorEastAsia"/>
                <w:sz w:val="24"/>
                <w:szCs w:val="24"/>
              </w:rPr>
              <w:t xml:space="preserve">按照省、市县法治营商环境工作安排部署，不断探索拓展柔性执法的有效途径和方法，切实增强全面推行行政柔性执法的自觉性、主动性。 </w:t>
            </w:r>
          </w:p>
        </w:tc>
        <w:tc>
          <w:tcPr>
            <w:tcW w:w="2552" w:type="dxa"/>
            <w:vAlign w:val="center"/>
          </w:tcPr>
          <w:p>
            <w:pPr>
              <w:spacing w:line="587" w:lineRule="exact"/>
              <w:jc w:val="center"/>
              <w:rPr>
                <w:rFonts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87" w:lineRule="exac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3563" w:type="dxa"/>
            <w:vMerge w:val="continue"/>
            <w:vAlign w:val="center"/>
          </w:tcPr>
          <w:p>
            <w:pPr>
              <w:spacing w:line="320" w:lineRule="exact"/>
              <w:rPr>
                <w:rFonts w:cs="仿宋_GB2312" w:asciiTheme="minorEastAsia" w:hAnsiTheme="minorEastAsia"/>
                <w:sz w:val="24"/>
                <w:szCs w:val="24"/>
              </w:rPr>
            </w:pPr>
          </w:p>
        </w:tc>
        <w:tc>
          <w:tcPr>
            <w:tcW w:w="6076" w:type="dxa"/>
          </w:tcPr>
          <w:p>
            <w:pPr>
              <w:spacing w:line="320" w:lineRule="exact"/>
              <w:rPr>
                <w:rFonts w:cs="仿宋_GB2312" w:asciiTheme="minorEastAsia" w:hAnsiTheme="minorEastAsia"/>
                <w:sz w:val="24"/>
                <w:szCs w:val="24"/>
              </w:rPr>
            </w:pPr>
            <w:r>
              <w:rPr>
                <w:rFonts w:hint="eastAsia" w:asciiTheme="minorEastAsia" w:hAnsiTheme="minorEastAsia"/>
                <w:sz w:val="24"/>
                <w:szCs w:val="24"/>
              </w:rPr>
              <w:t xml:space="preserve">充分发挥各级行政执法机关主体作用，健全完善工作机制、消除认识误区，着力提高依法行政服务意识和责任意识。 </w:t>
            </w:r>
          </w:p>
        </w:tc>
        <w:tc>
          <w:tcPr>
            <w:tcW w:w="2552" w:type="dxa"/>
            <w:vAlign w:val="center"/>
          </w:tcPr>
          <w:p>
            <w:pPr>
              <w:spacing w:line="587" w:lineRule="exact"/>
              <w:jc w:val="center"/>
              <w:rPr>
                <w:rFonts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87" w:lineRule="exact"/>
              <w:jc w:val="center"/>
              <w:rPr>
                <w:rFonts w:cs="仿宋_GB2312" w:asciiTheme="minorEastAsia" w:hAnsiTheme="minorEastAsia"/>
                <w:sz w:val="24"/>
                <w:szCs w:val="24"/>
              </w:rPr>
            </w:pPr>
            <w:r>
              <w:rPr>
                <w:rFonts w:hint="eastAsia" w:cs="仿宋_GB2312" w:asciiTheme="minorEastAsia" w:hAnsiTheme="minorEastAsia"/>
                <w:sz w:val="24"/>
                <w:szCs w:val="24"/>
              </w:rPr>
              <w:t>4</w:t>
            </w:r>
          </w:p>
        </w:tc>
        <w:tc>
          <w:tcPr>
            <w:tcW w:w="3563" w:type="dxa"/>
            <w:vMerge w:val="restart"/>
            <w:vAlign w:val="center"/>
          </w:tcPr>
          <w:p>
            <w:pPr>
              <w:spacing w:line="320" w:lineRule="exact"/>
              <w:rPr>
                <w:rFonts w:cs="仿宋_GB2312" w:asciiTheme="minorEastAsia" w:hAnsiTheme="minorEastAsia"/>
                <w:sz w:val="24"/>
                <w:szCs w:val="24"/>
              </w:rPr>
            </w:pPr>
            <w:r>
              <w:rPr>
                <w:rFonts w:hint="eastAsia" w:asciiTheme="minorEastAsia" w:hAnsiTheme="minorEastAsia"/>
                <w:sz w:val="24"/>
                <w:szCs w:val="24"/>
              </w:rPr>
              <w:t>二、突出服务理念，着力彰显柔性执法温度</w:t>
            </w:r>
          </w:p>
        </w:tc>
        <w:tc>
          <w:tcPr>
            <w:tcW w:w="6076" w:type="dxa"/>
          </w:tcPr>
          <w:p>
            <w:pPr>
              <w:spacing w:line="320" w:lineRule="exact"/>
              <w:rPr>
                <w:rFonts w:cs="仿宋_GB2312" w:asciiTheme="minorEastAsia" w:hAnsiTheme="minorEastAsia"/>
                <w:sz w:val="24"/>
                <w:szCs w:val="24"/>
              </w:rPr>
            </w:pPr>
            <w:r>
              <w:rPr>
                <w:rFonts w:hint="eastAsia" w:asciiTheme="minorEastAsia" w:hAnsiTheme="minorEastAsia"/>
                <w:sz w:val="24"/>
                <w:szCs w:val="24"/>
              </w:rPr>
              <w:t>转变执法理念，深入推行包容审慎监管模式，建立健全简易引导、容错纠错、守信激励等工作机制，综合运用指导、建议、提醒、劝告等非强制性执法手段，打好柔性执法组合拳。</w:t>
            </w:r>
          </w:p>
        </w:tc>
        <w:tc>
          <w:tcPr>
            <w:tcW w:w="2552" w:type="dxa"/>
            <w:vAlign w:val="center"/>
          </w:tcPr>
          <w:p>
            <w:pPr>
              <w:spacing w:line="587" w:lineRule="exact"/>
              <w:jc w:val="center"/>
              <w:rPr>
                <w:rFonts w:cs="仿宋_GB2312"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87" w:lineRule="exact"/>
              <w:jc w:val="center"/>
              <w:rPr>
                <w:rFonts w:cs="仿宋_GB2312" w:asciiTheme="minorEastAsia" w:hAnsiTheme="minorEastAsia"/>
                <w:sz w:val="24"/>
                <w:szCs w:val="24"/>
              </w:rPr>
            </w:pPr>
            <w:r>
              <w:rPr>
                <w:rFonts w:hint="eastAsia" w:cs="仿宋_GB2312" w:asciiTheme="minorEastAsia" w:hAnsiTheme="minorEastAsia"/>
                <w:sz w:val="24"/>
                <w:szCs w:val="24"/>
              </w:rPr>
              <w:t>5</w:t>
            </w:r>
          </w:p>
        </w:tc>
        <w:tc>
          <w:tcPr>
            <w:tcW w:w="3563" w:type="dxa"/>
            <w:vMerge w:val="continue"/>
          </w:tcPr>
          <w:p>
            <w:pPr>
              <w:spacing w:line="320" w:lineRule="exact"/>
              <w:rPr>
                <w:rFonts w:cs="仿宋_GB2312" w:asciiTheme="minorEastAsia" w:hAnsiTheme="minorEastAsia"/>
                <w:sz w:val="24"/>
                <w:szCs w:val="24"/>
              </w:rPr>
            </w:pPr>
          </w:p>
        </w:tc>
        <w:tc>
          <w:tcPr>
            <w:tcW w:w="6076" w:type="dxa"/>
          </w:tcPr>
          <w:p>
            <w:pPr>
              <w:spacing w:line="320" w:lineRule="exact"/>
              <w:rPr>
                <w:rFonts w:cs="仿宋_GB2312" w:asciiTheme="minorEastAsia" w:hAnsiTheme="minorEastAsia"/>
                <w:sz w:val="24"/>
                <w:szCs w:val="24"/>
              </w:rPr>
            </w:pPr>
            <w:r>
              <w:rPr>
                <w:rFonts w:hint="eastAsia" w:asciiTheme="minorEastAsia" w:hAnsiTheme="minorEastAsia"/>
                <w:sz w:val="24"/>
                <w:szCs w:val="24"/>
              </w:rPr>
              <w:t xml:space="preserve">做到“对违法者依法严惩，对守法者无事不扰”，不断释放“温度执法”的明确信号，在法定权限范围内给予行政相对人容错纠借空间。通过适度有效监管，引导和促使行政相对人自觉纠正违法行为，实现行政柔性执法的良好社会效果。 </w:t>
            </w:r>
          </w:p>
        </w:tc>
        <w:tc>
          <w:tcPr>
            <w:tcW w:w="2552" w:type="dxa"/>
            <w:vAlign w:val="center"/>
          </w:tcPr>
          <w:p>
            <w:pPr>
              <w:spacing w:line="587" w:lineRule="exact"/>
              <w:jc w:val="center"/>
              <w:rPr>
                <w:rFonts w:cs="仿宋_GB2312"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87" w:lineRule="exact"/>
              <w:jc w:val="center"/>
              <w:rPr>
                <w:rFonts w:ascii="仿宋_GB2312" w:hAnsi="仿宋_GB2312" w:eastAsia="仿宋_GB2312" w:cs="仿宋_GB2312"/>
                <w:b/>
                <w:sz w:val="28"/>
                <w:szCs w:val="28"/>
              </w:rPr>
            </w:pPr>
            <w:r>
              <w:rPr>
                <w:rFonts w:hint="eastAsia" w:ascii="仿宋_GB2312" w:eastAsia="仿宋_GB2312"/>
                <w:b/>
                <w:sz w:val="28"/>
                <w:szCs w:val="28"/>
              </w:rPr>
              <w:t>序号</w:t>
            </w:r>
          </w:p>
        </w:tc>
        <w:tc>
          <w:tcPr>
            <w:tcW w:w="3563" w:type="dxa"/>
            <w:vAlign w:val="center"/>
          </w:tcPr>
          <w:p>
            <w:pPr>
              <w:spacing w:line="587" w:lineRule="exact"/>
              <w:jc w:val="center"/>
              <w:rPr>
                <w:rFonts w:ascii="仿宋_GB2312" w:hAnsi="仿宋_GB2312" w:eastAsia="仿宋_GB2312" w:cs="仿宋_GB2312"/>
                <w:b/>
                <w:sz w:val="28"/>
                <w:szCs w:val="28"/>
              </w:rPr>
            </w:pPr>
            <w:r>
              <w:rPr>
                <w:rFonts w:hint="eastAsia" w:ascii="仿宋_GB2312" w:eastAsia="仿宋_GB2312"/>
                <w:b/>
                <w:sz w:val="28"/>
                <w:szCs w:val="28"/>
              </w:rPr>
              <w:t>审议意见</w:t>
            </w:r>
          </w:p>
        </w:tc>
        <w:tc>
          <w:tcPr>
            <w:tcW w:w="6076" w:type="dxa"/>
            <w:vAlign w:val="center"/>
          </w:tcPr>
          <w:p>
            <w:pPr>
              <w:spacing w:line="587" w:lineRule="exact"/>
              <w:jc w:val="center"/>
              <w:rPr>
                <w:rFonts w:ascii="仿宋_GB2312" w:hAnsi="仿宋_GB2312" w:eastAsia="仿宋_GB2312" w:cs="仿宋_GB2312"/>
                <w:b/>
                <w:sz w:val="28"/>
                <w:szCs w:val="28"/>
              </w:rPr>
            </w:pPr>
            <w:r>
              <w:rPr>
                <w:rFonts w:hint="eastAsia" w:ascii="仿宋_GB2312" w:eastAsia="仿宋_GB2312"/>
                <w:b/>
                <w:sz w:val="28"/>
                <w:szCs w:val="28"/>
              </w:rPr>
              <w:t>工  作  任  务</w:t>
            </w:r>
          </w:p>
        </w:tc>
        <w:tc>
          <w:tcPr>
            <w:tcW w:w="2552" w:type="dxa"/>
            <w:vAlign w:val="center"/>
          </w:tcPr>
          <w:p>
            <w:pPr>
              <w:spacing w:line="587" w:lineRule="exact"/>
              <w:jc w:val="center"/>
              <w:rPr>
                <w:rFonts w:ascii="仿宋_GB2312" w:hAnsi="仿宋_GB2312" w:eastAsia="仿宋_GB2312" w:cs="仿宋_GB2312"/>
                <w:b/>
                <w:sz w:val="28"/>
                <w:szCs w:val="28"/>
              </w:rPr>
            </w:pPr>
            <w:r>
              <w:rPr>
                <w:rFonts w:hint="eastAsia" w:ascii="仿宋_GB2312" w:eastAsia="仿宋_GB2312"/>
                <w:b/>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cs="仿宋_GB2312" w:asciiTheme="minorEastAsia" w:hAnsiTheme="minorEastAsia"/>
                <w:sz w:val="24"/>
                <w:szCs w:val="24"/>
              </w:rPr>
            </w:pPr>
            <w:r>
              <w:rPr>
                <w:rFonts w:hint="eastAsia" w:cs="仿宋_GB2312" w:asciiTheme="minorEastAsia" w:hAnsiTheme="minorEastAsia"/>
                <w:sz w:val="24"/>
                <w:szCs w:val="24"/>
              </w:rPr>
              <w:t>6</w:t>
            </w:r>
          </w:p>
        </w:tc>
        <w:tc>
          <w:tcPr>
            <w:tcW w:w="3563" w:type="dxa"/>
            <w:vMerge w:val="restart"/>
            <w:vAlign w:val="center"/>
          </w:tcPr>
          <w:p>
            <w:pPr>
              <w:spacing w:line="320" w:lineRule="exact"/>
              <w:rPr>
                <w:rFonts w:cs="仿宋_GB2312" w:asciiTheme="minorEastAsia" w:hAnsiTheme="minorEastAsia"/>
                <w:sz w:val="24"/>
                <w:szCs w:val="24"/>
              </w:rPr>
            </w:pPr>
            <w:r>
              <w:rPr>
                <w:rFonts w:hint="eastAsia"/>
                <w:sz w:val="24"/>
                <w:szCs w:val="24"/>
              </w:rPr>
              <w:t>三、规范执法程序，逐步扩大柔性执法影响力</w:t>
            </w:r>
          </w:p>
        </w:tc>
        <w:tc>
          <w:tcPr>
            <w:tcW w:w="6076" w:type="dxa"/>
          </w:tcPr>
          <w:p>
            <w:pPr>
              <w:spacing w:line="320" w:lineRule="exact"/>
              <w:rPr>
                <w:rFonts w:cs="仿宋_GB2312" w:asciiTheme="minorEastAsia" w:hAnsiTheme="minorEastAsia"/>
                <w:sz w:val="24"/>
                <w:szCs w:val="24"/>
              </w:rPr>
            </w:pPr>
            <w:r>
              <w:rPr>
                <w:rFonts w:hint="eastAsia"/>
                <w:sz w:val="24"/>
                <w:szCs w:val="24"/>
              </w:rPr>
              <w:t>不断规范执法程序，严格落实行政执法“三项制度”，做到适用法律正确、程序正当合理、过错与处罚相当，不断提升市场主体和人民群众的满意度。</w:t>
            </w:r>
          </w:p>
        </w:tc>
        <w:tc>
          <w:tcPr>
            <w:tcW w:w="2552" w:type="dxa"/>
            <w:vAlign w:val="center"/>
          </w:tcPr>
          <w:p>
            <w:pPr>
              <w:spacing w:line="587" w:lineRule="exact"/>
              <w:jc w:val="center"/>
              <w:rPr>
                <w:rFonts w:cs="仿宋_GB2312"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cs="仿宋_GB2312" w:asciiTheme="minorEastAsia" w:hAnsiTheme="minorEastAsia"/>
                <w:sz w:val="24"/>
                <w:szCs w:val="24"/>
              </w:rPr>
            </w:pPr>
            <w:r>
              <w:rPr>
                <w:rFonts w:hint="eastAsia" w:cs="仿宋_GB2312" w:asciiTheme="minorEastAsia" w:hAnsiTheme="minorEastAsia"/>
                <w:sz w:val="24"/>
                <w:szCs w:val="24"/>
              </w:rPr>
              <w:t>7</w:t>
            </w:r>
          </w:p>
        </w:tc>
        <w:tc>
          <w:tcPr>
            <w:tcW w:w="3563" w:type="dxa"/>
            <w:vMerge w:val="continue"/>
            <w:vAlign w:val="center"/>
          </w:tcPr>
          <w:p>
            <w:pPr>
              <w:spacing w:line="320" w:lineRule="exact"/>
              <w:rPr>
                <w:rFonts w:cs="仿宋_GB2312" w:asciiTheme="minorEastAsia" w:hAnsiTheme="minorEastAsia"/>
                <w:sz w:val="24"/>
                <w:szCs w:val="24"/>
              </w:rPr>
            </w:pPr>
          </w:p>
        </w:tc>
        <w:tc>
          <w:tcPr>
            <w:tcW w:w="6076" w:type="dxa"/>
          </w:tcPr>
          <w:p>
            <w:pPr>
              <w:spacing w:line="320" w:lineRule="exact"/>
              <w:rPr>
                <w:rFonts w:cs="仿宋_GB2312" w:asciiTheme="minorEastAsia" w:hAnsiTheme="minorEastAsia"/>
                <w:sz w:val="24"/>
                <w:szCs w:val="24"/>
              </w:rPr>
            </w:pPr>
            <w:r>
              <w:rPr>
                <w:rFonts w:hint="eastAsia"/>
                <w:sz w:val="24"/>
                <w:szCs w:val="24"/>
              </w:rPr>
              <w:t>健全完善对行政相对人和市场主体事前辅导、行政执法风险提示、行政监管劝诫等体现监管特点的行政执法流程，不断扩大柔性执 法的覆盖面和影响力。</w:t>
            </w:r>
          </w:p>
        </w:tc>
        <w:tc>
          <w:tcPr>
            <w:tcW w:w="2552" w:type="dxa"/>
            <w:vAlign w:val="center"/>
          </w:tcPr>
          <w:p>
            <w:pPr>
              <w:spacing w:line="587" w:lineRule="exact"/>
              <w:jc w:val="center"/>
              <w:rPr>
                <w:rFonts w:cs="仿宋_GB2312"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cs="仿宋_GB2312" w:asciiTheme="minorEastAsia" w:hAnsiTheme="minorEastAsia"/>
                <w:sz w:val="24"/>
                <w:szCs w:val="24"/>
              </w:rPr>
            </w:pPr>
            <w:r>
              <w:rPr>
                <w:rFonts w:hint="eastAsia" w:cs="仿宋_GB2312" w:asciiTheme="minorEastAsia" w:hAnsiTheme="minorEastAsia"/>
                <w:sz w:val="24"/>
                <w:szCs w:val="24"/>
              </w:rPr>
              <w:t>8</w:t>
            </w:r>
          </w:p>
        </w:tc>
        <w:tc>
          <w:tcPr>
            <w:tcW w:w="3563" w:type="dxa"/>
            <w:vMerge w:val="continue"/>
            <w:vAlign w:val="center"/>
          </w:tcPr>
          <w:p>
            <w:pPr>
              <w:spacing w:line="320" w:lineRule="exact"/>
              <w:rPr>
                <w:rFonts w:cs="仿宋_GB2312" w:asciiTheme="minorEastAsia" w:hAnsiTheme="minorEastAsia"/>
                <w:sz w:val="24"/>
                <w:szCs w:val="24"/>
              </w:rPr>
            </w:pPr>
          </w:p>
        </w:tc>
        <w:tc>
          <w:tcPr>
            <w:tcW w:w="6076" w:type="dxa"/>
          </w:tcPr>
          <w:p>
            <w:pPr>
              <w:spacing w:line="320" w:lineRule="exact"/>
              <w:rPr>
                <w:rFonts w:cs="仿宋_GB2312" w:asciiTheme="minorEastAsia" w:hAnsiTheme="minorEastAsia"/>
                <w:sz w:val="24"/>
                <w:szCs w:val="24"/>
              </w:rPr>
            </w:pPr>
            <w:r>
              <w:rPr>
                <w:rFonts w:hint="eastAsia"/>
                <w:sz w:val="24"/>
                <w:szCs w:val="24"/>
              </w:rPr>
              <w:t xml:space="preserve">加强对行政柔性执法的协调、监督和指导，不断总结成熟经验和有益做法，各行政执法部门至少总结提炼1个行政柔性执法典型案例，培育打造1个柔性执法示范窗口，努力形成营造良好法治营商环境的舆论氛围。 </w:t>
            </w:r>
          </w:p>
        </w:tc>
        <w:tc>
          <w:tcPr>
            <w:tcW w:w="2552" w:type="dxa"/>
            <w:vAlign w:val="center"/>
          </w:tcPr>
          <w:p>
            <w:pPr>
              <w:spacing w:line="587" w:lineRule="exact"/>
              <w:jc w:val="center"/>
              <w:rPr>
                <w:rFonts w:cs="仿宋_GB2312"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cs="仿宋_GB2312" w:asciiTheme="minorEastAsia" w:hAnsiTheme="minorEastAsia"/>
                <w:sz w:val="24"/>
                <w:szCs w:val="24"/>
              </w:rPr>
            </w:pPr>
            <w:r>
              <w:rPr>
                <w:rFonts w:hint="eastAsia" w:cs="仿宋_GB2312" w:asciiTheme="minorEastAsia" w:hAnsiTheme="minorEastAsia"/>
                <w:sz w:val="24"/>
                <w:szCs w:val="24"/>
              </w:rPr>
              <w:t>9</w:t>
            </w:r>
          </w:p>
        </w:tc>
        <w:tc>
          <w:tcPr>
            <w:tcW w:w="3563" w:type="dxa"/>
            <w:vMerge w:val="restart"/>
            <w:vAlign w:val="center"/>
          </w:tcPr>
          <w:p>
            <w:pPr>
              <w:spacing w:line="320" w:lineRule="exact"/>
              <w:rPr>
                <w:rFonts w:cs="仿宋_GB2312" w:asciiTheme="minorEastAsia" w:hAnsiTheme="minorEastAsia"/>
                <w:sz w:val="24"/>
                <w:szCs w:val="24"/>
              </w:rPr>
            </w:pPr>
            <w:r>
              <w:rPr>
                <w:rFonts w:hint="eastAsia" w:cs="仿宋_GB2312" w:asciiTheme="minorEastAsia" w:hAnsiTheme="minorEastAsia"/>
                <w:sz w:val="24"/>
                <w:szCs w:val="24"/>
              </w:rPr>
              <w:t>四、强化能力建设，不断加大柔性执法力度</w:t>
            </w:r>
          </w:p>
        </w:tc>
        <w:tc>
          <w:tcPr>
            <w:tcW w:w="6076" w:type="dxa"/>
          </w:tcPr>
          <w:p>
            <w:pPr>
              <w:spacing w:line="320" w:lineRule="exact"/>
              <w:rPr>
                <w:rFonts w:cs="仿宋_GB2312" w:asciiTheme="minorEastAsia" w:hAnsiTheme="minorEastAsia"/>
                <w:sz w:val="24"/>
                <w:szCs w:val="24"/>
              </w:rPr>
            </w:pPr>
            <w:r>
              <w:rPr>
                <w:rFonts w:hint="eastAsia"/>
                <w:sz w:val="24"/>
                <w:szCs w:val="24"/>
              </w:rPr>
              <w:t>定期组织开展以行政执法三项制度、行政柔性执法、行政处罚自由裁量基准等为重点的培训学习，教育引导行政执法人员强化服务意识，改进执法方式，使执法队伍柔性执法能力明显提升、执法效能明显增强、执法公信力明显上升。</w:t>
            </w:r>
          </w:p>
        </w:tc>
        <w:tc>
          <w:tcPr>
            <w:tcW w:w="2552" w:type="dxa"/>
            <w:vAlign w:val="center"/>
          </w:tcPr>
          <w:p>
            <w:pPr>
              <w:spacing w:line="587" w:lineRule="exact"/>
              <w:jc w:val="center"/>
              <w:rPr>
                <w:rFonts w:cs="仿宋_GB2312" w:asciiTheme="minorEastAsia" w:hAnsiTheme="minorEastAsia"/>
                <w:sz w:val="24"/>
                <w:szCs w:val="24"/>
              </w:rPr>
            </w:pPr>
            <w:r>
              <w:rPr>
                <w:rFonts w:hint="eastAsia" w:asciiTheme="minorEastAsia" w:hAnsiTheme="minorEastAsia"/>
                <w:sz w:val="24"/>
                <w:szCs w:val="24"/>
              </w:rPr>
              <w:t>各行政执法部门、单位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17" w:type="dxa"/>
            <w:vAlign w:val="center"/>
          </w:tcPr>
          <w:p>
            <w:pPr>
              <w:spacing w:line="320" w:lineRule="exact"/>
              <w:jc w:val="center"/>
              <w:rPr>
                <w:rFonts w:cs="仿宋_GB2312" w:asciiTheme="minorEastAsia" w:hAnsiTheme="minorEastAsia"/>
                <w:sz w:val="24"/>
                <w:szCs w:val="24"/>
              </w:rPr>
            </w:pPr>
            <w:r>
              <w:rPr>
                <w:rFonts w:hint="eastAsia" w:cs="仿宋_GB2312" w:asciiTheme="minorEastAsia" w:hAnsiTheme="minorEastAsia"/>
                <w:sz w:val="24"/>
                <w:szCs w:val="24"/>
              </w:rPr>
              <w:t>10</w:t>
            </w:r>
          </w:p>
        </w:tc>
        <w:tc>
          <w:tcPr>
            <w:tcW w:w="3563" w:type="dxa"/>
            <w:vMerge w:val="continue"/>
          </w:tcPr>
          <w:p>
            <w:pPr>
              <w:spacing w:line="320" w:lineRule="exact"/>
              <w:rPr>
                <w:rFonts w:cs="仿宋_GB2312" w:asciiTheme="minorEastAsia" w:hAnsiTheme="minorEastAsia"/>
                <w:sz w:val="24"/>
                <w:szCs w:val="24"/>
              </w:rPr>
            </w:pPr>
          </w:p>
        </w:tc>
        <w:tc>
          <w:tcPr>
            <w:tcW w:w="6076" w:type="dxa"/>
          </w:tcPr>
          <w:p>
            <w:pPr>
              <w:spacing w:line="320" w:lineRule="exact"/>
              <w:rPr>
                <w:rFonts w:cs="仿宋_GB2312" w:asciiTheme="minorEastAsia" w:hAnsiTheme="minorEastAsia"/>
                <w:sz w:val="24"/>
                <w:szCs w:val="24"/>
              </w:rPr>
            </w:pPr>
            <w:r>
              <w:rPr>
                <w:rFonts w:hint="eastAsia"/>
                <w:sz w:val="24"/>
                <w:szCs w:val="24"/>
              </w:rPr>
              <w:t>定期对行政执法部门开展柔性执法工作落实情况进行监督检查，加强事前、事中、事后监管，督促对照制定公布的“两轻一免”责任清单，规范运行行政处罚自由裁量标准，加大行政柔性执法工作力度。</w:t>
            </w:r>
          </w:p>
        </w:tc>
        <w:tc>
          <w:tcPr>
            <w:tcW w:w="2552" w:type="dxa"/>
            <w:vAlign w:val="center"/>
          </w:tcPr>
          <w:p>
            <w:pPr>
              <w:spacing w:line="587" w:lineRule="exact"/>
              <w:jc w:val="center"/>
              <w:rPr>
                <w:rFonts w:cs="仿宋_GB2312" w:asciiTheme="minorEastAsia" w:hAnsiTheme="minorEastAsia"/>
                <w:sz w:val="24"/>
                <w:szCs w:val="24"/>
              </w:rPr>
            </w:pPr>
            <w:r>
              <w:rPr>
                <w:rFonts w:hint="eastAsia" w:asciiTheme="minorEastAsia" w:hAnsiTheme="minorEastAsia"/>
                <w:sz w:val="24"/>
                <w:szCs w:val="24"/>
              </w:rPr>
              <w:t>县司法局</w:t>
            </w:r>
          </w:p>
        </w:tc>
      </w:tr>
    </w:tbl>
    <w:p>
      <w:pPr>
        <w:spacing w:line="400" w:lineRule="exact"/>
        <w:contextualSpacing/>
        <w:rPr>
          <w:rFonts w:ascii="仿宋_GB2312" w:eastAsia="仿宋_GB2312"/>
          <w:sz w:val="32"/>
          <w:szCs w:val="32"/>
        </w:rPr>
      </w:pPr>
    </w:p>
    <w:p>
      <w:pPr>
        <w:pStyle w:val="2"/>
        <w:rPr>
          <w:rFonts w:ascii="仿宋_GB2312" w:eastAsia="仿宋_GB2312"/>
          <w:sz w:val="32"/>
          <w:szCs w:val="32"/>
        </w:rPr>
      </w:pPr>
    </w:p>
    <w:p>
      <w:pPr>
        <w:pStyle w:val="3"/>
      </w:pPr>
    </w:p>
    <w:p>
      <w:pPr>
        <w:spacing w:line="360" w:lineRule="exact"/>
      </w:pPr>
    </w:p>
    <w:p>
      <w:pPr>
        <w:rPr>
          <w:rFonts w:ascii="黑体" w:hAnsi="黑体" w:eastAsia="黑体" w:cs="仿宋_GB2312"/>
          <w:sz w:val="32"/>
          <w:szCs w:val="32"/>
        </w:rPr>
      </w:pPr>
      <w:r>
        <w:rPr>
          <w:rFonts w:hint="eastAsia" w:ascii="黑体" w:hAnsi="黑体" w:eastAsia="黑体" w:cs="仿宋_GB2312"/>
          <w:sz w:val="32"/>
          <w:szCs w:val="32"/>
        </w:rPr>
        <w:t>附件2</w:t>
      </w:r>
    </w:p>
    <w:p>
      <w:pPr>
        <w:rPr>
          <w:rFonts w:ascii="方正小标宋简体" w:hAnsi="仿宋_GB2312" w:eastAsia="方正小标宋简体" w:cs="仿宋_GB2312"/>
          <w:sz w:val="32"/>
          <w:szCs w:val="32"/>
        </w:rPr>
      </w:pP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制定“两轻一免”清单情况统计表</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填报单位（盖章）：                                                   时间：  年  月  日</w:t>
      </w:r>
    </w:p>
    <w:tbl>
      <w:tblPr>
        <w:tblStyle w:val="9"/>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134"/>
        <w:gridCol w:w="992"/>
        <w:gridCol w:w="993"/>
        <w:gridCol w:w="2409"/>
        <w:gridCol w:w="1843"/>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51"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1134"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制定</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“两轻</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一免”</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清单</w:t>
            </w:r>
          </w:p>
        </w:tc>
        <w:tc>
          <w:tcPr>
            <w:tcW w:w="992"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进行</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动态</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调整</w:t>
            </w:r>
          </w:p>
        </w:tc>
        <w:tc>
          <w:tcPr>
            <w:tcW w:w="99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进行</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公示</w:t>
            </w:r>
          </w:p>
        </w:tc>
        <w:tc>
          <w:tcPr>
            <w:tcW w:w="240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公示网址链接</w:t>
            </w:r>
          </w:p>
        </w:tc>
        <w:tc>
          <w:tcPr>
            <w:tcW w:w="5387"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“两轻一免”事项数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51" w:type="dxa"/>
            <w:vMerge w:val="continue"/>
            <w:vAlign w:val="center"/>
          </w:tcPr>
          <w:p>
            <w:pPr>
              <w:spacing w:line="400" w:lineRule="exact"/>
              <w:jc w:val="center"/>
              <w:rPr>
                <w:rFonts w:ascii="仿宋_GB2312" w:hAnsi="仿宋_GB2312" w:eastAsia="仿宋_GB2312" w:cs="仿宋_GB2312"/>
                <w:sz w:val="28"/>
                <w:szCs w:val="28"/>
              </w:rPr>
            </w:pPr>
          </w:p>
        </w:tc>
        <w:tc>
          <w:tcPr>
            <w:tcW w:w="1134" w:type="dxa"/>
            <w:vMerge w:val="continue"/>
            <w:vAlign w:val="center"/>
          </w:tcPr>
          <w:p>
            <w:pPr>
              <w:spacing w:line="400" w:lineRule="exact"/>
              <w:jc w:val="center"/>
              <w:rPr>
                <w:rFonts w:ascii="仿宋_GB2312" w:hAnsi="仿宋_GB2312" w:eastAsia="仿宋_GB2312" w:cs="仿宋_GB2312"/>
                <w:sz w:val="28"/>
                <w:szCs w:val="28"/>
              </w:rPr>
            </w:pPr>
          </w:p>
        </w:tc>
        <w:tc>
          <w:tcPr>
            <w:tcW w:w="992" w:type="dxa"/>
            <w:vMerge w:val="continue"/>
            <w:vAlign w:val="center"/>
          </w:tcPr>
          <w:p>
            <w:pPr>
              <w:spacing w:line="400" w:lineRule="exact"/>
              <w:jc w:val="center"/>
              <w:rPr>
                <w:rFonts w:ascii="仿宋_GB2312" w:hAnsi="仿宋_GB2312" w:eastAsia="仿宋_GB2312" w:cs="仿宋_GB2312"/>
                <w:sz w:val="28"/>
                <w:szCs w:val="28"/>
              </w:rPr>
            </w:pPr>
          </w:p>
        </w:tc>
        <w:tc>
          <w:tcPr>
            <w:tcW w:w="993" w:type="dxa"/>
            <w:vMerge w:val="continue"/>
            <w:vAlign w:val="center"/>
          </w:tcPr>
          <w:p>
            <w:pPr>
              <w:spacing w:line="400" w:lineRule="exact"/>
              <w:jc w:val="center"/>
              <w:rPr>
                <w:rFonts w:ascii="仿宋_GB2312" w:hAnsi="仿宋_GB2312" w:eastAsia="仿宋_GB2312" w:cs="仿宋_GB2312"/>
                <w:sz w:val="28"/>
                <w:szCs w:val="28"/>
              </w:rPr>
            </w:pPr>
          </w:p>
        </w:tc>
        <w:tc>
          <w:tcPr>
            <w:tcW w:w="2409" w:type="dxa"/>
            <w:vMerge w:val="continue"/>
            <w:vAlign w:val="center"/>
          </w:tcPr>
          <w:p>
            <w:pPr>
              <w:spacing w:line="400" w:lineRule="exact"/>
              <w:jc w:val="center"/>
              <w:rPr>
                <w:rFonts w:ascii="仿宋_GB2312" w:hAnsi="仿宋_GB2312" w:eastAsia="仿宋_GB2312" w:cs="仿宋_GB2312"/>
                <w:sz w:val="28"/>
                <w:szCs w:val="28"/>
              </w:rPr>
            </w:pP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从轻处罚</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事项（个）</w:t>
            </w:r>
          </w:p>
        </w:tc>
        <w:tc>
          <w:tcPr>
            <w:tcW w:w="198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减轻处罚</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事项（个）</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免于处罚</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51" w:type="dxa"/>
            <w:vAlign w:val="center"/>
          </w:tcPr>
          <w:p>
            <w:pPr>
              <w:spacing w:line="560" w:lineRule="exact"/>
              <w:jc w:val="center"/>
              <w:rPr>
                <w:rFonts w:ascii="仿宋_GB2312" w:hAnsi="仿宋_GB2312" w:eastAsia="仿宋_GB2312" w:cs="仿宋_GB2312"/>
                <w:sz w:val="28"/>
                <w:szCs w:val="28"/>
              </w:rPr>
            </w:pPr>
          </w:p>
        </w:tc>
        <w:tc>
          <w:tcPr>
            <w:tcW w:w="1134" w:type="dxa"/>
            <w:vAlign w:val="center"/>
          </w:tcPr>
          <w:p>
            <w:pPr>
              <w:spacing w:line="560" w:lineRule="exact"/>
              <w:jc w:val="center"/>
              <w:rPr>
                <w:rFonts w:ascii="仿宋_GB2312" w:hAnsi="仿宋_GB2312" w:eastAsia="仿宋_GB2312" w:cs="仿宋_GB2312"/>
                <w:sz w:val="28"/>
                <w:szCs w:val="28"/>
              </w:rPr>
            </w:pPr>
          </w:p>
        </w:tc>
        <w:tc>
          <w:tcPr>
            <w:tcW w:w="992" w:type="dxa"/>
            <w:vAlign w:val="center"/>
          </w:tcPr>
          <w:p>
            <w:pPr>
              <w:spacing w:line="560" w:lineRule="exact"/>
              <w:jc w:val="center"/>
              <w:rPr>
                <w:rFonts w:ascii="仿宋_GB2312" w:hAnsi="仿宋_GB2312" w:eastAsia="仿宋_GB2312" w:cs="仿宋_GB2312"/>
                <w:sz w:val="28"/>
                <w:szCs w:val="28"/>
              </w:rPr>
            </w:pPr>
          </w:p>
        </w:tc>
        <w:tc>
          <w:tcPr>
            <w:tcW w:w="993" w:type="dxa"/>
            <w:vAlign w:val="center"/>
          </w:tcPr>
          <w:p>
            <w:pPr>
              <w:spacing w:line="560" w:lineRule="exact"/>
              <w:jc w:val="center"/>
              <w:rPr>
                <w:rFonts w:ascii="仿宋_GB2312" w:hAnsi="仿宋_GB2312" w:eastAsia="仿宋_GB2312" w:cs="仿宋_GB2312"/>
                <w:sz w:val="28"/>
                <w:szCs w:val="28"/>
              </w:rPr>
            </w:pPr>
          </w:p>
        </w:tc>
        <w:tc>
          <w:tcPr>
            <w:tcW w:w="2409" w:type="dxa"/>
            <w:vAlign w:val="center"/>
          </w:tcPr>
          <w:p>
            <w:pPr>
              <w:spacing w:line="560" w:lineRule="exact"/>
              <w:jc w:val="center"/>
              <w:rPr>
                <w:rFonts w:ascii="仿宋_GB2312" w:hAnsi="仿宋_GB2312" w:eastAsia="仿宋_GB2312" w:cs="仿宋_GB2312"/>
                <w:sz w:val="28"/>
                <w:szCs w:val="28"/>
              </w:rPr>
            </w:pPr>
          </w:p>
        </w:tc>
        <w:tc>
          <w:tcPr>
            <w:tcW w:w="1843" w:type="dxa"/>
            <w:vAlign w:val="center"/>
          </w:tcPr>
          <w:p>
            <w:pPr>
              <w:spacing w:line="560" w:lineRule="exact"/>
              <w:jc w:val="center"/>
              <w:rPr>
                <w:rFonts w:ascii="仿宋_GB2312" w:hAnsi="仿宋_GB2312" w:eastAsia="仿宋_GB2312" w:cs="仿宋_GB2312"/>
                <w:sz w:val="28"/>
                <w:szCs w:val="28"/>
              </w:rPr>
            </w:pPr>
          </w:p>
        </w:tc>
        <w:tc>
          <w:tcPr>
            <w:tcW w:w="1985" w:type="dxa"/>
            <w:vAlign w:val="center"/>
          </w:tcPr>
          <w:p>
            <w:pPr>
              <w:spacing w:line="560" w:lineRule="exact"/>
              <w:jc w:val="center"/>
              <w:rPr>
                <w:rFonts w:ascii="仿宋_GB2312" w:hAnsi="仿宋_GB2312" w:eastAsia="仿宋_GB2312" w:cs="仿宋_GB2312"/>
                <w:sz w:val="28"/>
                <w:szCs w:val="28"/>
              </w:rPr>
            </w:pPr>
          </w:p>
        </w:tc>
        <w:tc>
          <w:tcPr>
            <w:tcW w:w="1559"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51" w:type="dxa"/>
            <w:vAlign w:val="center"/>
          </w:tcPr>
          <w:p>
            <w:pPr>
              <w:spacing w:line="560" w:lineRule="exact"/>
              <w:jc w:val="center"/>
              <w:rPr>
                <w:rFonts w:ascii="仿宋_GB2312" w:hAnsi="仿宋_GB2312" w:eastAsia="仿宋_GB2312" w:cs="仿宋_GB2312"/>
                <w:sz w:val="28"/>
                <w:szCs w:val="28"/>
              </w:rPr>
            </w:pPr>
          </w:p>
        </w:tc>
        <w:tc>
          <w:tcPr>
            <w:tcW w:w="1134" w:type="dxa"/>
            <w:vAlign w:val="center"/>
          </w:tcPr>
          <w:p>
            <w:pPr>
              <w:spacing w:line="560" w:lineRule="exact"/>
              <w:jc w:val="center"/>
              <w:rPr>
                <w:rFonts w:ascii="仿宋_GB2312" w:hAnsi="仿宋_GB2312" w:eastAsia="仿宋_GB2312" w:cs="仿宋_GB2312"/>
                <w:sz w:val="28"/>
                <w:szCs w:val="28"/>
              </w:rPr>
            </w:pPr>
          </w:p>
        </w:tc>
        <w:tc>
          <w:tcPr>
            <w:tcW w:w="992" w:type="dxa"/>
            <w:vAlign w:val="center"/>
          </w:tcPr>
          <w:p>
            <w:pPr>
              <w:spacing w:line="560" w:lineRule="exact"/>
              <w:jc w:val="center"/>
              <w:rPr>
                <w:rFonts w:ascii="仿宋_GB2312" w:hAnsi="仿宋_GB2312" w:eastAsia="仿宋_GB2312" w:cs="仿宋_GB2312"/>
                <w:sz w:val="28"/>
                <w:szCs w:val="28"/>
              </w:rPr>
            </w:pPr>
          </w:p>
        </w:tc>
        <w:tc>
          <w:tcPr>
            <w:tcW w:w="993" w:type="dxa"/>
            <w:vAlign w:val="center"/>
          </w:tcPr>
          <w:p>
            <w:pPr>
              <w:spacing w:line="560" w:lineRule="exact"/>
              <w:jc w:val="center"/>
              <w:rPr>
                <w:rFonts w:ascii="仿宋_GB2312" w:hAnsi="仿宋_GB2312" w:eastAsia="仿宋_GB2312" w:cs="仿宋_GB2312"/>
                <w:sz w:val="28"/>
                <w:szCs w:val="28"/>
              </w:rPr>
            </w:pPr>
          </w:p>
        </w:tc>
        <w:tc>
          <w:tcPr>
            <w:tcW w:w="2409" w:type="dxa"/>
            <w:vAlign w:val="center"/>
          </w:tcPr>
          <w:p>
            <w:pPr>
              <w:spacing w:line="560" w:lineRule="exact"/>
              <w:jc w:val="center"/>
              <w:rPr>
                <w:rFonts w:ascii="仿宋_GB2312" w:hAnsi="仿宋_GB2312" w:eastAsia="仿宋_GB2312" w:cs="仿宋_GB2312"/>
                <w:sz w:val="28"/>
                <w:szCs w:val="28"/>
              </w:rPr>
            </w:pPr>
          </w:p>
        </w:tc>
        <w:tc>
          <w:tcPr>
            <w:tcW w:w="1843" w:type="dxa"/>
            <w:vAlign w:val="center"/>
          </w:tcPr>
          <w:p>
            <w:pPr>
              <w:spacing w:line="560" w:lineRule="exact"/>
              <w:jc w:val="center"/>
              <w:rPr>
                <w:rFonts w:ascii="仿宋_GB2312" w:hAnsi="仿宋_GB2312" w:eastAsia="仿宋_GB2312" w:cs="仿宋_GB2312"/>
                <w:sz w:val="28"/>
                <w:szCs w:val="28"/>
              </w:rPr>
            </w:pPr>
          </w:p>
        </w:tc>
        <w:tc>
          <w:tcPr>
            <w:tcW w:w="1985" w:type="dxa"/>
            <w:vAlign w:val="center"/>
          </w:tcPr>
          <w:p>
            <w:pPr>
              <w:spacing w:line="560" w:lineRule="exact"/>
              <w:jc w:val="center"/>
              <w:rPr>
                <w:rFonts w:ascii="仿宋_GB2312" w:hAnsi="仿宋_GB2312" w:eastAsia="仿宋_GB2312" w:cs="仿宋_GB2312"/>
                <w:sz w:val="28"/>
                <w:szCs w:val="28"/>
              </w:rPr>
            </w:pPr>
          </w:p>
        </w:tc>
        <w:tc>
          <w:tcPr>
            <w:tcW w:w="1559"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51" w:type="dxa"/>
            <w:vAlign w:val="center"/>
          </w:tcPr>
          <w:p>
            <w:pPr>
              <w:spacing w:line="560" w:lineRule="exact"/>
              <w:jc w:val="center"/>
              <w:rPr>
                <w:rFonts w:ascii="仿宋_GB2312" w:hAnsi="仿宋_GB2312" w:eastAsia="仿宋_GB2312" w:cs="仿宋_GB2312"/>
                <w:sz w:val="28"/>
                <w:szCs w:val="28"/>
              </w:rPr>
            </w:pPr>
          </w:p>
        </w:tc>
        <w:tc>
          <w:tcPr>
            <w:tcW w:w="1134" w:type="dxa"/>
            <w:vAlign w:val="center"/>
          </w:tcPr>
          <w:p>
            <w:pPr>
              <w:spacing w:line="560" w:lineRule="exact"/>
              <w:jc w:val="center"/>
              <w:rPr>
                <w:rFonts w:ascii="仿宋_GB2312" w:hAnsi="仿宋_GB2312" w:eastAsia="仿宋_GB2312" w:cs="仿宋_GB2312"/>
                <w:sz w:val="28"/>
                <w:szCs w:val="28"/>
              </w:rPr>
            </w:pPr>
          </w:p>
        </w:tc>
        <w:tc>
          <w:tcPr>
            <w:tcW w:w="992" w:type="dxa"/>
            <w:vAlign w:val="center"/>
          </w:tcPr>
          <w:p>
            <w:pPr>
              <w:spacing w:line="560" w:lineRule="exact"/>
              <w:jc w:val="center"/>
              <w:rPr>
                <w:rFonts w:ascii="仿宋_GB2312" w:hAnsi="仿宋_GB2312" w:eastAsia="仿宋_GB2312" w:cs="仿宋_GB2312"/>
                <w:sz w:val="28"/>
                <w:szCs w:val="28"/>
              </w:rPr>
            </w:pPr>
          </w:p>
        </w:tc>
        <w:tc>
          <w:tcPr>
            <w:tcW w:w="993" w:type="dxa"/>
            <w:vAlign w:val="center"/>
          </w:tcPr>
          <w:p>
            <w:pPr>
              <w:spacing w:line="560" w:lineRule="exact"/>
              <w:jc w:val="center"/>
              <w:rPr>
                <w:rFonts w:ascii="仿宋_GB2312" w:hAnsi="仿宋_GB2312" w:eastAsia="仿宋_GB2312" w:cs="仿宋_GB2312"/>
                <w:sz w:val="28"/>
                <w:szCs w:val="28"/>
              </w:rPr>
            </w:pPr>
          </w:p>
        </w:tc>
        <w:tc>
          <w:tcPr>
            <w:tcW w:w="2409" w:type="dxa"/>
            <w:vAlign w:val="center"/>
          </w:tcPr>
          <w:p>
            <w:pPr>
              <w:spacing w:line="560" w:lineRule="exact"/>
              <w:jc w:val="center"/>
              <w:rPr>
                <w:rFonts w:ascii="仿宋_GB2312" w:hAnsi="仿宋_GB2312" w:eastAsia="仿宋_GB2312" w:cs="仿宋_GB2312"/>
                <w:sz w:val="28"/>
                <w:szCs w:val="28"/>
              </w:rPr>
            </w:pPr>
          </w:p>
        </w:tc>
        <w:tc>
          <w:tcPr>
            <w:tcW w:w="1843" w:type="dxa"/>
            <w:vAlign w:val="center"/>
          </w:tcPr>
          <w:p>
            <w:pPr>
              <w:spacing w:line="560" w:lineRule="exact"/>
              <w:jc w:val="center"/>
              <w:rPr>
                <w:rFonts w:ascii="仿宋_GB2312" w:hAnsi="仿宋_GB2312" w:eastAsia="仿宋_GB2312" w:cs="仿宋_GB2312"/>
                <w:sz w:val="28"/>
                <w:szCs w:val="28"/>
              </w:rPr>
            </w:pPr>
          </w:p>
        </w:tc>
        <w:tc>
          <w:tcPr>
            <w:tcW w:w="1985" w:type="dxa"/>
            <w:vAlign w:val="center"/>
          </w:tcPr>
          <w:p>
            <w:pPr>
              <w:spacing w:line="560" w:lineRule="exact"/>
              <w:jc w:val="center"/>
              <w:rPr>
                <w:rFonts w:ascii="仿宋_GB2312" w:hAnsi="仿宋_GB2312" w:eastAsia="仿宋_GB2312" w:cs="仿宋_GB2312"/>
                <w:sz w:val="28"/>
                <w:szCs w:val="28"/>
              </w:rPr>
            </w:pPr>
          </w:p>
        </w:tc>
        <w:tc>
          <w:tcPr>
            <w:tcW w:w="1559"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95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10915" w:type="dxa"/>
            <w:gridSpan w:val="7"/>
            <w:vAlign w:val="center"/>
          </w:tcPr>
          <w:p>
            <w:pPr>
              <w:spacing w:line="560" w:lineRule="exact"/>
              <w:jc w:val="center"/>
              <w:rPr>
                <w:rFonts w:ascii="仿宋_GB2312" w:hAnsi="仿宋_GB2312" w:eastAsia="仿宋_GB2312" w:cs="仿宋_GB2312"/>
                <w:sz w:val="28"/>
                <w:szCs w:val="28"/>
              </w:rPr>
            </w:pPr>
          </w:p>
        </w:tc>
      </w:tr>
    </w:tbl>
    <w:p>
      <w:pPr>
        <w:spacing w:line="500" w:lineRule="exact"/>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填表人：                                              联系电话：</w:t>
      </w:r>
    </w:p>
    <w:p>
      <w:pPr>
        <w:widowControl/>
        <w:jc w:val="left"/>
        <w:sectPr>
          <w:pgSz w:w="16838" w:h="11906" w:orient="landscape"/>
          <w:pgMar w:top="1588" w:right="2098" w:bottom="1474" w:left="1985" w:header="851" w:footer="992" w:gutter="0"/>
          <w:pgNumType w:fmt="numberInDash"/>
          <w:cols w:space="425" w:num="1"/>
          <w:docGrid w:type="linesAndChar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附件3</w:t>
      </w:r>
    </w:p>
    <w:p>
      <w:pPr>
        <w:spacing w:line="2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实施行政柔性执法和“两轻一免”情况统计表</w:t>
      </w:r>
    </w:p>
    <w:p>
      <w:pPr>
        <w:spacing w:line="600" w:lineRule="exact"/>
        <w:rPr>
          <w:rFonts w:ascii="仿宋_GB2312" w:eastAsia="仿宋_GB2312"/>
          <w:sz w:val="32"/>
          <w:szCs w:val="32"/>
        </w:rPr>
      </w:pPr>
      <w:r>
        <w:rPr>
          <w:rFonts w:hint="eastAsia" w:ascii="仿宋_GB2312" w:eastAsia="仿宋_GB2312"/>
          <w:sz w:val="32"/>
          <w:szCs w:val="32"/>
        </w:rPr>
        <w:t>填报单位（盖章）：                         年   月   日</w:t>
      </w:r>
    </w:p>
    <w:tbl>
      <w:tblPr>
        <w:tblStyle w:val="9"/>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565"/>
        <w:gridCol w:w="1677"/>
        <w:gridCol w:w="184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035"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440" w:lineRule="exact"/>
              <w:jc w:val="center"/>
              <w:rPr>
                <w:rFonts w:ascii="仿宋_GB2312" w:eastAsia="仿宋_GB2312" w:cstheme="minorBidi"/>
                <w:sz w:val="28"/>
                <w:szCs w:val="28"/>
              </w:rPr>
            </w:pPr>
            <w:r>
              <w:rPr>
                <w:rFonts w:hint="eastAsia" w:ascii="仿宋_GB2312" w:eastAsia="仿宋_GB2312"/>
                <w:sz w:val="28"/>
                <w:szCs w:val="28"/>
              </w:rPr>
              <w:t xml:space="preserve">       年  度</w:t>
            </w:r>
          </w:p>
          <w:p>
            <w:pPr>
              <w:spacing w:line="440" w:lineRule="exact"/>
              <w:ind w:firstLine="280" w:firstLineChars="100"/>
              <w:rPr>
                <w:rFonts w:ascii="仿宋_GB2312" w:eastAsia="仿宋_GB2312"/>
                <w:sz w:val="28"/>
                <w:szCs w:val="28"/>
              </w:rPr>
            </w:pPr>
            <w:r>
              <w:rPr>
                <w:rFonts w:hint="eastAsia" w:ascii="仿宋_GB2312" w:eastAsia="仿宋_GB2312"/>
                <w:sz w:val="28"/>
                <w:szCs w:val="28"/>
              </w:rPr>
              <w:t>项  目</w:t>
            </w:r>
          </w:p>
        </w:tc>
        <w:tc>
          <w:tcPr>
            <w:tcW w:w="92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2022年</w:t>
            </w:r>
          </w:p>
        </w:tc>
        <w:tc>
          <w:tcPr>
            <w:tcW w:w="101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theme="minorBidi"/>
                <w:sz w:val="28"/>
                <w:szCs w:val="28"/>
              </w:rPr>
            </w:pPr>
            <w:r>
              <w:rPr>
                <w:rFonts w:hint="eastAsia" w:ascii="仿宋_GB2312" w:eastAsia="仿宋_GB2312"/>
                <w:sz w:val="28"/>
                <w:szCs w:val="28"/>
              </w:rPr>
              <w:t>2023年</w:t>
            </w:r>
          </w:p>
          <w:p>
            <w:pPr>
              <w:spacing w:line="440" w:lineRule="exact"/>
              <w:jc w:val="center"/>
              <w:rPr>
                <w:rFonts w:ascii="仿宋_GB2312" w:eastAsia="仿宋_GB2312"/>
                <w:sz w:val="28"/>
                <w:szCs w:val="28"/>
              </w:rPr>
            </w:pPr>
            <w:r>
              <w:rPr>
                <w:rFonts w:hint="eastAsia" w:ascii="仿宋_GB2312" w:eastAsia="仿宋_GB2312"/>
                <w:sz w:val="28"/>
                <w:szCs w:val="28"/>
              </w:rPr>
              <w:t>1-7月</w:t>
            </w: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2035"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行政执法案件总数</w:t>
            </w:r>
          </w:p>
        </w:tc>
        <w:tc>
          <w:tcPr>
            <w:tcW w:w="928"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 w:eastAsia="仿宋_GB2312" w:cs="仿宋"/>
                <w:color w:val="000000"/>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616" w:type="pct"/>
            <w:vMerge w:val="restart"/>
            <w:tcBorders>
              <w:top w:val="single" w:color="auto" w:sz="4" w:space="0"/>
              <w:left w:val="single" w:color="auto" w:sz="4" w:space="0"/>
              <w:right w:val="single" w:color="auto" w:sz="4" w:space="0"/>
            </w:tcBorders>
            <w:vAlign w:val="center"/>
          </w:tcPr>
          <w:p>
            <w:pPr>
              <w:spacing w:line="600" w:lineRule="exact"/>
              <w:jc w:val="center"/>
              <w:rPr>
                <w:rFonts w:ascii="仿宋_GB2312" w:eastAsia="仿宋_GB2312" w:cstheme="minorBidi"/>
                <w:sz w:val="28"/>
                <w:szCs w:val="28"/>
              </w:rPr>
            </w:pPr>
            <w:r>
              <w:rPr>
                <w:rFonts w:hint="eastAsia" w:ascii="仿宋_GB2312" w:eastAsia="仿宋_GB2312"/>
                <w:sz w:val="28"/>
                <w:szCs w:val="28"/>
              </w:rPr>
              <w:t>柔</w:t>
            </w:r>
          </w:p>
          <w:p>
            <w:pPr>
              <w:spacing w:line="600" w:lineRule="exact"/>
              <w:jc w:val="center"/>
              <w:rPr>
                <w:rFonts w:ascii="仿宋_GB2312" w:eastAsia="仿宋_GB2312"/>
                <w:sz w:val="28"/>
                <w:szCs w:val="28"/>
              </w:rPr>
            </w:pPr>
            <w:r>
              <w:rPr>
                <w:rFonts w:hint="eastAsia" w:ascii="仿宋_GB2312" w:eastAsia="仿宋_GB2312"/>
                <w:sz w:val="28"/>
                <w:szCs w:val="28"/>
              </w:rPr>
              <w:t>性</w:t>
            </w:r>
          </w:p>
          <w:p>
            <w:pPr>
              <w:spacing w:line="600" w:lineRule="exact"/>
              <w:jc w:val="center"/>
              <w:rPr>
                <w:rFonts w:ascii="仿宋_GB2312" w:eastAsia="仿宋_GB2312"/>
                <w:sz w:val="28"/>
                <w:szCs w:val="28"/>
              </w:rPr>
            </w:pPr>
            <w:r>
              <w:rPr>
                <w:rFonts w:hint="eastAsia" w:ascii="仿宋_GB2312" w:eastAsia="仿宋_GB2312"/>
                <w:sz w:val="28"/>
                <w:szCs w:val="28"/>
              </w:rPr>
              <w:t>执</w:t>
            </w:r>
          </w:p>
          <w:p>
            <w:pPr>
              <w:spacing w:line="600" w:lineRule="exact"/>
              <w:jc w:val="center"/>
              <w:rPr>
                <w:rFonts w:ascii="仿宋_GB2312" w:eastAsia="仿宋_GB2312"/>
                <w:sz w:val="28"/>
                <w:szCs w:val="28"/>
              </w:rPr>
            </w:pPr>
            <w:r>
              <w:rPr>
                <w:rFonts w:hint="eastAsia" w:ascii="仿宋_GB2312" w:eastAsia="仿宋_GB2312"/>
                <w:sz w:val="28"/>
                <w:szCs w:val="28"/>
              </w:rPr>
              <w:t>法</w:t>
            </w: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行政指导</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行政告诫</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行政建议</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行政奖励</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劝导提示</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责令改正</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内部通报</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行政约谈</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说服教育</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调解</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616" w:type="pct"/>
            <w:vMerge w:val="continue"/>
            <w:tcBorders>
              <w:left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616"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theme="minorBidi"/>
                <w:sz w:val="28"/>
                <w:szCs w:val="28"/>
              </w:rPr>
            </w:pPr>
            <w:r>
              <w:rPr>
                <w:rFonts w:hint="eastAsia" w:ascii="仿宋_GB2312" w:eastAsia="仿宋_GB2312"/>
                <w:sz w:val="28"/>
                <w:szCs w:val="28"/>
              </w:rPr>
              <w:t>两</w:t>
            </w:r>
          </w:p>
          <w:p>
            <w:pPr>
              <w:spacing w:line="400" w:lineRule="exact"/>
              <w:jc w:val="center"/>
              <w:rPr>
                <w:rFonts w:ascii="仿宋_GB2312" w:eastAsia="仿宋_GB2312"/>
                <w:sz w:val="28"/>
                <w:szCs w:val="28"/>
              </w:rPr>
            </w:pPr>
            <w:r>
              <w:rPr>
                <w:rFonts w:hint="eastAsia" w:ascii="仿宋_GB2312" w:eastAsia="仿宋_GB2312"/>
                <w:sz w:val="28"/>
                <w:szCs w:val="28"/>
              </w:rPr>
              <w:t>轻</w:t>
            </w:r>
          </w:p>
          <w:p>
            <w:pPr>
              <w:spacing w:line="400" w:lineRule="exact"/>
              <w:jc w:val="center"/>
              <w:rPr>
                <w:rFonts w:ascii="仿宋_GB2312" w:eastAsia="仿宋_GB2312"/>
                <w:sz w:val="28"/>
                <w:szCs w:val="28"/>
              </w:rPr>
            </w:pPr>
            <w:r>
              <w:rPr>
                <w:rFonts w:hint="eastAsia" w:ascii="仿宋_GB2312" w:eastAsia="仿宋_GB2312"/>
                <w:sz w:val="28"/>
                <w:szCs w:val="28"/>
              </w:rPr>
              <w:t>一</w:t>
            </w:r>
          </w:p>
          <w:p>
            <w:pPr>
              <w:spacing w:line="400" w:lineRule="exact"/>
              <w:jc w:val="center"/>
              <w:rPr>
                <w:rFonts w:ascii="仿宋_GB2312" w:eastAsia="仿宋_GB2312"/>
                <w:sz w:val="28"/>
                <w:szCs w:val="28"/>
              </w:rPr>
            </w:pPr>
            <w:r>
              <w:rPr>
                <w:rFonts w:hint="eastAsia" w:ascii="仿宋_GB2312" w:eastAsia="仿宋_GB2312"/>
                <w:sz w:val="28"/>
                <w:szCs w:val="28"/>
              </w:rPr>
              <w:t>免</w:t>
            </w: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从轻处罚</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减轻处罚</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14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免于处罚</w:t>
            </w:r>
          </w:p>
        </w:tc>
        <w:tc>
          <w:tcPr>
            <w:tcW w:w="92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c>
          <w:tcPr>
            <w:tcW w:w="101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616"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说明</w:t>
            </w:r>
          </w:p>
        </w:tc>
        <w:tc>
          <w:tcPr>
            <w:tcW w:w="4384" w:type="pct"/>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280" w:firstLineChars="100"/>
              <w:rPr>
                <w:rFonts w:ascii="仿宋_GB2312" w:eastAsia="仿宋_GB2312"/>
                <w:sz w:val="28"/>
                <w:szCs w:val="28"/>
              </w:rPr>
            </w:pPr>
            <w:r>
              <w:rPr>
                <w:rFonts w:hint="eastAsia" w:ascii="仿宋_GB2312" w:eastAsia="仿宋_GB2312"/>
                <w:sz w:val="28"/>
                <w:szCs w:val="28"/>
              </w:rPr>
              <w:t>柔性执法未尽方式请在“……”栏填写。</w:t>
            </w:r>
          </w:p>
        </w:tc>
      </w:tr>
    </w:tbl>
    <w:p>
      <w:pPr>
        <w:widowControl/>
        <w:spacing w:line="600" w:lineRule="exact"/>
        <w:jc w:val="left"/>
        <w:rPr>
          <w:rFonts w:ascii="黑体" w:hAnsi="黑体" w:eastAsia="黑体"/>
          <w:color w:val="000000" w:themeColor="text1"/>
          <w:sz w:val="32"/>
          <w:szCs w:val="32"/>
        </w:rPr>
      </w:pPr>
      <w:r>
        <w:rPr>
          <w:rFonts w:hint="eastAsia" w:ascii="黑体" w:hAnsi="黑体" w:eastAsia="黑体"/>
          <w:color w:val="000000" w:themeColor="text1"/>
          <w:sz w:val="32"/>
          <w:szCs w:val="32"/>
        </w:rPr>
        <w:t>附件4</w:t>
      </w:r>
    </w:p>
    <w:p>
      <w:pPr>
        <w:widowControl/>
        <w:spacing w:line="600" w:lineRule="exact"/>
        <w:jc w:val="left"/>
        <w:rPr>
          <w:color w:val="000000" w:themeColor="text1"/>
        </w:rPr>
      </w:pPr>
    </w:p>
    <w:p>
      <w:pPr>
        <w:spacing w:line="600" w:lineRule="exact"/>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lang w:eastAsia="zh-CN"/>
        </w:rPr>
        <w:t>报送</w:t>
      </w:r>
      <w:r>
        <w:rPr>
          <w:rFonts w:hint="eastAsia" w:ascii="方正小标宋简体" w:hAnsi="黑体" w:eastAsia="方正小标宋简体"/>
          <w:color w:val="000000" w:themeColor="text1"/>
          <w:sz w:val="44"/>
          <w:szCs w:val="44"/>
        </w:rPr>
        <w:t>部门单位</w:t>
      </w:r>
    </w:p>
    <w:p>
      <w:pPr>
        <w:spacing w:line="600" w:lineRule="exact"/>
        <w:rPr>
          <w:rFonts w:ascii="仿宋_GB2312" w:eastAsia="仿宋_GB2312"/>
          <w:color w:val="000000" w:themeColor="text1"/>
          <w:sz w:val="32"/>
          <w:szCs w:val="32"/>
        </w:rPr>
      </w:pPr>
    </w:p>
    <w:p>
      <w:pPr>
        <w:spacing w:line="600" w:lineRule="exact"/>
        <w:ind w:firstLine="640" w:firstLineChars="200"/>
        <w:rPr>
          <w:rFonts w:hint="eastAsia"/>
        </w:rPr>
      </w:pPr>
      <w:r>
        <w:rPr>
          <w:rFonts w:hint="eastAsia" w:ascii="仿宋_GB2312" w:eastAsia="仿宋_GB2312"/>
          <w:color w:val="000000" w:themeColor="text1"/>
          <w:sz w:val="32"/>
          <w:szCs w:val="32"/>
        </w:rPr>
        <w:t>县发改局、县财政局、县审计局、县工信商务局、县市场监管局、县医保局、县统计局、县科技局、县水务局、县卫健局、县人社局、县文广</w:t>
      </w:r>
      <w:r>
        <w:rPr>
          <w:rFonts w:hint="eastAsia" w:ascii="仿宋_GB2312" w:eastAsia="仿宋_GB2312"/>
          <w:color w:val="000000" w:themeColor="text1"/>
          <w:sz w:val="32"/>
          <w:szCs w:val="32"/>
          <w:lang w:eastAsia="zh-CN"/>
        </w:rPr>
        <w:t>旅游</w:t>
      </w:r>
      <w:r>
        <w:rPr>
          <w:rFonts w:hint="eastAsia" w:ascii="仿宋_GB2312" w:eastAsia="仿宋_GB2312"/>
          <w:color w:val="000000" w:themeColor="text1"/>
          <w:sz w:val="32"/>
          <w:szCs w:val="32"/>
        </w:rPr>
        <w:t>局、县农业农村局、县公安局、县住建局、县应急管理局、县交通运输局、县教育局、县自然资源局、县民政局、县城管执法局、县民宗局、市生态环境局临泽分局、县税务局、县烟草专卖局、县消防救援大队</w:t>
      </w:r>
    </w:p>
    <w:p>
      <w:pPr>
        <w:pStyle w:val="3"/>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2" o:spid="_x0000_s2052"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rPr>
                    <w:rFonts w:ascii="宋体" w:hAnsi="宋体" w:cs="宋体"/>
                    <w:sz w:val="28"/>
                    <w:szCs w:val="28"/>
                  </w:rPr>
                </w:pPr>
              </w:p>
            </w:txbxContent>
          </v:textbox>
        </v:shape>
      </w:pict>
    </w:r>
    <w:r>
      <w:pict>
        <v:shape id="_x0000_s2053" o:spid="_x0000_s2053"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6" o:spid="_x0000_s2056"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pict>
        <v:shape id="_x0000_s2054" o:spid="_x0000_s2054" o:spt="202" type="#_x0000_t202" style="position:absolute;left:0pt;margin-top:0pt;height:144pt;width:144pt;mso-position-horizontal:in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5"/>
                  <w:rPr>
                    <w:rFonts w:ascii="宋体" w:hAnsi="宋体" w:cs="宋体"/>
                    <w:sz w:val="28"/>
                    <w:szCs w:val="28"/>
                  </w:rPr>
                </w:pPr>
              </w:p>
            </w:txbxContent>
          </v:textbox>
        </v:shape>
      </w:pict>
    </w:r>
    <w:r>
      <w:pict>
        <v:shape id="_x0000_s2055" o:spid="_x0000_s2055"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E5YjY4ZWIwNTA0NjcyNjJiMGY4NjEyYWE1M2YxZjcifQ=="/>
  </w:docVars>
  <w:rsids>
    <w:rsidRoot w:val="188C6B51"/>
    <w:rsid w:val="000135C6"/>
    <w:rsid w:val="0009772A"/>
    <w:rsid w:val="000F25D6"/>
    <w:rsid w:val="00137302"/>
    <w:rsid w:val="00204BEA"/>
    <w:rsid w:val="00263298"/>
    <w:rsid w:val="002A3668"/>
    <w:rsid w:val="002D6DF2"/>
    <w:rsid w:val="002E2493"/>
    <w:rsid w:val="0032418B"/>
    <w:rsid w:val="003760FC"/>
    <w:rsid w:val="00385207"/>
    <w:rsid w:val="003866B0"/>
    <w:rsid w:val="00397495"/>
    <w:rsid w:val="004238A4"/>
    <w:rsid w:val="004706D1"/>
    <w:rsid w:val="004B425A"/>
    <w:rsid w:val="004D02BF"/>
    <w:rsid w:val="004D20F0"/>
    <w:rsid w:val="00513D38"/>
    <w:rsid w:val="00536A12"/>
    <w:rsid w:val="00572ACA"/>
    <w:rsid w:val="005C3034"/>
    <w:rsid w:val="005F666E"/>
    <w:rsid w:val="00611F8E"/>
    <w:rsid w:val="00626E01"/>
    <w:rsid w:val="006D58E9"/>
    <w:rsid w:val="00710101"/>
    <w:rsid w:val="00716CE3"/>
    <w:rsid w:val="00722BEA"/>
    <w:rsid w:val="00746B6D"/>
    <w:rsid w:val="007A0959"/>
    <w:rsid w:val="007B097D"/>
    <w:rsid w:val="00800FA0"/>
    <w:rsid w:val="00856C5F"/>
    <w:rsid w:val="008644F6"/>
    <w:rsid w:val="00931A64"/>
    <w:rsid w:val="00934845"/>
    <w:rsid w:val="0095589A"/>
    <w:rsid w:val="00984810"/>
    <w:rsid w:val="009B6124"/>
    <w:rsid w:val="00A17243"/>
    <w:rsid w:val="00A22AA0"/>
    <w:rsid w:val="00A63613"/>
    <w:rsid w:val="00A94C81"/>
    <w:rsid w:val="00AE46CF"/>
    <w:rsid w:val="00B8087F"/>
    <w:rsid w:val="00BD3EC9"/>
    <w:rsid w:val="00C2442D"/>
    <w:rsid w:val="00C3489F"/>
    <w:rsid w:val="00C60E31"/>
    <w:rsid w:val="00C76648"/>
    <w:rsid w:val="00C8325F"/>
    <w:rsid w:val="00C91218"/>
    <w:rsid w:val="00CB323D"/>
    <w:rsid w:val="00CB73AC"/>
    <w:rsid w:val="00CC1BD0"/>
    <w:rsid w:val="00CC214C"/>
    <w:rsid w:val="00D32E38"/>
    <w:rsid w:val="00D86094"/>
    <w:rsid w:val="00DB3DF4"/>
    <w:rsid w:val="00DC49BF"/>
    <w:rsid w:val="00DD2E9A"/>
    <w:rsid w:val="00DE2BC0"/>
    <w:rsid w:val="00E34508"/>
    <w:rsid w:val="00EC125A"/>
    <w:rsid w:val="00EF32EE"/>
    <w:rsid w:val="00EF3C90"/>
    <w:rsid w:val="00F01E51"/>
    <w:rsid w:val="00F02F26"/>
    <w:rsid w:val="00F2384F"/>
    <w:rsid w:val="00F609EE"/>
    <w:rsid w:val="00F661F6"/>
    <w:rsid w:val="00FD2087"/>
    <w:rsid w:val="0123584C"/>
    <w:rsid w:val="01D152A8"/>
    <w:rsid w:val="02151639"/>
    <w:rsid w:val="025F0B06"/>
    <w:rsid w:val="028526E8"/>
    <w:rsid w:val="03AC7D7B"/>
    <w:rsid w:val="050D0870"/>
    <w:rsid w:val="066C37F1"/>
    <w:rsid w:val="06BB0D0D"/>
    <w:rsid w:val="06CB676A"/>
    <w:rsid w:val="06F14641"/>
    <w:rsid w:val="07302A71"/>
    <w:rsid w:val="087A179A"/>
    <w:rsid w:val="087B5F6E"/>
    <w:rsid w:val="091E4BA4"/>
    <w:rsid w:val="09B35274"/>
    <w:rsid w:val="09E61A1F"/>
    <w:rsid w:val="0AB10812"/>
    <w:rsid w:val="0BEA58E4"/>
    <w:rsid w:val="0C313A7D"/>
    <w:rsid w:val="0C3703FE"/>
    <w:rsid w:val="0D8633EB"/>
    <w:rsid w:val="0F0D09B4"/>
    <w:rsid w:val="0FB029A1"/>
    <w:rsid w:val="0FC71A98"/>
    <w:rsid w:val="109041A4"/>
    <w:rsid w:val="10975ED0"/>
    <w:rsid w:val="1109680C"/>
    <w:rsid w:val="11C20769"/>
    <w:rsid w:val="11F36B75"/>
    <w:rsid w:val="123D1751"/>
    <w:rsid w:val="125F420A"/>
    <w:rsid w:val="12B915D4"/>
    <w:rsid w:val="12C30517"/>
    <w:rsid w:val="14261F1F"/>
    <w:rsid w:val="14425B91"/>
    <w:rsid w:val="15853F88"/>
    <w:rsid w:val="15B87C37"/>
    <w:rsid w:val="16E2194A"/>
    <w:rsid w:val="16F4298F"/>
    <w:rsid w:val="17B9260F"/>
    <w:rsid w:val="17D36EBC"/>
    <w:rsid w:val="18824787"/>
    <w:rsid w:val="188C6B51"/>
    <w:rsid w:val="18945EC6"/>
    <w:rsid w:val="189848E7"/>
    <w:rsid w:val="19795202"/>
    <w:rsid w:val="19D36466"/>
    <w:rsid w:val="19DC4392"/>
    <w:rsid w:val="19EF2361"/>
    <w:rsid w:val="19F142E2"/>
    <w:rsid w:val="19F31E08"/>
    <w:rsid w:val="1A8E6A4E"/>
    <w:rsid w:val="1AB07CF9"/>
    <w:rsid w:val="1B22257E"/>
    <w:rsid w:val="1B281F85"/>
    <w:rsid w:val="1B51531E"/>
    <w:rsid w:val="1BDE669C"/>
    <w:rsid w:val="1C5823F6"/>
    <w:rsid w:val="1D102CD1"/>
    <w:rsid w:val="1D32031C"/>
    <w:rsid w:val="1D64321A"/>
    <w:rsid w:val="1F6B41EE"/>
    <w:rsid w:val="20474C5A"/>
    <w:rsid w:val="20DD55C0"/>
    <w:rsid w:val="21934BAB"/>
    <w:rsid w:val="21A331FD"/>
    <w:rsid w:val="21E464DA"/>
    <w:rsid w:val="22F015DA"/>
    <w:rsid w:val="24347639"/>
    <w:rsid w:val="25293A89"/>
    <w:rsid w:val="25ED0053"/>
    <w:rsid w:val="26AD77E2"/>
    <w:rsid w:val="27545EB0"/>
    <w:rsid w:val="27A42993"/>
    <w:rsid w:val="28C01A4F"/>
    <w:rsid w:val="29620067"/>
    <w:rsid w:val="298B3E14"/>
    <w:rsid w:val="29F60EA3"/>
    <w:rsid w:val="2A314286"/>
    <w:rsid w:val="2ACB46DB"/>
    <w:rsid w:val="2B475A91"/>
    <w:rsid w:val="2B6F32B8"/>
    <w:rsid w:val="2B7E174D"/>
    <w:rsid w:val="2B8E7BE2"/>
    <w:rsid w:val="2C4F7B4D"/>
    <w:rsid w:val="2C5408D6"/>
    <w:rsid w:val="2C6426F1"/>
    <w:rsid w:val="2DD2241E"/>
    <w:rsid w:val="2DE47F8D"/>
    <w:rsid w:val="2F2002E3"/>
    <w:rsid w:val="2FE4651D"/>
    <w:rsid w:val="2FEE50F3"/>
    <w:rsid w:val="30E22863"/>
    <w:rsid w:val="31237440"/>
    <w:rsid w:val="31771119"/>
    <w:rsid w:val="31927D00"/>
    <w:rsid w:val="31B9703B"/>
    <w:rsid w:val="320E3234"/>
    <w:rsid w:val="321B1AA4"/>
    <w:rsid w:val="323D1A1A"/>
    <w:rsid w:val="32546D64"/>
    <w:rsid w:val="32786EF6"/>
    <w:rsid w:val="32B26993"/>
    <w:rsid w:val="330E33B7"/>
    <w:rsid w:val="332130EA"/>
    <w:rsid w:val="336E1101"/>
    <w:rsid w:val="3428494C"/>
    <w:rsid w:val="34434269"/>
    <w:rsid w:val="34820207"/>
    <w:rsid w:val="356E2833"/>
    <w:rsid w:val="35C173FF"/>
    <w:rsid w:val="35F1149A"/>
    <w:rsid w:val="3651018A"/>
    <w:rsid w:val="36C67574"/>
    <w:rsid w:val="37645C9B"/>
    <w:rsid w:val="37F012DD"/>
    <w:rsid w:val="38743CBC"/>
    <w:rsid w:val="388A5774"/>
    <w:rsid w:val="39FE2410"/>
    <w:rsid w:val="3A726921"/>
    <w:rsid w:val="3AF17846"/>
    <w:rsid w:val="3AFE5BEB"/>
    <w:rsid w:val="3B4F0FD9"/>
    <w:rsid w:val="3B63520C"/>
    <w:rsid w:val="3BFD0102"/>
    <w:rsid w:val="3C033F34"/>
    <w:rsid w:val="3C067321"/>
    <w:rsid w:val="3C3420E0"/>
    <w:rsid w:val="3CFB4D18"/>
    <w:rsid w:val="3D204412"/>
    <w:rsid w:val="3D4332E4"/>
    <w:rsid w:val="3D864BBD"/>
    <w:rsid w:val="3E2919ED"/>
    <w:rsid w:val="3E8A248B"/>
    <w:rsid w:val="3F1B7B55"/>
    <w:rsid w:val="3FF656F1"/>
    <w:rsid w:val="400C5122"/>
    <w:rsid w:val="404C353D"/>
    <w:rsid w:val="408166C6"/>
    <w:rsid w:val="40A451C6"/>
    <w:rsid w:val="40A60534"/>
    <w:rsid w:val="41B97BA5"/>
    <w:rsid w:val="41DA7286"/>
    <w:rsid w:val="42A11B51"/>
    <w:rsid w:val="42D812EB"/>
    <w:rsid w:val="43DA0FA0"/>
    <w:rsid w:val="442E38B9"/>
    <w:rsid w:val="447571E5"/>
    <w:rsid w:val="44B4233A"/>
    <w:rsid w:val="457F1EF2"/>
    <w:rsid w:val="47653A95"/>
    <w:rsid w:val="47A65E5C"/>
    <w:rsid w:val="48143DA3"/>
    <w:rsid w:val="48967C7F"/>
    <w:rsid w:val="48AD13C3"/>
    <w:rsid w:val="48B163D7"/>
    <w:rsid w:val="49025314"/>
    <w:rsid w:val="49812065"/>
    <w:rsid w:val="499D3D71"/>
    <w:rsid w:val="4A7B35D0"/>
    <w:rsid w:val="4AC277CD"/>
    <w:rsid w:val="4AE54E36"/>
    <w:rsid w:val="4AF62C56"/>
    <w:rsid w:val="4C5E2693"/>
    <w:rsid w:val="4CAA1617"/>
    <w:rsid w:val="4CE644AA"/>
    <w:rsid w:val="4D2E61D3"/>
    <w:rsid w:val="4EB626A8"/>
    <w:rsid w:val="4F2320A5"/>
    <w:rsid w:val="4F480A87"/>
    <w:rsid w:val="50DC644B"/>
    <w:rsid w:val="51705511"/>
    <w:rsid w:val="51810ACE"/>
    <w:rsid w:val="51DD2408"/>
    <w:rsid w:val="52911BE2"/>
    <w:rsid w:val="53446469"/>
    <w:rsid w:val="538A3C36"/>
    <w:rsid w:val="54596730"/>
    <w:rsid w:val="54684BC5"/>
    <w:rsid w:val="54B81C90"/>
    <w:rsid w:val="54BA4CF5"/>
    <w:rsid w:val="55572544"/>
    <w:rsid w:val="555F7E80"/>
    <w:rsid w:val="556D4086"/>
    <w:rsid w:val="55AC288F"/>
    <w:rsid w:val="55D87B28"/>
    <w:rsid w:val="5604091D"/>
    <w:rsid w:val="56CE3240"/>
    <w:rsid w:val="56E27E30"/>
    <w:rsid w:val="57154464"/>
    <w:rsid w:val="5753390A"/>
    <w:rsid w:val="57602982"/>
    <w:rsid w:val="57E21552"/>
    <w:rsid w:val="584F05EC"/>
    <w:rsid w:val="59101387"/>
    <w:rsid w:val="5952374E"/>
    <w:rsid w:val="597A3E5F"/>
    <w:rsid w:val="59AC5554"/>
    <w:rsid w:val="5ABC29E4"/>
    <w:rsid w:val="5ADD173D"/>
    <w:rsid w:val="5B55190F"/>
    <w:rsid w:val="5C036F81"/>
    <w:rsid w:val="5C390BF5"/>
    <w:rsid w:val="5D83037A"/>
    <w:rsid w:val="5D984538"/>
    <w:rsid w:val="5E6C52B2"/>
    <w:rsid w:val="5E7128C8"/>
    <w:rsid w:val="5E987E55"/>
    <w:rsid w:val="5EA66A16"/>
    <w:rsid w:val="5EDF4A90"/>
    <w:rsid w:val="5EFA6410"/>
    <w:rsid w:val="5F401D98"/>
    <w:rsid w:val="5FC35C9F"/>
    <w:rsid w:val="60400949"/>
    <w:rsid w:val="6071095D"/>
    <w:rsid w:val="613D2F35"/>
    <w:rsid w:val="618A3543"/>
    <w:rsid w:val="629672FA"/>
    <w:rsid w:val="62FE19DC"/>
    <w:rsid w:val="637064DC"/>
    <w:rsid w:val="647515E4"/>
    <w:rsid w:val="647F1814"/>
    <w:rsid w:val="64F47DAF"/>
    <w:rsid w:val="65414900"/>
    <w:rsid w:val="65C459D3"/>
    <w:rsid w:val="65D52E9F"/>
    <w:rsid w:val="66BC66AA"/>
    <w:rsid w:val="684B34A6"/>
    <w:rsid w:val="68701E42"/>
    <w:rsid w:val="68767EC3"/>
    <w:rsid w:val="68F44821"/>
    <w:rsid w:val="68FC4C69"/>
    <w:rsid w:val="690C43BB"/>
    <w:rsid w:val="6922138F"/>
    <w:rsid w:val="69E50829"/>
    <w:rsid w:val="6A4529C4"/>
    <w:rsid w:val="6A7E25F5"/>
    <w:rsid w:val="6AC30092"/>
    <w:rsid w:val="6AED1528"/>
    <w:rsid w:val="6BB0410D"/>
    <w:rsid w:val="6D175EDC"/>
    <w:rsid w:val="6D567859"/>
    <w:rsid w:val="6DB93944"/>
    <w:rsid w:val="6DC742B3"/>
    <w:rsid w:val="6FB21EDA"/>
    <w:rsid w:val="6FC82564"/>
    <w:rsid w:val="6FF2313D"/>
    <w:rsid w:val="700C06A3"/>
    <w:rsid w:val="7010675C"/>
    <w:rsid w:val="703F2826"/>
    <w:rsid w:val="70433998"/>
    <w:rsid w:val="713A123F"/>
    <w:rsid w:val="7225689C"/>
    <w:rsid w:val="72437369"/>
    <w:rsid w:val="72A1699A"/>
    <w:rsid w:val="72A9667D"/>
    <w:rsid w:val="730974BC"/>
    <w:rsid w:val="73247AB1"/>
    <w:rsid w:val="73695AEC"/>
    <w:rsid w:val="73AD5CF9"/>
    <w:rsid w:val="7447614D"/>
    <w:rsid w:val="74D2032A"/>
    <w:rsid w:val="74E62C0A"/>
    <w:rsid w:val="74EE3CDB"/>
    <w:rsid w:val="74F076F8"/>
    <w:rsid w:val="750F5DEA"/>
    <w:rsid w:val="755A442D"/>
    <w:rsid w:val="75986535"/>
    <w:rsid w:val="7601232C"/>
    <w:rsid w:val="76F64596"/>
    <w:rsid w:val="772340B3"/>
    <w:rsid w:val="782D7408"/>
    <w:rsid w:val="784C77A3"/>
    <w:rsid w:val="78850FF2"/>
    <w:rsid w:val="78F521A4"/>
    <w:rsid w:val="78F9378E"/>
    <w:rsid w:val="79020FC8"/>
    <w:rsid w:val="790A7749"/>
    <w:rsid w:val="7A150154"/>
    <w:rsid w:val="7B425A7B"/>
    <w:rsid w:val="7BA06143"/>
    <w:rsid w:val="7C756B74"/>
    <w:rsid w:val="7C9061B7"/>
    <w:rsid w:val="7CE04A49"/>
    <w:rsid w:val="7CE31949"/>
    <w:rsid w:val="7D250FF6"/>
    <w:rsid w:val="7D433982"/>
    <w:rsid w:val="7D5E0711"/>
    <w:rsid w:val="7EA97B51"/>
    <w:rsid w:val="7EC32874"/>
    <w:rsid w:val="7EEA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qFormat/>
    <w:uiPriority w:val="0"/>
    <w:pPr>
      <w:spacing w:after="120"/>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qFormat/>
    <w:uiPriority w:val="0"/>
    <w:pPr>
      <w:spacing w:beforeAutospacing="1" w:afterAutospacing="1"/>
    </w:pPr>
    <w:rPr>
      <w:rFonts w:ascii="宋体" w:hAnsi="宋体" w:eastAsia="宋体" w:cs="Times New Roman"/>
      <w:sz w:val="24"/>
      <w:lang w:val="en-US" w:eastAsia="zh-CN" w:bidi="ar-SA"/>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p0"/>
    <w:basedOn w:val="1"/>
    <w:qFormat/>
    <w:uiPriority w:val="0"/>
    <w:pPr>
      <w:widowControl/>
      <w:spacing w:line="590" w:lineRule="atLeast"/>
      <w:ind w:left="1"/>
    </w:pPr>
    <w:rPr>
      <w:color w:val="000000"/>
      <w:kern w:val="0"/>
      <w:szCs w:val="21"/>
    </w:rPr>
  </w:style>
  <w:style w:type="character" w:customStyle="1" w:styleId="12">
    <w:name w:val="日期 Char"/>
    <w:basedOn w:val="10"/>
    <w:link w:val="4"/>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3"/>
    <customShpInfo spid="_x0000_s2056" textRotate="1"/>
    <customShpInfo spid="_x0000_s2054"/>
    <customShpInfo spid="_x0000_s2055"/>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2097</Words>
  <Characters>2140</Characters>
  <Lines>18</Lines>
  <Paragraphs>5</Paragraphs>
  <TotalTime>5</TotalTime>
  <ScaleCrop>false</ScaleCrop>
  <LinksUpToDate>false</LinksUpToDate>
  <CharactersWithSpaces>2418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2023-07-29T09:10:00Z</dcterms:created>
  <dc:creator>WPS_1635648396</dc:creator>
  <cp:lastModifiedBy>邹美鸿</cp:lastModifiedBy>
  <cp:lastPrinted>2023-07-31T08:25:00Z</cp:lastPrinted>
  <dcterms:modified xsi:type="dcterms:W3CDTF">2023-07-31T09:58:02Z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17203D7F75BB4D7CBDC176A9EEBEDFC2</vt:lpwstr>
  </property>
</Properties>
</file>