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87CE9">
      <w:pPr>
        <w:rPr>
          <w:rFonts w:hint="default" w:ascii="Times New Roman" w:hAnsi="Times New Roman" w:eastAsia="仿宋" w:cs="Times New Roman"/>
          <w:sz w:val="36"/>
          <w:szCs w:val="36"/>
        </w:rPr>
      </w:pPr>
      <w:bookmarkStart w:id="0" w:name="_Hlk57883707"/>
    </w:p>
    <w:bookmarkEnd w:id="0"/>
    <w:p w14:paraId="720F760E">
      <w:pPr>
        <w:adjustRightInd w:val="0"/>
        <w:snapToGrid w:val="0"/>
        <w:ind w:left="0" w:leftChars="0" w:firstLine="720" w:firstLineChars="100"/>
        <w:jc w:val="both"/>
        <w:outlineLvl w:val="0"/>
        <w:rPr>
          <w:rFonts w:hint="default" w:ascii="Times New Roman" w:hAnsi="Times New Roman" w:eastAsia="仿宋" w:cs="Times New Roman"/>
          <w:bCs/>
          <w:sz w:val="72"/>
          <w:szCs w:val="72"/>
        </w:rPr>
      </w:pPr>
      <w:r>
        <w:rPr>
          <w:rFonts w:hint="default" w:ascii="Times New Roman" w:hAnsi="Times New Roman" w:eastAsia="仿宋" w:cs="Times New Roman"/>
          <w:bCs/>
          <w:sz w:val="72"/>
          <w:szCs w:val="72"/>
        </w:rPr>
        <w:t>建设项目环境影响报告表</w:t>
      </w:r>
    </w:p>
    <w:p w14:paraId="2635E3B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仿宋" w:cs="Times New Roman"/>
          <w:bCs/>
          <w:sz w:val="56"/>
          <w:szCs w:val="56"/>
        </w:rPr>
      </w:pPr>
      <w:r>
        <w:rPr>
          <w:rFonts w:hint="default" w:ascii="Times New Roman" w:hAnsi="Times New Roman" w:eastAsia="仿宋" w:cs="Times New Roman"/>
          <w:bCs/>
          <w:sz w:val="56"/>
          <w:szCs w:val="56"/>
        </w:rPr>
        <w:t>（生态影响类）</w:t>
      </w:r>
    </w:p>
    <w:p w14:paraId="645B9C2F">
      <w:pPr>
        <w:pStyle w:val="33"/>
        <w:ind w:left="0" w:leftChars="0" w:firstLine="0" w:firstLineChars="0"/>
        <w:jc w:val="center"/>
        <w:rPr>
          <w:rFonts w:hint="default" w:eastAsia="仿宋"/>
          <w:sz w:val="40"/>
          <w:szCs w:val="40"/>
          <w:lang w:val="en-US" w:eastAsia="zh-CN"/>
        </w:rPr>
      </w:pPr>
      <w:r>
        <w:rPr>
          <w:rFonts w:hint="eastAsia" w:eastAsia="仿宋"/>
          <w:sz w:val="40"/>
          <w:szCs w:val="40"/>
          <w:lang w:val="en-US" w:eastAsia="zh-CN"/>
        </w:rPr>
        <w:t>（报批稿）</w:t>
      </w:r>
    </w:p>
    <w:p w14:paraId="133B0844">
      <w:pPr>
        <w:adjustRightInd w:val="0"/>
        <w:snapToGrid w:val="0"/>
        <w:spacing w:line="288" w:lineRule="auto"/>
        <w:jc w:val="center"/>
        <w:outlineLvl w:val="9"/>
        <w:rPr>
          <w:rFonts w:hint="default" w:ascii="Times New Roman" w:hAnsi="Times New Roman" w:eastAsia="仿宋" w:cs="Times New Roman"/>
          <w:color w:val="000000"/>
          <w:kern w:val="44"/>
          <w:sz w:val="44"/>
          <w:szCs w:val="44"/>
        </w:rPr>
      </w:pPr>
      <w:bookmarkStart w:id="1" w:name="_Hlk57883728"/>
    </w:p>
    <w:p w14:paraId="53D3894F">
      <w:pPr>
        <w:ind w:firstLine="1040"/>
        <w:rPr>
          <w:rFonts w:hint="default" w:ascii="Times New Roman" w:hAnsi="Times New Roman" w:eastAsia="仿宋" w:cs="Times New Roman"/>
          <w:sz w:val="44"/>
          <w:szCs w:val="44"/>
        </w:rPr>
      </w:pPr>
    </w:p>
    <w:p w14:paraId="3B95F743">
      <w:pPr>
        <w:ind w:firstLine="1040"/>
        <w:rPr>
          <w:rFonts w:hint="default" w:ascii="Times New Roman" w:hAnsi="Times New Roman" w:eastAsia="仿宋" w:cs="Times New Roman"/>
          <w:sz w:val="44"/>
          <w:szCs w:val="44"/>
        </w:rPr>
      </w:pPr>
    </w:p>
    <w:p w14:paraId="3690F998">
      <w:pPr>
        <w:bidi w:val="0"/>
        <w:rPr>
          <w:rFonts w:hint="default"/>
        </w:rPr>
      </w:pPr>
    </w:p>
    <w:p w14:paraId="165EDDC2">
      <w:pPr>
        <w:bidi w:val="0"/>
        <w:rPr>
          <w:rFonts w:hint="default"/>
        </w:rPr>
      </w:pPr>
    </w:p>
    <w:p w14:paraId="646E1503">
      <w:pPr>
        <w:rPr>
          <w:rFonts w:hint="default"/>
        </w:rPr>
      </w:pPr>
    </w:p>
    <w:p w14:paraId="5BA23262">
      <w:pPr>
        <w:ind w:firstLine="1040"/>
        <w:rPr>
          <w:rFonts w:hint="default" w:ascii="Times New Roman" w:hAnsi="Times New Roman" w:eastAsia="仿宋" w:cs="Times New Roman"/>
          <w:sz w:val="44"/>
          <w:szCs w:val="44"/>
        </w:rPr>
      </w:pPr>
    </w:p>
    <w:p w14:paraId="14EF0AAE">
      <w:pPr>
        <w:pStyle w:val="26"/>
        <w:rPr>
          <w:rFonts w:hint="default" w:ascii="Times New Roman" w:hAnsi="Times New Roman" w:eastAsia="仿宋" w:cs="Times New Roman"/>
          <w:sz w:val="44"/>
          <w:szCs w:val="44"/>
        </w:rPr>
      </w:pPr>
    </w:p>
    <w:p w14:paraId="1F82628D">
      <w:pPr>
        <w:rPr>
          <w:rFonts w:hint="default"/>
        </w:rPr>
      </w:pPr>
    </w:p>
    <w:p w14:paraId="25F79EE3">
      <w:pPr>
        <w:rPr>
          <w:rFonts w:hint="default"/>
        </w:rPr>
      </w:pPr>
    </w:p>
    <w:bookmarkEnd w:id="1"/>
    <w:p w14:paraId="2784D155">
      <w:pPr>
        <w:adjustRightInd w:val="0"/>
        <w:snapToGrid w:val="0"/>
        <w:spacing w:line="360" w:lineRule="auto"/>
        <w:ind w:left="0" w:leftChars="0" w:firstLine="560" w:firstLineChars="200"/>
        <w:rPr>
          <w:rFonts w:hint="default" w:ascii="Times New Roman" w:hAnsi="Times New Roman" w:eastAsia="仿宋" w:cs="Times New Roman"/>
          <w:sz w:val="28"/>
          <w:szCs w:val="28"/>
          <w:u w:val="single"/>
          <w:lang w:val="en-US" w:eastAsia="zh-CN"/>
        </w:rPr>
      </w:pPr>
      <w:r>
        <w:rPr>
          <w:rFonts w:hint="default" w:ascii="Times New Roman" w:hAnsi="Times New Roman" w:eastAsia="仿宋" w:cs="Times New Roman"/>
          <w:sz w:val="28"/>
          <w:szCs w:val="28"/>
        </w:rPr>
        <w:t>项目名称：</w:t>
      </w:r>
      <w:r>
        <w:rPr>
          <w:rFonts w:hint="eastAsia" w:eastAsia="仿宋" w:cs="Times New Roman"/>
          <w:sz w:val="28"/>
          <w:szCs w:val="28"/>
          <w:u w:val="single"/>
          <w:lang w:val="en-US" w:eastAsia="zh-CN"/>
        </w:rPr>
        <w:t>临泽县九眼泉河项目区小流域综合治理提质增效项目</w:t>
      </w:r>
    </w:p>
    <w:p w14:paraId="07D20ED0">
      <w:pPr>
        <w:adjustRightInd w:val="0"/>
        <w:snapToGrid w:val="0"/>
        <w:spacing w:line="360" w:lineRule="auto"/>
        <w:ind w:left="0" w:leftChars="0" w:firstLine="560" w:firstLineChars="200"/>
        <w:rPr>
          <w:rFonts w:hint="default" w:ascii="Times New Roman" w:hAnsi="Times New Roman" w:eastAsia="仿宋" w:cs="Times New Roman"/>
          <w:sz w:val="28"/>
          <w:szCs w:val="28"/>
          <w:u w:val="single"/>
          <w:lang w:val="en-US" w:eastAsia="zh-CN"/>
        </w:rPr>
      </w:pPr>
      <w:r>
        <w:rPr>
          <w:rFonts w:hint="default" w:ascii="Times New Roman" w:hAnsi="Times New Roman" w:eastAsia="仿宋" w:cs="Times New Roman"/>
          <w:sz w:val="28"/>
          <w:szCs w:val="28"/>
        </w:rPr>
        <w:t>建设单位（盖章）：</w:t>
      </w:r>
      <w:r>
        <w:rPr>
          <w:rFonts w:hint="eastAsia" w:eastAsia="仿宋" w:cs="Times New Roman"/>
          <w:sz w:val="28"/>
          <w:szCs w:val="28"/>
          <w:u w:val="single"/>
          <w:lang w:val="en-US" w:eastAsia="zh-CN"/>
        </w:rPr>
        <w:t>临泽县大沙河流域管理局</w:t>
      </w:r>
    </w:p>
    <w:p w14:paraId="7AD6FC4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Times New Roman" w:hAnsi="Times New Roman" w:eastAsia="仿宋" w:cs="Times New Roman"/>
          <w:sz w:val="36"/>
          <w:szCs w:val="36"/>
          <w:u w:val="single"/>
          <w:lang w:val="en-US" w:eastAsia="zh-CN"/>
        </w:rPr>
      </w:pPr>
      <w:r>
        <w:rPr>
          <w:rFonts w:hint="default" w:ascii="Times New Roman" w:hAnsi="Times New Roman" w:eastAsia="仿宋" w:cs="Times New Roman"/>
          <w:sz w:val="28"/>
          <w:szCs w:val="28"/>
        </w:rPr>
        <w:t>编制日期：</w:t>
      </w:r>
      <w:r>
        <w:rPr>
          <w:rFonts w:hint="default" w:ascii="Times New Roman" w:hAnsi="Times New Roman" w:eastAsia="仿宋" w:cs="Times New Roman"/>
          <w:kern w:val="10"/>
          <w:sz w:val="28"/>
          <w:szCs w:val="28"/>
          <w:u w:val="single"/>
          <w:lang w:val="en-US" w:eastAsia="zh-CN"/>
        </w:rPr>
        <w:t>202</w:t>
      </w:r>
      <w:r>
        <w:rPr>
          <w:rFonts w:hint="eastAsia" w:eastAsia="仿宋" w:cs="Times New Roman"/>
          <w:kern w:val="10"/>
          <w:sz w:val="28"/>
          <w:szCs w:val="28"/>
          <w:u w:val="single"/>
          <w:lang w:val="en-US" w:eastAsia="zh-CN"/>
        </w:rPr>
        <w:t>6</w:t>
      </w:r>
      <w:r>
        <w:rPr>
          <w:rFonts w:hint="default" w:ascii="Times New Roman" w:hAnsi="Times New Roman" w:eastAsia="仿宋" w:cs="Times New Roman"/>
          <w:kern w:val="10"/>
          <w:sz w:val="28"/>
          <w:szCs w:val="28"/>
          <w:u w:val="single"/>
          <w:lang w:val="en-US" w:eastAsia="zh-CN"/>
        </w:rPr>
        <w:t>年</w:t>
      </w:r>
      <w:r>
        <w:rPr>
          <w:rFonts w:hint="eastAsia" w:eastAsia="仿宋" w:cs="Times New Roman"/>
          <w:kern w:val="10"/>
          <w:sz w:val="28"/>
          <w:szCs w:val="28"/>
          <w:u w:val="single"/>
          <w:lang w:val="en-US" w:eastAsia="zh-CN"/>
        </w:rPr>
        <w:t>7</w:t>
      </w:r>
      <w:r>
        <w:rPr>
          <w:rFonts w:hint="default" w:ascii="Times New Roman" w:hAnsi="Times New Roman" w:eastAsia="仿宋" w:cs="Times New Roman"/>
          <w:kern w:val="10"/>
          <w:sz w:val="28"/>
          <w:szCs w:val="28"/>
          <w:u w:val="single"/>
          <w:lang w:val="en-US" w:eastAsia="zh-CN"/>
        </w:rPr>
        <w:t>月</w:t>
      </w:r>
    </w:p>
    <w:p w14:paraId="4E424B0D">
      <w:pPr>
        <w:adjustRightInd w:val="0"/>
        <w:snapToGrid w:val="0"/>
        <w:spacing w:line="288" w:lineRule="auto"/>
        <w:ind w:firstLine="1040"/>
        <w:rPr>
          <w:rFonts w:hint="default" w:ascii="Times New Roman" w:hAnsi="Times New Roman" w:eastAsia="仿宋" w:cs="Times New Roman"/>
          <w:sz w:val="36"/>
          <w:szCs w:val="36"/>
          <w:u w:val="single"/>
        </w:rPr>
      </w:pPr>
    </w:p>
    <w:p w14:paraId="72921EEB">
      <w:pPr>
        <w:adjustRightInd w:val="0"/>
        <w:snapToGrid w:val="0"/>
        <w:spacing w:line="288" w:lineRule="auto"/>
        <w:jc w:val="center"/>
        <w:rPr>
          <w:rFonts w:hint="default" w:ascii="Times New Roman" w:hAnsi="Times New Roman" w:eastAsia="仿宋" w:cs="Times New Roman"/>
          <w:color w:val="000000"/>
          <w:kern w:val="21"/>
          <w:sz w:val="32"/>
          <w:szCs w:val="32"/>
        </w:rPr>
        <w:sectPr>
          <w:footerReference r:id="rId5" w:type="default"/>
          <w:pgSz w:w="11906" w:h="16838"/>
          <w:pgMar w:top="1701" w:right="1531" w:bottom="1701" w:left="1531" w:header="851" w:footer="1077" w:gutter="0"/>
          <w:pgNumType w:start="21"/>
          <w:cols w:space="720" w:num="1"/>
          <w:docGrid w:linePitch="312" w:charSpace="0"/>
        </w:sectPr>
      </w:pPr>
      <w:r>
        <w:rPr>
          <w:rFonts w:hint="default" w:ascii="Times New Roman" w:hAnsi="Times New Roman" w:eastAsia="仿宋" w:cs="Times New Roman"/>
          <w:color w:val="000000"/>
          <w:kern w:val="21"/>
          <w:sz w:val="32"/>
          <w:szCs w:val="32"/>
        </w:rPr>
        <w:t>中华人民共和国生态环境部制</w:t>
      </w:r>
    </w:p>
    <w:p w14:paraId="10F407D9">
      <w:pPr>
        <w:adjustRightInd w:val="0"/>
        <w:snapToGrid w:val="0"/>
        <w:spacing w:line="288" w:lineRule="auto"/>
        <w:jc w:val="center"/>
        <w:rPr>
          <w:rFonts w:hint="default" w:ascii="Times New Roman" w:hAnsi="Times New Roman" w:eastAsia="仿宋" w:cs="Times New Roman"/>
          <w:color w:val="000000"/>
          <w:kern w:val="21"/>
          <w:sz w:val="32"/>
          <w:szCs w:val="32"/>
        </w:rPr>
        <w:sectPr>
          <w:pgSz w:w="11906" w:h="16838"/>
          <w:pgMar w:top="1701" w:right="1531" w:bottom="1701" w:left="1531" w:header="851" w:footer="1077" w:gutter="0"/>
          <w:pgNumType w:start="21"/>
          <w:cols w:space="720" w:num="1"/>
          <w:docGrid w:linePitch="312" w:charSpace="0"/>
        </w:sect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14:paraId="78F6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7B662CF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仿宋" w:cs="Times New Roman"/>
                <w:color w:val="000000"/>
                <w:kern w:val="21"/>
                <w:sz w:val="32"/>
                <w:szCs w:val="32"/>
                <w:vertAlign w:val="baseline"/>
                <w:lang w:eastAsia="zh-CN"/>
              </w:rPr>
            </w:pPr>
            <w:r>
              <w:rPr>
                <w:rFonts w:hint="eastAsia" w:ascii="Times New Roman" w:hAnsi="Times New Roman" w:eastAsia="仿宋" w:cs="Times New Roman"/>
                <w:color w:val="000000"/>
                <w:kern w:val="21"/>
                <w:sz w:val="32"/>
                <w:szCs w:val="32"/>
                <w:vertAlign w:val="baseline"/>
                <w:lang w:eastAsia="zh-CN"/>
              </w:rPr>
              <w:drawing>
                <wp:inline distT="0" distB="0" distL="114300" distR="114300">
                  <wp:extent cx="2723515" cy="2042160"/>
                  <wp:effectExtent l="0" t="0" r="635" b="15240"/>
                  <wp:docPr id="2" name="图片 2" descr="工程师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工程师2"/>
                          <pic:cNvPicPr>
                            <a:picLocks noChangeAspect="1"/>
                          </pic:cNvPicPr>
                        </pic:nvPicPr>
                        <pic:blipFill>
                          <a:blip r:embed="rId8"/>
                          <a:stretch>
                            <a:fillRect/>
                          </a:stretch>
                        </pic:blipFill>
                        <pic:spPr>
                          <a:xfrm>
                            <a:off x="0" y="0"/>
                            <a:ext cx="2723515" cy="2042160"/>
                          </a:xfrm>
                          <a:prstGeom prst="rect">
                            <a:avLst/>
                          </a:prstGeom>
                        </pic:spPr>
                      </pic:pic>
                    </a:graphicData>
                  </a:graphic>
                </wp:inline>
              </w:drawing>
            </w:r>
          </w:p>
        </w:tc>
        <w:tc>
          <w:tcPr>
            <w:tcW w:w="4530" w:type="dxa"/>
          </w:tcPr>
          <w:p w14:paraId="1C726F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 w:cs="Times New Roman"/>
                <w:color w:val="000000"/>
                <w:kern w:val="21"/>
                <w:sz w:val="32"/>
                <w:szCs w:val="32"/>
                <w:vertAlign w:val="baseline"/>
                <w:lang w:eastAsia="zh-CN"/>
              </w:rPr>
            </w:pPr>
            <w:r>
              <w:rPr>
                <w:rFonts w:hint="eastAsia" w:ascii="Times New Roman" w:hAnsi="Times New Roman" w:eastAsia="仿宋" w:cs="Times New Roman"/>
                <w:color w:val="000000"/>
                <w:kern w:val="21"/>
                <w:sz w:val="32"/>
                <w:szCs w:val="32"/>
                <w:vertAlign w:val="baseline"/>
                <w:lang w:eastAsia="zh-CN"/>
              </w:rPr>
              <w:drawing>
                <wp:inline distT="0" distB="0" distL="114300" distR="114300">
                  <wp:extent cx="2705100" cy="2028825"/>
                  <wp:effectExtent l="0" t="0" r="0" b="9525"/>
                  <wp:docPr id="6" name="图片 6" descr="DJI_20260609171010_0471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JI_20260609171010_0471_D"/>
                          <pic:cNvPicPr>
                            <a:picLocks noChangeAspect="1"/>
                          </pic:cNvPicPr>
                        </pic:nvPicPr>
                        <pic:blipFill>
                          <a:blip r:embed="rId9"/>
                          <a:stretch>
                            <a:fillRect/>
                          </a:stretch>
                        </pic:blipFill>
                        <pic:spPr>
                          <a:xfrm>
                            <a:off x="0" y="0"/>
                            <a:ext cx="2705100" cy="2028825"/>
                          </a:xfrm>
                          <a:prstGeom prst="rect">
                            <a:avLst/>
                          </a:prstGeom>
                        </pic:spPr>
                      </pic:pic>
                    </a:graphicData>
                  </a:graphic>
                </wp:inline>
              </w:drawing>
            </w:r>
          </w:p>
        </w:tc>
      </w:tr>
      <w:tr w14:paraId="760B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46B340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olor w:val="000000"/>
                <w:kern w:val="21"/>
                <w:sz w:val="32"/>
                <w:szCs w:val="32"/>
                <w:vertAlign w:val="baseline"/>
                <w:lang w:val="en-US" w:eastAsia="zh-CN"/>
              </w:rPr>
            </w:pPr>
            <w:r>
              <w:rPr>
                <w:rFonts w:hint="eastAsia" w:eastAsia="仿宋" w:cs="Times New Roman"/>
                <w:color w:val="000000"/>
                <w:kern w:val="21"/>
                <w:sz w:val="32"/>
                <w:szCs w:val="32"/>
                <w:vertAlign w:val="baseline"/>
                <w:lang w:val="en-US" w:eastAsia="zh-CN"/>
              </w:rPr>
              <w:t>工程师现场踏勘照片</w:t>
            </w:r>
          </w:p>
        </w:tc>
        <w:tc>
          <w:tcPr>
            <w:tcW w:w="4530" w:type="dxa"/>
          </w:tcPr>
          <w:p w14:paraId="012840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olor w:val="000000"/>
                <w:kern w:val="21"/>
                <w:sz w:val="32"/>
                <w:szCs w:val="32"/>
                <w:vertAlign w:val="baseline"/>
                <w:lang w:val="en-US" w:eastAsia="zh-CN"/>
              </w:rPr>
            </w:pPr>
            <w:r>
              <w:rPr>
                <w:rFonts w:hint="eastAsia" w:eastAsia="仿宋" w:cs="Times New Roman"/>
                <w:color w:val="000000"/>
                <w:kern w:val="21"/>
                <w:sz w:val="32"/>
                <w:szCs w:val="32"/>
                <w:vertAlign w:val="baseline"/>
                <w:lang w:val="en-US" w:eastAsia="zh-CN"/>
              </w:rPr>
              <w:t>项目低效林现状</w:t>
            </w:r>
          </w:p>
        </w:tc>
      </w:tr>
      <w:tr w14:paraId="3750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7B1E00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 w:cs="Times New Roman"/>
                <w:color w:val="000000"/>
                <w:kern w:val="21"/>
                <w:sz w:val="32"/>
                <w:szCs w:val="32"/>
                <w:vertAlign w:val="baseline"/>
                <w:lang w:eastAsia="zh-CN"/>
              </w:rPr>
            </w:pPr>
            <w:r>
              <w:rPr>
                <w:rFonts w:hint="eastAsia" w:ascii="Times New Roman" w:hAnsi="Times New Roman" w:eastAsia="仿宋" w:cs="Times New Roman"/>
                <w:color w:val="000000"/>
                <w:kern w:val="21"/>
                <w:sz w:val="32"/>
                <w:szCs w:val="32"/>
                <w:vertAlign w:val="baseline"/>
                <w:lang w:eastAsia="zh-CN"/>
              </w:rPr>
              <w:drawing>
                <wp:inline distT="0" distB="0" distL="114300" distR="114300">
                  <wp:extent cx="2705100" cy="2028825"/>
                  <wp:effectExtent l="0" t="0" r="0" b="9525"/>
                  <wp:docPr id="7" name="图片 7" descr="IMG_20260609_164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0260609_164555"/>
                          <pic:cNvPicPr>
                            <a:picLocks noChangeAspect="1"/>
                          </pic:cNvPicPr>
                        </pic:nvPicPr>
                        <pic:blipFill>
                          <a:blip r:embed="rId10"/>
                          <a:stretch>
                            <a:fillRect/>
                          </a:stretch>
                        </pic:blipFill>
                        <pic:spPr>
                          <a:xfrm>
                            <a:off x="0" y="0"/>
                            <a:ext cx="2705100" cy="2028825"/>
                          </a:xfrm>
                          <a:prstGeom prst="rect">
                            <a:avLst/>
                          </a:prstGeom>
                        </pic:spPr>
                      </pic:pic>
                    </a:graphicData>
                  </a:graphic>
                </wp:inline>
              </w:drawing>
            </w:r>
          </w:p>
        </w:tc>
        <w:tc>
          <w:tcPr>
            <w:tcW w:w="4530" w:type="dxa"/>
          </w:tcPr>
          <w:p w14:paraId="31D6DF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 w:cs="Times New Roman"/>
                <w:color w:val="000000"/>
                <w:kern w:val="21"/>
                <w:sz w:val="32"/>
                <w:szCs w:val="32"/>
                <w:vertAlign w:val="baseline"/>
                <w:lang w:eastAsia="zh-CN"/>
              </w:rPr>
            </w:pPr>
            <w:r>
              <w:rPr>
                <w:rFonts w:hint="eastAsia" w:ascii="Times New Roman" w:hAnsi="Times New Roman" w:eastAsia="仿宋" w:cs="Times New Roman"/>
                <w:color w:val="000000"/>
                <w:kern w:val="21"/>
                <w:sz w:val="32"/>
                <w:szCs w:val="32"/>
                <w:vertAlign w:val="baseline"/>
                <w:lang w:eastAsia="zh-CN"/>
              </w:rPr>
              <w:drawing>
                <wp:inline distT="0" distB="0" distL="114300" distR="114300">
                  <wp:extent cx="2705100" cy="2028825"/>
                  <wp:effectExtent l="0" t="0" r="0" b="9525"/>
                  <wp:docPr id="10" name="图片 10" descr="IMG_20260609_16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0260609_165327"/>
                          <pic:cNvPicPr>
                            <a:picLocks noChangeAspect="1"/>
                          </pic:cNvPicPr>
                        </pic:nvPicPr>
                        <pic:blipFill>
                          <a:blip r:embed="rId11"/>
                          <a:stretch>
                            <a:fillRect/>
                          </a:stretch>
                        </pic:blipFill>
                        <pic:spPr>
                          <a:xfrm>
                            <a:off x="0" y="0"/>
                            <a:ext cx="2705100" cy="2028825"/>
                          </a:xfrm>
                          <a:prstGeom prst="rect">
                            <a:avLst/>
                          </a:prstGeom>
                        </pic:spPr>
                      </pic:pic>
                    </a:graphicData>
                  </a:graphic>
                </wp:inline>
              </w:drawing>
            </w:r>
          </w:p>
        </w:tc>
      </w:tr>
      <w:tr w14:paraId="163F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0E9627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olor w:val="000000"/>
                <w:kern w:val="21"/>
                <w:sz w:val="32"/>
                <w:szCs w:val="32"/>
                <w:vertAlign w:val="baseline"/>
                <w:lang w:val="en-US" w:eastAsia="zh-CN"/>
              </w:rPr>
            </w:pPr>
            <w:r>
              <w:rPr>
                <w:rFonts w:hint="eastAsia" w:eastAsia="仿宋" w:cs="Times New Roman"/>
                <w:color w:val="000000"/>
                <w:kern w:val="21"/>
                <w:sz w:val="32"/>
                <w:szCs w:val="32"/>
                <w:vertAlign w:val="baseline"/>
                <w:lang w:val="en-US" w:eastAsia="zh-CN"/>
              </w:rPr>
              <w:t>阴沟现状</w:t>
            </w:r>
          </w:p>
        </w:tc>
        <w:tc>
          <w:tcPr>
            <w:tcW w:w="4530" w:type="dxa"/>
          </w:tcPr>
          <w:p w14:paraId="2A9572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olor w:val="000000"/>
                <w:kern w:val="21"/>
                <w:sz w:val="32"/>
                <w:szCs w:val="32"/>
                <w:vertAlign w:val="baseline"/>
              </w:rPr>
            </w:pPr>
            <w:r>
              <w:rPr>
                <w:rFonts w:hint="eastAsia" w:eastAsia="仿宋" w:cs="Times New Roman"/>
                <w:color w:val="000000"/>
                <w:kern w:val="21"/>
                <w:sz w:val="32"/>
                <w:szCs w:val="32"/>
                <w:vertAlign w:val="baseline"/>
                <w:lang w:val="en-US" w:eastAsia="zh-CN"/>
              </w:rPr>
              <w:t>阴沟现状</w:t>
            </w:r>
          </w:p>
        </w:tc>
      </w:tr>
    </w:tbl>
    <w:p w14:paraId="2565731E">
      <w:pPr>
        <w:adjustRightInd w:val="0"/>
        <w:snapToGrid w:val="0"/>
        <w:spacing w:line="288" w:lineRule="auto"/>
        <w:jc w:val="center"/>
        <w:rPr>
          <w:rFonts w:hint="default" w:ascii="Times New Roman" w:hAnsi="Times New Roman" w:eastAsia="仿宋" w:cs="Times New Roman"/>
          <w:color w:val="000000"/>
          <w:kern w:val="21"/>
          <w:sz w:val="32"/>
          <w:szCs w:val="32"/>
        </w:rPr>
        <w:sectPr>
          <w:pgSz w:w="11906" w:h="16838"/>
          <w:pgMar w:top="1701" w:right="1531" w:bottom="1701" w:left="1531" w:header="851" w:footer="1077" w:gutter="0"/>
          <w:pgNumType w:start="21"/>
          <w:cols w:space="720" w:num="1"/>
          <w:docGrid w:linePitch="312" w:charSpace="0"/>
        </w:sectPr>
      </w:pPr>
    </w:p>
    <w:p w14:paraId="53EBCD37">
      <w:pPr>
        <w:pStyle w:val="2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0"/>
        <w:rPr>
          <w:rFonts w:hint="default" w:ascii="Times New Roman" w:hAnsi="Times New Roman" w:eastAsia="仿宋" w:cs="Times New Roman"/>
          <w:snapToGrid w:val="0"/>
          <w:sz w:val="30"/>
          <w:szCs w:val="30"/>
        </w:rPr>
      </w:pPr>
      <w:r>
        <w:rPr>
          <w:rFonts w:hint="default" w:ascii="Times New Roman" w:hAnsi="Times New Roman" w:eastAsia="仿宋" w:cs="Times New Roman"/>
          <w:snapToGrid w:val="0"/>
          <w:sz w:val="30"/>
          <w:szCs w:val="30"/>
        </w:rPr>
        <w:t>一、建设项目基本情况</w:t>
      </w:r>
    </w:p>
    <w:tbl>
      <w:tblPr>
        <w:tblStyle w:val="27"/>
        <w:tblW w:w="4996"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030"/>
        <w:gridCol w:w="686"/>
        <w:gridCol w:w="993"/>
        <w:gridCol w:w="2232"/>
        <w:gridCol w:w="2394"/>
        <w:gridCol w:w="1528"/>
      </w:tblGrid>
      <w:tr w14:paraId="04F857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581" w:type="pct"/>
            <w:noWrap w:val="0"/>
            <w:tcMar>
              <w:top w:w="16" w:type="dxa"/>
              <w:left w:w="16" w:type="dxa"/>
              <w:right w:w="16" w:type="dxa"/>
            </w:tcMar>
            <w:vAlign w:val="center"/>
          </w:tcPr>
          <w:p w14:paraId="55D4EDE3">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建设项目名称</w:t>
            </w:r>
          </w:p>
        </w:tc>
        <w:tc>
          <w:tcPr>
            <w:tcW w:w="4418" w:type="pct"/>
            <w:gridSpan w:val="5"/>
            <w:noWrap w:val="0"/>
            <w:vAlign w:val="center"/>
          </w:tcPr>
          <w:p w14:paraId="6F4375C8">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临泽县九眼泉河项目区小流域综合治理提质增效项目</w:t>
            </w:r>
          </w:p>
        </w:tc>
      </w:tr>
      <w:tr w14:paraId="4505DB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1" w:type="pct"/>
            <w:noWrap w:val="0"/>
            <w:tcMar>
              <w:top w:w="16" w:type="dxa"/>
              <w:left w:w="16" w:type="dxa"/>
              <w:right w:w="16" w:type="dxa"/>
            </w:tcMar>
            <w:vAlign w:val="center"/>
          </w:tcPr>
          <w:p w14:paraId="1924ED6C">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项目代码</w:t>
            </w:r>
          </w:p>
        </w:tc>
        <w:tc>
          <w:tcPr>
            <w:tcW w:w="4418" w:type="pct"/>
            <w:gridSpan w:val="5"/>
            <w:noWrap w:val="0"/>
            <w:vAlign w:val="center"/>
          </w:tcPr>
          <w:p w14:paraId="6C7C259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tc>
      </w:tr>
      <w:tr w14:paraId="708088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581" w:type="pct"/>
            <w:noWrap w:val="0"/>
            <w:tcMar>
              <w:top w:w="16" w:type="dxa"/>
              <w:left w:w="16" w:type="dxa"/>
              <w:right w:w="16" w:type="dxa"/>
            </w:tcMar>
            <w:vAlign w:val="center"/>
          </w:tcPr>
          <w:p w14:paraId="3E02865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建设单位联系人</w:t>
            </w:r>
          </w:p>
        </w:tc>
        <w:tc>
          <w:tcPr>
            <w:tcW w:w="947" w:type="pct"/>
            <w:gridSpan w:val="2"/>
            <w:noWrap w:val="0"/>
            <w:vAlign w:val="center"/>
          </w:tcPr>
          <w:p w14:paraId="6BA220EE">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汪世超</w:t>
            </w:r>
          </w:p>
        </w:tc>
        <w:tc>
          <w:tcPr>
            <w:tcW w:w="1259" w:type="pct"/>
            <w:noWrap w:val="0"/>
            <w:vAlign w:val="center"/>
          </w:tcPr>
          <w:p w14:paraId="44B67073">
            <w:pPr>
              <w:keepNext w:val="0"/>
              <w:keepLines w:val="0"/>
              <w:pageBreakBefore w:val="0"/>
              <w:kinsoku/>
              <w:wordWrap/>
              <w:overflowPunct/>
              <w:topLinePunct w:val="0"/>
              <w:autoSpaceDE/>
              <w:autoSpaceDN/>
              <w:bidi w:val="0"/>
              <w:adjustRightInd/>
              <w:snapToGrid/>
              <w:spacing w:line="240" w:lineRule="auto"/>
              <w:ind w:left="0" w:leftChars="0" w:firstLine="240" w:firstLineChars="1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联系方式</w:t>
            </w:r>
          </w:p>
        </w:tc>
        <w:tc>
          <w:tcPr>
            <w:tcW w:w="2211" w:type="pct"/>
            <w:gridSpan w:val="2"/>
            <w:noWrap w:val="0"/>
            <w:vAlign w:val="center"/>
          </w:tcPr>
          <w:p w14:paraId="103A2AFB">
            <w:pPr>
              <w:keepNext w:val="0"/>
              <w:keepLines w:val="0"/>
              <w:pageBreakBefore w:val="0"/>
              <w:kinsoku/>
              <w:wordWrap/>
              <w:overflowPunct/>
              <w:topLinePunct w:val="0"/>
              <w:autoSpaceDE/>
              <w:autoSpaceDN/>
              <w:bidi w:val="0"/>
              <w:adjustRightInd/>
              <w:snapToGrid/>
              <w:spacing w:line="240" w:lineRule="auto"/>
              <w:ind w:left="0" w:leftChars="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13993654410</w:t>
            </w:r>
          </w:p>
        </w:tc>
      </w:tr>
      <w:tr w14:paraId="7AF3B2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1" w:type="pct"/>
            <w:noWrap w:val="0"/>
            <w:tcMar>
              <w:top w:w="16" w:type="dxa"/>
              <w:left w:w="16" w:type="dxa"/>
              <w:right w:w="16" w:type="dxa"/>
            </w:tcMar>
            <w:vAlign w:val="center"/>
          </w:tcPr>
          <w:p w14:paraId="1D429063">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建设地点</w:t>
            </w:r>
          </w:p>
        </w:tc>
        <w:tc>
          <w:tcPr>
            <w:tcW w:w="4418" w:type="pct"/>
            <w:gridSpan w:val="5"/>
            <w:noWrap w:val="0"/>
            <w:vAlign w:val="center"/>
          </w:tcPr>
          <w:p w14:paraId="499C589B">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甘肃省张掖市</w:t>
            </w:r>
            <w:bookmarkStart w:id="2" w:name="OLE_LINK2"/>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临泽县</w:t>
            </w:r>
            <w:bookmarkEnd w:id="2"/>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鸭暖镇</w:t>
            </w:r>
          </w:p>
        </w:tc>
      </w:tr>
      <w:tr w14:paraId="1146F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581" w:type="pct"/>
            <w:noWrap w:val="0"/>
            <w:tcMar>
              <w:top w:w="16" w:type="dxa"/>
              <w:left w:w="16" w:type="dxa"/>
              <w:right w:w="16" w:type="dxa"/>
            </w:tcMar>
            <w:vAlign w:val="center"/>
          </w:tcPr>
          <w:p w14:paraId="1FCBE988">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地理坐标</w:t>
            </w:r>
          </w:p>
        </w:tc>
        <w:tc>
          <w:tcPr>
            <w:tcW w:w="4418" w:type="pct"/>
            <w:gridSpan w:val="5"/>
            <w:noWrap w:val="0"/>
            <w:vAlign w:val="center"/>
          </w:tcPr>
          <w:p w14:paraId="3357C626">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东经100°06'57.881"，北纬39°13'33.930"</w:t>
            </w:r>
          </w:p>
        </w:tc>
      </w:tr>
      <w:tr w14:paraId="20E0F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581" w:type="pct"/>
            <w:noWrap w:val="0"/>
            <w:tcMar>
              <w:top w:w="16" w:type="dxa"/>
              <w:left w:w="16" w:type="dxa"/>
              <w:right w:w="16" w:type="dxa"/>
            </w:tcMar>
            <w:vAlign w:val="center"/>
          </w:tcPr>
          <w:p w14:paraId="407D0D70">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w:t>
            </w:r>
          </w:p>
          <w:p w14:paraId="1261FEE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行业类别</w:t>
            </w:r>
          </w:p>
        </w:tc>
        <w:tc>
          <w:tcPr>
            <w:tcW w:w="947" w:type="pct"/>
            <w:gridSpan w:val="2"/>
            <w:noWrap w:val="0"/>
            <w:vAlign w:val="center"/>
          </w:tcPr>
          <w:p w14:paraId="76DC8E1D">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五十一、水利、128、河湖整治（不含农村塘堰、水渠）其他</w:t>
            </w:r>
          </w:p>
        </w:tc>
        <w:tc>
          <w:tcPr>
            <w:tcW w:w="1259" w:type="pct"/>
            <w:noWrap w:val="0"/>
            <w:vAlign w:val="center"/>
          </w:tcPr>
          <w:p w14:paraId="5D04EE86">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用地（用海）面积（m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）/长度（km）</w:t>
            </w:r>
          </w:p>
        </w:tc>
        <w:tc>
          <w:tcPr>
            <w:tcW w:w="2211" w:type="pct"/>
            <w:gridSpan w:val="2"/>
            <w:noWrap w:val="0"/>
            <w:vAlign w:val="center"/>
          </w:tcPr>
          <w:p w14:paraId="4097ABBD">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治理阴沟：3.2km；</w:t>
            </w:r>
          </w:p>
          <w:p w14:paraId="1603BD84">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砂化道路：750m；</w:t>
            </w:r>
          </w:p>
          <w:p w14:paraId="1A2B9F89">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农田水渠提升改造：2400m；</w:t>
            </w:r>
          </w:p>
          <w:p w14:paraId="5958A478">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低效林改造12.08hm²； </w:t>
            </w:r>
          </w:p>
          <w:p w14:paraId="6D1C630E">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造林围栏：2000m；</w:t>
            </w:r>
          </w:p>
          <w:p w14:paraId="55FAA74A">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阴沟坡面绿化：0.85hm²；</w:t>
            </w:r>
          </w:p>
          <w:p w14:paraId="79103675">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禁治理（仅标识牌占地）：</w:t>
            </w:r>
            <w:r>
              <w:rPr>
                <w:rFonts w:hint="eastAsia" w:cs="Times New Roman"/>
                <w:color w:val="000000" w:themeColor="text1"/>
                <w:sz w:val="24"/>
                <w:szCs w:val="24"/>
                <w:highlight w:val="none"/>
                <w:lang w:val="en-US" w:eastAsia="zh-CN"/>
                <w14:textFill>
                  <w14:solidFill>
                    <w14:schemeClr w14:val="tx1"/>
                  </w14:solidFill>
                </w14:textFill>
              </w:rPr>
              <w:t>0.002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hm²</w:t>
            </w:r>
          </w:p>
          <w:p w14:paraId="4A8E63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p>
        </w:tc>
      </w:tr>
      <w:tr w14:paraId="00E11C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581" w:type="pct"/>
            <w:noWrap w:val="0"/>
            <w:tcMar>
              <w:top w:w="16" w:type="dxa"/>
              <w:left w:w="16" w:type="dxa"/>
              <w:right w:w="16" w:type="dxa"/>
            </w:tcMar>
            <w:vAlign w:val="center"/>
          </w:tcPr>
          <w:p w14:paraId="10D6ACA3">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建设性质</w:t>
            </w:r>
          </w:p>
        </w:tc>
        <w:tc>
          <w:tcPr>
            <w:tcW w:w="947" w:type="pct"/>
            <w:gridSpan w:val="2"/>
            <w:noWrap w:val="0"/>
            <w:vAlign w:val="center"/>
          </w:tcPr>
          <w:p w14:paraId="4604F235">
            <w:pPr>
              <w:keepNext w:val="0"/>
              <w:keepLines w:val="0"/>
              <w:pageBreakBefore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新建（迁建）</w:t>
            </w:r>
          </w:p>
          <w:p w14:paraId="47F3663B">
            <w:pPr>
              <w:keepNext w:val="0"/>
              <w:keepLines w:val="0"/>
              <w:pageBreakBefore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改建</w:t>
            </w:r>
          </w:p>
          <w:p w14:paraId="0B65AACD">
            <w:pPr>
              <w:keepNext w:val="0"/>
              <w:keepLines w:val="0"/>
              <w:pageBreakBefore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扩建</w:t>
            </w:r>
          </w:p>
          <w:p w14:paraId="5FFED2D0">
            <w:pPr>
              <w:keepNext w:val="0"/>
              <w:keepLines w:val="0"/>
              <w:pageBreakBefore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技术改造</w:t>
            </w:r>
          </w:p>
        </w:tc>
        <w:tc>
          <w:tcPr>
            <w:tcW w:w="1259" w:type="pct"/>
            <w:noWrap w:val="0"/>
            <w:vAlign w:val="center"/>
          </w:tcPr>
          <w:p w14:paraId="62405792">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w:t>
            </w:r>
          </w:p>
          <w:p w14:paraId="58868D9E">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申报情形</w:t>
            </w:r>
          </w:p>
        </w:tc>
        <w:tc>
          <w:tcPr>
            <w:tcW w:w="2211" w:type="pct"/>
            <w:gridSpan w:val="2"/>
            <w:noWrap w:val="0"/>
            <w:vAlign w:val="center"/>
          </w:tcPr>
          <w:p w14:paraId="2409C54E">
            <w:pPr>
              <w:keepNext w:val="0"/>
              <w:keepLines w:val="0"/>
              <w:pageBreakBefore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首次申报项目</w:t>
            </w:r>
          </w:p>
          <w:p w14:paraId="3924A741">
            <w:pPr>
              <w:keepNext w:val="0"/>
              <w:keepLines w:val="0"/>
              <w:pageBreakBefore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不予批准后再次申报项目</w:t>
            </w:r>
          </w:p>
          <w:p w14:paraId="75F58CAF">
            <w:pPr>
              <w:keepNext w:val="0"/>
              <w:keepLines w:val="0"/>
              <w:pageBreakBefore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超五年重新审核项目</w:t>
            </w:r>
          </w:p>
          <w:p w14:paraId="6A7AE171">
            <w:pPr>
              <w:keepNext w:val="0"/>
              <w:keepLines w:val="0"/>
              <w:pageBreakBefore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重大变动重新报批项目</w:t>
            </w:r>
          </w:p>
        </w:tc>
      </w:tr>
      <w:tr w14:paraId="116441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581" w:type="pct"/>
            <w:noWrap w:val="0"/>
            <w:tcMar>
              <w:top w:w="16" w:type="dxa"/>
              <w:left w:w="16" w:type="dxa"/>
              <w:right w:w="16" w:type="dxa"/>
            </w:tcMar>
            <w:vAlign w:val="center"/>
          </w:tcPr>
          <w:p w14:paraId="1840FEB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项目审批（核准/备案）部门（选填）</w:t>
            </w:r>
          </w:p>
        </w:tc>
        <w:tc>
          <w:tcPr>
            <w:tcW w:w="947" w:type="pct"/>
            <w:gridSpan w:val="2"/>
            <w:noWrap w:val="0"/>
            <w:vAlign w:val="center"/>
          </w:tcPr>
          <w:p w14:paraId="75998590">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临泽县水务局</w:t>
            </w:r>
          </w:p>
        </w:tc>
        <w:tc>
          <w:tcPr>
            <w:tcW w:w="1259" w:type="pct"/>
            <w:noWrap w:val="0"/>
            <w:vAlign w:val="center"/>
          </w:tcPr>
          <w:p w14:paraId="10B616DE">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项目审批（核准/</w:t>
            </w:r>
          </w:p>
          <w:p w14:paraId="35C55789">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备案）文号（选填）</w:t>
            </w:r>
          </w:p>
        </w:tc>
        <w:tc>
          <w:tcPr>
            <w:tcW w:w="2211" w:type="pct"/>
            <w:gridSpan w:val="2"/>
            <w:noWrap w:val="0"/>
            <w:vAlign w:val="center"/>
          </w:tcPr>
          <w:p w14:paraId="31E3A49B">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临水建字[2026]19号</w:t>
            </w:r>
          </w:p>
        </w:tc>
      </w:tr>
      <w:tr w14:paraId="00498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581" w:type="pct"/>
            <w:noWrap w:val="0"/>
            <w:tcMar>
              <w:top w:w="16" w:type="dxa"/>
              <w:left w:w="16" w:type="dxa"/>
              <w:right w:w="16" w:type="dxa"/>
            </w:tcMar>
            <w:vAlign w:val="center"/>
          </w:tcPr>
          <w:p w14:paraId="24F7C613">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总投资（万元）</w:t>
            </w:r>
          </w:p>
        </w:tc>
        <w:tc>
          <w:tcPr>
            <w:tcW w:w="947" w:type="pct"/>
            <w:gridSpan w:val="2"/>
            <w:noWrap w:val="0"/>
            <w:vAlign w:val="center"/>
          </w:tcPr>
          <w:p w14:paraId="2D7D658E">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530.83</w:t>
            </w:r>
          </w:p>
        </w:tc>
        <w:tc>
          <w:tcPr>
            <w:tcW w:w="1259" w:type="pct"/>
            <w:noWrap w:val="0"/>
            <w:tcMar>
              <w:top w:w="16" w:type="dxa"/>
              <w:left w:w="16" w:type="dxa"/>
              <w:right w:w="16" w:type="dxa"/>
            </w:tcMar>
            <w:vAlign w:val="center"/>
          </w:tcPr>
          <w:p w14:paraId="42A20FCA">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环保投资（万元）</w:t>
            </w:r>
          </w:p>
        </w:tc>
        <w:tc>
          <w:tcPr>
            <w:tcW w:w="2211" w:type="pct"/>
            <w:gridSpan w:val="2"/>
            <w:noWrap w:val="0"/>
            <w:vAlign w:val="center"/>
          </w:tcPr>
          <w:p w14:paraId="0CD428B8">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20</w:t>
            </w:r>
          </w:p>
        </w:tc>
      </w:tr>
      <w:tr w14:paraId="61C092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581" w:type="pct"/>
            <w:noWrap w:val="0"/>
            <w:tcMar>
              <w:top w:w="16" w:type="dxa"/>
              <w:left w:w="16" w:type="dxa"/>
              <w:right w:w="16" w:type="dxa"/>
            </w:tcMar>
            <w:vAlign w:val="center"/>
          </w:tcPr>
          <w:p w14:paraId="20716766">
            <w:pPr>
              <w:bidi w:val="0"/>
              <w:ind w:left="0" w:leftChars="0" w:firstLine="0" w:firstLineChar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环保投资占比（%）</w:t>
            </w:r>
          </w:p>
        </w:tc>
        <w:tc>
          <w:tcPr>
            <w:tcW w:w="947" w:type="pct"/>
            <w:gridSpan w:val="2"/>
            <w:noWrap w:val="0"/>
            <w:vAlign w:val="center"/>
          </w:tcPr>
          <w:p w14:paraId="71E67C30">
            <w:pPr>
              <w:bidi w:val="0"/>
              <w:ind w:left="0" w:leftChars="0" w:firstLine="0" w:firstLineChar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3.77</w:t>
            </w:r>
          </w:p>
        </w:tc>
        <w:tc>
          <w:tcPr>
            <w:tcW w:w="1259" w:type="pct"/>
            <w:noWrap w:val="0"/>
            <w:tcMar>
              <w:top w:w="16" w:type="dxa"/>
              <w:left w:w="16" w:type="dxa"/>
              <w:right w:w="16" w:type="dxa"/>
            </w:tcMar>
            <w:vAlign w:val="center"/>
          </w:tcPr>
          <w:p w14:paraId="10EA5AFD">
            <w:pPr>
              <w:bidi w:val="0"/>
              <w:ind w:left="0" w:leftChars="0" w:firstLine="0" w:firstLineChar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施工工期</w:t>
            </w:r>
          </w:p>
        </w:tc>
        <w:tc>
          <w:tcPr>
            <w:tcW w:w="2211" w:type="pct"/>
            <w:gridSpan w:val="2"/>
            <w:noWrap w:val="0"/>
            <w:vAlign w:val="center"/>
          </w:tcPr>
          <w:p w14:paraId="513AA34F">
            <w:pPr>
              <w:bidi w:val="0"/>
              <w:ind w:left="0" w:leftChars="0" w:firstLine="0" w:firstLineChar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9个月</w:t>
            </w:r>
          </w:p>
        </w:tc>
      </w:tr>
      <w:tr w14:paraId="7AB47C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1" w:type="pct"/>
            <w:noWrap w:val="0"/>
            <w:tcMar>
              <w:top w:w="16" w:type="dxa"/>
              <w:left w:w="16" w:type="dxa"/>
              <w:right w:w="16" w:type="dxa"/>
            </w:tcMar>
            <w:vAlign w:val="center"/>
          </w:tcPr>
          <w:p w14:paraId="7C2F1195">
            <w:pPr>
              <w:bidi w:val="0"/>
              <w:ind w:left="0" w:leftChars="0" w:firstLine="0" w:firstLineChar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是否开工建设</w:t>
            </w:r>
          </w:p>
        </w:tc>
        <w:tc>
          <w:tcPr>
            <w:tcW w:w="4418" w:type="pct"/>
            <w:gridSpan w:val="5"/>
            <w:noWrap w:val="0"/>
            <w:vAlign w:val="center"/>
          </w:tcPr>
          <w:p w14:paraId="1A6E4C97">
            <w:pPr>
              <w:bidi w:val="0"/>
              <w:ind w:left="0" w:leftChars="0" w:firstLine="0" w:firstLineChars="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否</w:t>
            </w:r>
          </w:p>
          <w:p w14:paraId="07E04B5F">
            <w:pPr>
              <w:bidi w:val="0"/>
              <w:ind w:left="0" w:leftChars="0" w:firstLine="0" w:firstLineChars="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□是：</w:t>
            </w:r>
          </w:p>
        </w:tc>
      </w:tr>
      <w:tr w14:paraId="4C49E7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1" w:type="pct"/>
            <w:vMerge w:val="restart"/>
            <w:noWrap w:val="0"/>
            <w:tcMar>
              <w:top w:w="16" w:type="dxa"/>
              <w:left w:w="16" w:type="dxa"/>
              <w:right w:w="16" w:type="dxa"/>
            </w:tcMar>
            <w:vAlign w:val="center"/>
          </w:tcPr>
          <w:p w14:paraId="751C8095">
            <w:pPr>
              <w:autoSpaceDE w:val="0"/>
              <w:autoSpaceDN w:val="0"/>
              <w:adjustRightInd w:val="0"/>
              <w:snapToGrid w:val="0"/>
              <w:ind w:left="0" w:leftChars="0" w:firstLine="0" w:firstLineChars="0"/>
              <w:jc w:val="both"/>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专项评价设置情况</w:t>
            </w:r>
          </w:p>
        </w:tc>
        <w:tc>
          <w:tcPr>
            <w:tcW w:w="387" w:type="pct"/>
            <w:noWrap w:val="0"/>
            <w:tcMar>
              <w:top w:w="16" w:type="dxa"/>
              <w:left w:w="16" w:type="dxa"/>
              <w:right w:w="16" w:type="dxa"/>
            </w:tcMar>
            <w:vAlign w:val="center"/>
          </w:tcPr>
          <w:p w14:paraId="0601EEB4">
            <w:pPr>
              <w:pStyle w:val="59"/>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专项评价类别</w:t>
            </w:r>
          </w:p>
        </w:tc>
        <w:tc>
          <w:tcPr>
            <w:tcW w:w="3169" w:type="pct"/>
            <w:gridSpan w:val="3"/>
            <w:noWrap w:val="0"/>
            <w:tcMar>
              <w:top w:w="16" w:type="dxa"/>
              <w:left w:w="16" w:type="dxa"/>
              <w:right w:w="16" w:type="dxa"/>
            </w:tcMar>
            <w:vAlign w:val="center"/>
          </w:tcPr>
          <w:p w14:paraId="0FE4BDFA">
            <w:pPr>
              <w:pStyle w:val="59"/>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设置原则</w:t>
            </w:r>
          </w:p>
        </w:tc>
        <w:tc>
          <w:tcPr>
            <w:tcW w:w="861" w:type="pct"/>
            <w:noWrap w:val="0"/>
            <w:tcMar>
              <w:top w:w="16" w:type="dxa"/>
              <w:left w:w="16" w:type="dxa"/>
              <w:right w:w="16" w:type="dxa"/>
            </w:tcMar>
            <w:vAlign w:val="center"/>
          </w:tcPr>
          <w:p w14:paraId="6030538F">
            <w:pPr>
              <w:pStyle w:val="59"/>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项目实际情况</w:t>
            </w:r>
          </w:p>
        </w:tc>
      </w:tr>
      <w:tr w14:paraId="6C6507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1" w:hRule="atLeast"/>
        </w:trPr>
        <w:tc>
          <w:tcPr>
            <w:tcW w:w="581" w:type="pct"/>
            <w:vMerge w:val="continue"/>
            <w:noWrap w:val="0"/>
            <w:tcMar>
              <w:top w:w="16" w:type="dxa"/>
              <w:left w:w="16" w:type="dxa"/>
              <w:right w:w="16" w:type="dxa"/>
            </w:tcMar>
            <w:vAlign w:val="center"/>
          </w:tcPr>
          <w:p w14:paraId="7D5F5BC2">
            <w:pPr>
              <w:autoSpaceDE w:val="0"/>
              <w:autoSpaceDN w:val="0"/>
              <w:adjustRightInd w:val="0"/>
              <w:snapToGrid w:val="0"/>
              <w:jc w:val="center"/>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p>
        </w:tc>
        <w:tc>
          <w:tcPr>
            <w:tcW w:w="387" w:type="pct"/>
            <w:noWrap w:val="0"/>
            <w:tcMar>
              <w:top w:w="16" w:type="dxa"/>
              <w:left w:w="16" w:type="dxa"/>
              <w:right w:w="16" w:type="dxa"/>
            </w:tcMar>
            <w:vAlign w:val="center"/>
          </w:tcPr>
          <w:p w14:paraId="1A3C071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地表水</w:t>
            </w:r>
          </w:p>
        </w:tc>
        <w:tc>
          <w:tcPr>
            <w:tcW w:w="3169" w:type="pct"/>
            <w:gridSpan w:val="3"/>
            <w:noWrap w:val="0"/>
            <w:tcMar>
              <w:top w:w="16" w:type="dxa"/>
              <w:left w:w="16" w:type="dxa"/>
              <w:right w:w="16" w:type="dxa"/>
            </w:tcMar>
            <w:vAlign w:val="center"/>
          </w:tcPr>
          <w:p w14:paraId="38E932B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水力发电：引水式发电、涉及调峰发电的项目；人工湖、人工湿地：全部；</w:t>
            </w:r>
          </w:p>
          <w:p w14:paraId="439ABFA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水库：全部；</w:t>
            </w:r>
          </w:p>
          <w:p w14:paraId="31A9FBD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引水工程：全部（配套的管线工程等除外）；</w:t>
            </w:r>
          </w:p>
          <w:p w14:paraId="58FD4E8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cs="Times New Roman"/>
                <w:color w:val="000000" w:themeColor="text1"/>
                <w:kern w:val="0"/>
                <w:sz w:val="24"/>
                <w:szCs w:val="24"/>
                <w:highlight w:val="none"/>
                <w:lang w:val="en-US" w:eastAsia="zh-CN" w:bidi="ar-SA"/>
                <w14:textFill>
                  <w14:solidFill>
                    <w14:schemeClr w14:val="tx1"/>
                  </w14:solidFill>
                </w14:textFill>
              </w:rPr>
              <w:t>河湖整治工程</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：包含水库的项目；</w:t>
            </w:r>
          </w:p>
          <w:p w14:paraId="02817FA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河湖整治：涉及清淤且底泥存在重金属污染的项目</w:t>
            </w:r>
          </w:p>
        </w:tc>
        <w:tc>
          <w:tcPr>
            <w:tcW w:w="861" w:type="pct"/>
            <w:noWrap w:val="0"/>
            <w:tcMar>
              <w:top w:w="16" w:type="dxa"/>
              <w:left w:w="16" w:type="dxa"/>
              <w:right w:w="16" w:type="dxa"/>
            </w:tcMar>
            <w:vAlign w:val="center"/>
          </w:tcPr>
          <w:p w14:paraId="2FCDE0A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不涉及，根据临泽县近年土壤环境质量调查，项目区无工矿企业，底泥未受重金属污染</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w:t>
            </w:r>
          </w:p>
        </w:tc>
      </w:tr>
      <w:tr w14:paraId="68D3F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1" w:type="pct"/>
            <w:vMerge w:val="continue"/>
            <w:noWrap w:val="0"/>
            <w:tcMar>
              <w:top w:w="16" w:type="dxa"/>
              <w:left w:w="16" w:type="dxa"/>
              <w:right w:w="16" w:type="dxa"/>
            </w:tcMar>
            <w:vAlign w:val="center"/>
          </w:tcPr>
          <w:p w14:paraId="36A66AD8">
            <w:pPr>
              <w:autoSpaceDE w:val="0"/>
              <w:autoSpaceDN w:val="0"/>
              <w:adjustRightInd w:val="0"/>
              <w:snapToGrid w:val="0"/>
              <w:jc w:val="center"/>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p>
        </w:tc>
        <w:tc>
          <w:tcPr>
            <w:tcW w:w="387" w:type="pct"/>
            <w:noWrap w:val="0"/>
            <w:tcMar>
              <w:top w:w="16" w:type="dxa"/>
              <w:left w:w="16" w:type="dxa"/>
              <w:right w:w="16" w:type="dxa"/>
            </w:tcMar>
            <w:vAlign w:val="center"/>
          </w:tcPr>
          <w:p w14:paraId="7E63F71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地下水</w:t>
            </w:r>
          </w:p>
        </w:tc>
        <w:tc>
          <w:tcPr>
            <w:tcW w:w="3169" w:type="pct"/>
            <w:gridSpan w:val="3"/>
            <w:noWrap w:val="0"/>
            <w:tcMar>
              <w:top w:w="16" w:type="dxa"/>
              <w:left w:w="16" w:type="dxa"/>
              <w:right w:w="16" w:type="dxa"/>
            </w:tcMar>
            <w:vAlign w:val="center"/>
          </w:tcPr>
          <w:p w14:paraId="022142F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陆地石油和天然气开采：全部；</w:t>
            </w:r>
          </w:p>
          <w:p w14:paraId="53BB1D8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地下水（含矿泉水）开采：全部；</w:t>
            </w:r>
          </w:p>
          <w:p w14:paraId="3CBC468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水利、水电、交通等：含穿越可溶岩地层隧道的项目</w:t>
            </w:r>
          </w:p>
        </w:tc>
        <w:tc>
          <w:tcPr>
            <w:tcW w:w="861" w:type="pct"/>
            <w:noWrap w:val="0"/>
            <w:tcMar>
              <w:top w:w="16" w:type="dxa"/>
              <w:left w:w="16" w:type="dxa"/>
              <w:right w:w="16" w:type="dxa"/>
            </w:tcMar>
            <w:vAlign w:val="center"/>
          </w:tcPr>
          <w:p w14:paraId="6DE87B5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不涉及</w:t>
            </w:r>
          </w:p>
        </w:tc>
      </w:tr>
      <w:tr w14:paraId="10C9D2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4" w:hRule="atLeast"/>
        </w:trPr>
        <w:tc>
          <w:tcPr>
            <w:tcW w:w="581" w:type="pct"/>
            <w:vMerge w:val="continue"/>
            <w:noWrap w:val="0"/>
            <w:tcMar>
              <w:top w:w="16" w:type="dxa"/>
              <w:left w:w="16" w:type="dxa"/>
              <w:right w:w="16" w:type="dxa"/>
            </w:tcMar>
            <w:vAlign w:val="center"/>
          </w:tcPr>
          <w:p w14:paraId="2ED06F54">
            <w:pPr>
              <w:autoSpaceDE w:val="0"/>
              <w:autoSpaceDN w:val="0"/>
              <w:adjustRightInd w:val="0"/>
              <w:snapToGrid w:val="0"/>
              <w:jc w:val="center"/>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p>
        </w:tc>
        <w:tc>
          <w:tcPr>
            <w:tcW w:w="387" w:type="pct"/>
            <w:noWrap w:val="0"/>
            <w:tcMar>
              <w:top w:w="16" w:type="dxa"/>
              <w:left w:w="16" w:type="dxa"/>
              <w:right w:w="16" w:type="dxa"/>
            </w:tcMar>
            <w:vAlign w:val="center"/>
          </w:tcPr>
          <w:p w14:paraId="61A09C1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生态</w:t>
            </w:r>
          </w:p>
        </w:tc>
        <w:tc>
          <w:tcPr>
            <w:tcW w:w="3169" w:type="pct"/>
            <w:gridSpan w:val="3"/>
            <w:noWrap w:val="0"/>
            <w:tcMar>
              <w:top w:w="16" w:type="dxa"/>
              <w:left w:w="16" w:type="dxa"/>
              <w:right w:w="16" w:type="dxa"/>
            </w:tcMar>
            <w:vAlign w:val="center"/>
          </w:tcPr>
          <w:p w14:paraId="1D263AE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涉及环境敏感区（不包括饮用水水源保护区，以居住、医疗卫生、文化教育、科研、行政办公为主要功能的区域，以及文物保护单位）的项目</w:t>
            </w:r>
          </w:p>
        </w:tc>
        <w:tc>
          <w:tcPr>
            <w:tcW w:w="861" w:type="pct"/>
            <w:noWrap w:val="0"/>
            <w:tcMar>
              <w:top w:w="16" w:type="dxa"/>
              <w:left w:w="16" w:type="dxa"/>
              <w:right w:w="16" w:type="dxa"/>
            </w:tcMar>
            <w:vAlign w:val="center"/>
          </w:tcPr>
          <w:p w14:paraId="31F67F9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不涉及</w:t>
            </w:r>
          </w:p>
        </w:tc>
      </w:tr>
      <w:tr w14:paraId="4B5F80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4" w:hRule="atLeast"/>
        </w:trPr>
        <w:tc>
          <w:tcPr>
            <w:tcW w:w="581" w:type="pct"/>
            <w:vMerge w:val="continue"/>
            <w:noWrap w:val="0"/>
            <w:tcMar>
              <w:top w:w="16" w:type="dxa"/>
              <w:left w:w="16" w:type="dxa"/>
              <w:right w:w="16" w:type="dxa"/>
            </w:tcMar>
            <w:vAlign w:val="center"/>
          </w:tcPr>
          <w:p w14:paraId="63214D35">
            <w:pPr>
              <w:autoSpaceDE w:val="0"/>
              <w:autoSpaceDN w:val="0"/>
              <w:adjustRightInd w:val="0"/>
              <w:snapToGrid w:val="0"/>
              <w:jc w:val="center"/>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p>
        </w:tc>
        <w:tc>
          <w:tcPr>
            <w:tcW w:w="387" w:type="pct"/>
            <w:noWrap w:val="0"/>
            <w:tcMar>
              <w:top w:w="16" w:type="dxa"/>
              <w:left w:w="16" w:type="dxa"/>
              <w:right w:w="16" w:type="dxa"/>
            </w:tcMar>
            <w:vAlign w:val="center"/>
          </w:tcPr>
          <w:p w14:paraId="02A92C0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大气</w:t>
            </w:r>
          </w:p>
        </w:tc>
        <w:tc>
          <w:tcPr>
            <w:tcW w:w="3169" w:type="pct"/>
            <w:gridSpan w:val="3"/>
            <w:noWrap w:val="0"/>
            <w:tcMar>
              <w:top w:w="16" w:type="dxa"/>
              <w:left w:w="16" w:type="dxa"/>
              <w:right w:w="16" w:type="dxa"/>
            </w:tcMar>
            <w:vAlign w:val="center"/>
          </w:tcPr>
          <w:p w14:paraId="423AB2A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油气、液体化工码头：全部；</w:t>
            </w:r>
          </w:p>
          <w:p w14:paraId="1557768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干散货（含煤炭、矿石）、件杂、多用途、通用码头：涉及粉尘、挥发性有机物排放的项目</w:t>
            </w:r>
          </w:p>
        </w:tc>
        <w:tc>
          <w:tcPr>
            <w:tcW w:w="861" w:type="pct"/>
            <w:noWrap w:val="0"/>
            <w:tcMar>
              <w:top w:w="16" w:type="dxa"/>
              <w:left w:w="16" w:type="dxa"/>
              <w:right w:w="16" w:type="dxa"/>
            </w:tcMar>
            <w:vAlign w:val="center"/>
          </w:tcPr>
          <w:p w14:paraId="1A54849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不涉及</w:t>
            </w:r>
          </w:p>
        </w:tc>
      </w:tr>
      <w:tr w14:paraId="3831C9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1" w:type="pct"/>
            <w:vMerge w:val="continue"/>
            <w:noWrap w:val="0"/>
            <w:tcMar>
              <w:top w:w="16" w:type="dxa"/>
              <w:left w:w="16" w:type="dxa"/>
              <w:right w:w="16" w:type="dxa"/>
            </w:tcMar>
            <w:vAlign w:val="center"/>
          </w:tcPr>
          <w:p w14:paraId="2A9817CB">
            <w:pPr>
              <w:autoSpaceDE w:val="0"/>
              <w:autoSpaceDN w:val="0"/>
              <w:adjustRightInd w:val="0"/>
              <w:snapToGrid w:val="0"/>
              <w:jc w:val="center"/>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p>
        </w:tc>
        <w:tc>
          <w:tcPr>
            <w:tcW w:w="387" w:type="pct"/>
            <w:noWrap w:val="0"/>
            <w:tcMar>
              <w:top w:w="16" w:type="dxa"/>
              <w:left w:w="16" w:type="dxa"/>
              <w:right w:w="16" w:type="dxa"/>
            </w:tcMar>
            <w:vAlign w:val="center"/>
          </w:tcPr>
          <w:p w14:paraId="023D813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噪声</w:t>
            </w:r>
          </w:p>
        </w:tc>
        <w:tc>
          <w:tcPr>
            <w:tcW w:w="3169" w:type="pct"/>
            <w:gridSpan w:val="3"/>
            <w:noWrap w:val="0"/>
            <w:tcMar>
              <w:top w:w="16" w:type="dxa"/>
              <w:left w:w="16" w:type="dxa"/>
              <w:right w:w="16" w:type="dxa"/>
            </w:tcMar>
            <w:vAlign w:val="center"/>
          </w:tcPr>
          <w:p w14:paraId="0C4AD8A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公路、铁路、机场等交通运输业涉及环境敏感区（以居住、医疗卫生、文化教育、科研、行政办公为主要功能的区域）的项目；</w:t>
            </w:r>
          </w:p>
          <w:p w14:paraId="37DA756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城市道路（不含维护，不含支路、人行天桥、人行地道）：全部</w:t>
            </w:r>
          </w:p>
        </w:tc>
        <w:tc>
          <w:tcPr>
            <w:tcW w:w="861" w:type="pct"/>
            <w:noWrap w:val="0"/>
            <w:tcMar>
              <w:top w:w="16" w:type="dxa"/>
              <w:left w:w="16" w:type="dxa"/>
              <w:right w:w="16" w:type="dxa"/>
            </w:tcMar>
            <w:vAlign w:val="center"/>
          </w:tcPr>
          <w:p w14:paraId="376A9D8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不涉及</w:t>
            </w:r>
          </w:p>
        </w:tc>
      </w:tr>
      <w:tr w14:paraId="0A466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3" w:hRule="atLeast"/>
        </w:trPr>
        <w:tc>
          <w:tcPr>
            <w:tcW w:w="581" w:type="pct"/>
            <w:vMerge w:val="continue"/>
            <w:noWrap w:val="0"/>
            <w:tcMar>
              <w:top w:w="16" w:type="dxa"/>
              <w:left w:w="16" w:type="dxa"/>
              <w:right w:w="16" w:type="dxa"/>
            </w:tcMar>
            <w:vAlign w:val="center"/>
          </w:tcPr>
          <w:p w14:paraId="08E52BBA">
            <w:pPr>
              <w:autoSpaceDE w:val="0"/>
              <w:autoSpaceDN w:val="0"/>
              <w:adjustRightInd w:val="0"/>
              <w:snapToGrid w:val="0"/>
              <w:jc w:val="center"/>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p>
        </w:tc>
        <w:tc>
          <w:tcPr>
            <w:tcW w:w="387" w:type="pct"/>
            <w:noWrap w:val="0"/>
            <w:tcMar>
              <w:top w:w="16" w:type="dxa"/>
              <w:left w:w="16" w:type="dxa"/>
              <w:right w:w="16" w:type="dxa"/>
            </w:tcMar>
            <w:vAlign w:val="center"/>
          </w:tcPr>
          <w:p w14:paraId="7F5CF895">
            <w:pPr>
              <w:pStyle w:val="60"/>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环境风险</w:t>
            </w:r>
          </w:p>
        </w:tc>
        <w:tc>
          <w:tcPr>
            <w:tcW w:w="3169" w:type="pct"/>
            <w:gridSpan w:val="3"/>
            <w:noWrap w:val="0"/>
            <w:tcMar>
              <w:top w:w="16" w:type="dxa"/>
              <w:left w:w="16" w:type="dxa"/>
              <w:right w:w="16" w:type="dxa"/>
            </w:tcMar>
            <w:vAlign w:val="center"/>
          </w:tcPr>
          <w:p w14:paraId="35B7DCA7">
            <w:pPr>
              <w:pStyle w:val="60"/>
              <w:keepNext w:val="0"/>
              <w:keepLines w:val="0"/>
              <w:pageBreakBefore w:val="0"/>
              <w:widowControl w:val="0"/>
              <w:kinsoku/>
              <w:wordWrap/>
              <w:overflowPunct/>
              <w:topLinePunct w:val="0"/>
              <w:bidi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石油和天然气开采：全部；</w:t>
            </w:r>
          </w:p>
          <w:p w14:paraId="3E4CE72F">
            <w:pPr>
              <w:pStyle w:val="60"/>
              <w:keepNext w:val="0"/>
              <w:keepLines w:val="0"/>
              <w:pageBreakBefore w:val="0"/>
              <w:widowControl w:val="0"/>
              <w:kinsoku/>
              <w:wordWrap/>
              <w:overflowPunct/>
              <w:topLinePunct w:val="0"/>
              <w:bidi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油气、液体化工码头：全部；</w:t>
            </w:r>
          </w:p>
          <w:p w14:paraId="6930825E">
            <w:pPr>
              <w:pStyle w:val="60"/>
              <w:keepNext w:val="0"/>
              <w:keepLines w:val="0"/>
              <w:pageBreakBefore w:val="0"/>
              <w:widowControl w:val="0"/>
              <w:kinsoku/>
              <w:wordWrap/>
              <w:overflowPunct/>
              <w:topLinePunct w:val="0"/>
              <w:bidi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原油、成品油、天然气管线（不含城镇天然气管线、企业厂区内管线），危险化学品输送管线（不含企业厂区内管线）：全部</w:t>
            </w:r>
          </w:p>
        </w:tc>
        <w:tc>
          <w:tcPr>
            <w:tcW w:w="861" w:type="pct"/>
            <w:noWrap w:val="0"/>
            <w:tcMar>
              <w:top w:w="16" w:type="dxa"/>
              <w:left w:w="16" w:type="dxa"/>
              <w:right w:w="16" w:type="dxa"/>
            </w:tcMar>
            <w:vAlign w:val="center"/>
          </w:tcPr>
          <w:p w14:paraId="39046FB8">
            <w:pPr>
              <w:pStyle w:val="59"/>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不涉及</w:t>
            </w:r>
          </w:p>
        </w:tc>
      </w:tr>
      <w:tr w14:paraId="1495A9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581" w:type="pct"/>
            <w:vMerge w:val="continue"/>
            <w:noWrap w:val="0"/>
            <w:tcMar>
              <w:top w:w="16" w:type="dxa"/>
              <w:left w:w="16" w:type="dxa"/>
              <w:right w:w="16" w:type="dxa"/>
            </w:tcMar>
            <w:vAlign w:val="center"/>
          </w:tcPr>
          <w:p w14:paraId="34095128">
            <w:pPr>
              <w:autoSpaceDE w:val="0"/>
              <w:autoSpaceDN w:val="0"/>
              <w:adjustRightInd w:val="0"/>
              <w:snapToGrid w:val="0"/>
              <w:jc w:val="center"/>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p>
        </w:tc>
        <w:tc>
          <w:tcPr>
            <w:tcW w:w="4418" w:type="pct"/>
            <w:gridSpan w:val="5"/>
            <w:noWrap w:val="0"/>
            <w:tcMar>
              <w:top w:w="16" w:type="dxa"/>
              <w:left w:w="16" w:type="dxa"/>
              <w:right w:w="16" w:type="dxa"/>
            </w:tcMar>
            <w:vAlign w:val="center"/>
          </w:tcPr>
          <w:p w14:paraId="197A2E3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bookmarkStart w:id="3" w:name="OLE_LINK16"/>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注：环境敏感区是指《建设项目环境影响评价分类管理名录》中针对该类项目所列的敏感区，项目周边为一般湿地，不是重要湿地，不属于河湖整治中的环境敏感区。</w:t>
            </w:r>
          </w:p>
          <w:p w14:paraId="30B4218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根据上表可知，本项目不涉及地表水、地下水、生态、大气、噪声、环境风险等专项评价设置条件。</w:t>
            </w:r>
            <w:bookmarkEnd w:id="3"/>
          </w:p>
        </w:tc>
      </w:tr>
      <w:tr w14:paraId="5617B8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1" w:type="pct"/>
            <w:noWrap w:val="0"/>
            <w:tcMar>
              <w:top w:w="16" w:type="dxa"/>
              <w:left w:w="16" w:type="dxa"/>
              <w:right w:w="16" w:type="dxa"/>
            </w:tcMar>
            <w:vAlign w:val="center"/>
          </w:tcPr>
          <w:p w14:paraId="6C6BC6D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规划情况</w:t>
            </w:r>
          </w:p>
        </w:tc>
        <w:tc>
          <w:tcPr>
            <w:tcW w:w="4418" w:type="pct"/>
            <w:gridSpan w:val="5"/>
            <w:noWrap w:val="0"/>
            <w:tcMar>
              <w:top w:w="16" w:type="dxa"/>
              <w:left w:w="16" w:type="dxa"/>
              <w:right w:w="16" w:type="dxa"/>
            </w:tcMar>
            <w:vAlign w:val="center"/>
          </w:tcPr>
          <w:p w14:paraId="32CEB9F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left"/>
              <w:textAlignment w:val="auto"/>
              <w:rPr>
                <w:rFonts w:hint="eastAsia" w:cs="Times New Roman"/>
                <w:color w:val="000000" w:themeColor="text1"/>
                <w:kern w:val="0"/>
                <w:sz w:val="24"/>
                <w:szCs w:val="24"/>
                <w:highlight w:val="none"/>
                <w:lang w:val="en-US" w:eastAsia="zh-CN"/>
                <w14:textFill>
                  <w14:solidFill>
                    <w14:schemeClr w14:val="tx1"/>
                  </w14:solidFill>
                </w14:textFill>
              </w:rPr>
            </w:pPr>
            <w:r>
              <w:rPr>
                <w:rFonts w:hint="eastAsia" w:cs="Times New Roman"/>
                <w:color w:val="000000" w:themeColor="text1"/>
                <w:kern w:val="0"/>
                <w:sz w:val="24"/>
                <w:szCs w:val="24"/>
                <w:highlight w:val="none"/>
                <w:lang w:val="en-US" w:eastAsia="zh-CN"/>
                <w14:textFill>
                  <w14:solidFill>
                    <w14:schemeClr w14:val="tx1"/>
                  </w14:solidFill>
                </w14:textFill>
              </w:rPr>
              <w:t>规划名称：《临泽县国土空间总体规划(2021一2035)》</w:t>
            </w:r>
          </w:p>
          <w:p w14:paraId="34F53866">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left"/>
              <w:textAlignment w:val="auto"/>
              <w:rPr>
                <w:rFonts w:hint="eastAsia" w:cs="Times New Roman"/>
                <w:color w:val="000000" w:themeColor="text1"/>
                <w:kern w:val="0"/>
                <w:sz w:val="24"/>
                <w:szCs w:val="24"/>
                <w:highlight w:val="none"/>
                <w:lang w:val="en-US" w:eastAsia="zh-CN"/>
                <w14:textFill>
                  <w14:solidFill>
                    <w14:schemeClr w14:val="tx1"/>
                  </w14:solidFill>
                </w14:textFill>
              </w:rPr>
            </w:pPr>
            <w:r>
              <w:rPr>
                <w:rFonts w:hint="eastAsia" w:cs="Times New Roman"/>
                <w:color w:val="000000" w:themeColor="text1"/>
                <w:kern w:val="0"/>
                <w:sz w:val="24"/>
                <w:szCs w:val="24"/>
                <w:highlight w:val="none"/>
                <w:lang w:val="en-US" w:eastAsia="zh-CN"/>
                <w14:textFill>
                  <w14:solidFill>
                    <w14:schemeClr w14:val="tx1"/>
                  </w14:solidFill>
                </w14:textFill>
              </w:rPr>
              <w:t>审批机关：张掖市人民政府</w:t>
            </w:r>
          </w:p>
          <w:p w14:paraId="33612AC5">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left"/>
              <w:textAlignment w:val="auto"/>
              <w:rPr>
                <w:rFonts w:hint="default" w:cs="Times New Roman"/>
                <w:color w:val="000000" w:themeColor="text1"/>
                <w:kern w:val="0"/>
                <w:sz w:val="24"/>
                <w:szCs w:val="24"/>
                <w:highlight w:val="none"/>
                <w:lang w:val="en-US" w:eastAsia="zh-CN"/>
                <w14:textFill>
                  <w14:solidFill>
                    <w14:schemeClr w14:val="tx1"/>
                  </w14:solidFill>
                </w14:textFill>
              </w:rPr>
            </w:pPr>
            <w:r>
              <w:rPr>
                <w:rFonts w:hint="eastAsia" w:cs="Times New Roman"/>
                <w:color w:val="000000" w:themeColor="text1"/>
                <w:kern w:val="0"/>
                <w:sz w:val="24"/>
                <w:szCs w:val="24"/>
                <w:highlight w:val="none"/>
                <w:lang w:val="en-US" w:eastAsia="zh-CN"/>
                <w14:textFill>
                  <w14:solidFill>
                    <w14:schemeClr w14:val="tx1"/>
                  </w14:solidFill>
                </w14:textFill>
              </w:rPr>
              <w:t>审批文件名称及文号：《张掖市人民政府关于临泽县国土空间总体规划(2021一2035)的批复》张政函</w:t>
            </w:r>
            <w:r>
              <w:rPr>
                <w:rFonts w:hint="eastAsia" w:ascii="Times New Roman" w:hAnsi="Times New Roman" w:cs="Times New Roman"/>
                <w:color w:val="000000" w:themeColor="text1"/>
                <w:kern w:val="0"/>
                <w:sz w:val="24"/>
                <w:szCs w:val="24"/>
                <w:highlight w:val="none"/>
                <w:lang w:val="en-US" w:eastAsia="zh-CN" w:bidi="ar-SA"/>
                <w14:textFill>
                  <w14:solidFill>
                    <w14:schemeClr w14:val="tx1"/>
                  </w14:solidFill>
                </w14:textFill>
              </w:rPr>
              <w:t>〔</w:t>
            </w:r>
            <w:r>
              <w:rPr>
                <w:rFonts w:hint="eastAsia" w:cs="Times New Roman"/>
                <w:color w:val="000000" w:themeColor="text1"/>
                <w:kern w:val="0"/>
                <w:sz w:val="24"/>
                <w:szCs w:val="24"/>
                <w:highlight w:val="none"/>
                <w:lang w:val="en-US" w:eastAsia="zh-CN"/>
                <w14:textFill>
                  <w14:solidFill>
                    <w14:schemeClr w14:val="tx1"/>
                  </w14:solidFill>
                </w14:textFill>
              </w:rPr>
              <w:t>2024</w:t>
            </w:r>
            <w:r>
              <w:rPr>
                <w:rFonts w:hint="eastAsia" w:ascii="Times New Roman" w:hAnsi="Times New Roman" w:cs="Times New Roman"/>
                <w:color w:val="000000" w:themeColor="text1"/>
                <w:kern w:val="0"/>
                <w:sz w:val="24"/>
                <w:szCs w:val="24"/>
                <w:highlight w:val="none"/>
                <w:lang w:val="en-US" w:eastAsia="zh-CN" w:bidi="ar-SA"/>
                <w14:textFill>
                  <w14:solidFill>
                    <w14:schemeClr w14:val="tx1"/>
                  </w14:solidFill>
                </w14:textFill>
              </w:rPr>
              <w:t>〕</w:t>
            </w:r>
            <w:r>
              <w:rPr>
                <w:rFonts w:hint="eastAsia" w:cs="Times New Roman"/>
                <w:color w:val="000000" w:themeColor="text1"/>
                <w:kern w:val="0"/>
                <w:sz w:val="24"/>
                <w:szCs w:val="24"/>
                <w:highlight w:val="none"/>
                <w:lang w:val="en-US" w:eastAsia="zh-CN"/>
                <w14:textFill>
                  <w14:solidFill>
                    <w14:schemeClr w14:val="tx1"/>
                  </w14:solidFill>
                </w14:textFill>
              </w:rPr>
              <w:t>51号</w:t>
            </w:r>
          </w:p>
        </w:tc>
      </w:tr>
      <w:tr w14:paraId="012024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1" w:type="pct"/>
            <w:noWrap w:val="0"/>
            <w:tcMar>
              <w:top w:w="16" w:type="dxa"/>
              <w:left w:w="16" w:type="dxa"/>
              <w:right w:w="16" w:type="dxa"/>
            </w:tcMar>
            <w:vAlign w:val="center"/>
          </w:tcPr>
          <w:p w14:paraId="3702323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规划环境影响评价情况</w:t>
            </w:r>
          </w:p>
        </w:tc>
        <w:tc>
          <w:tcPr>
            <w:tcW w:w="4418" w:type="pct"/>
            <w:gridSpan w:val="5"/>
            <w:noWrap w:val="0"/>
            <w:tcMar>
              <w:top w:w="16" w:type="dxa"/>
              <w:left w:w="16" w:type="dxa"/>
              <w:right w:w="16" w:type="dxa"/>
            </w:tcMar>
            <w:vAlign w:val="center"/>
          </w:tcPr>
          <w:p w14:paraId="22F94004">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pPr>
            <w:r>
              <w:rPr>
                <w:rFonts w:hint="eastAsia" w:cs="Times New Roman"/>
                <w:color w:val="000000" w:themeColor="text1"/>
                <w:kern w:val="0"/>
                <w:sz w:val="24"/>
                <w:szCs w:val="24"/>
                <w:highlight w:val="none"/>
                <w:lang w:val="en-US" w:eastAsia="zh-CN"/>
                <w14:textFill>
                  <w14:solidFill>
                    <w14:schemeClr w14:val="tx1"/>
                  </w14:solidFill>
                </w14:textFill>
              </w:rPr>
              <w:t>无</w:t>
            </w:r>
          </w:p>
        </w:tc>
      </w:tr>
      <w:tr w14:paraId="1CC129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1" w:type="pct"/>
            <w:noWrap w:val="0"/>
            <w:tcMar>
              <w:top w:w="16" w:type="dxa"/>
              <w:left w:w="16" w:type="dxa"/>
              <w:right w:w="16" w:type="dxa"/>
            </w:tcMar>
            <w:vAlign w:val="center"/>
          </w:tcPr>
          <w:p w14:paraId="5C0AD4C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规划及</w:t>
            </w:r>
            <w:r>
              <w:rPr>
                <w:rFonts w:hint="default" w:ascii="Times New Roman" w:hAnsi="Times New Roman" w:eastAsia="宋体" w:cs="Times New Roman"/>
                <w:color w:val="000000" w:themeColor="text1"/>
                <w:sz w:val="24"/>
                <w:szCs w:val="24"/>
                <w:highlight w:val="none"/>
                <w14:textFill>
                  <w14:solidFill>
                    <w14:schemeClr w14:val="tx1"/>
                  </w14:solidFill>
                </w14:textFill>
              </w:rPr>
              <w:t>规划环境影响评价</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符合性分析</w:t>
            </w:r>
          </w:p>
        </w:tc>
        <w:tc>
          <w:tcPr>
            <w:tcW w:w="4418" w:type="pct"/>
            <w:gridSpan w:val="5"/>
            <w:noWrap w:val="0"/>
            <w:tcMar>
              <w:top w:w="16" w:type="dxa"/>
              <w:left w:w="16" w:type="dxa"/>
              <w:right w:w="16" w:type="dxa"/>
            </w:tcMar>
            <w:vAlign w:val="center"/>
          </w:tcPr>
          <w:p w14:paraId="05A2A60C">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left"/>
              <w:textAlignment w:val="auto"/>
              <w:rPr>
                <w:rFonts w:hint="eastAsia" w:cs="Times New Roman"/>
                <w:b/>
                <w:bCs/>
                <w:color w:val="0000FF"/>
                <w:kern w:val="0"/>
                <w:sz w:val="24"/>
                <w:szCs w:val="24"/>
                <w:highlight w:val="none"/>
                <w:lang w:val="en-US" w:eastAsia="zh-CN"/>
              </w:rPr>
            </w:pPr>
            <w:r>
              <w:rPr>
                <w:rFonts w:hint="eastAsia" w:cs="Times New Roman"/>
                <w:b/>
                <w:bCs/>
                <w:color w:val="0000FF"/>
                <w:kern w:val="0"/>
                <w:sz w:val="24"/>
                <w:szCs w:val="24"/>
                <w:highlight w:val="none"/>
                <w:lang w:val="en-US" w:eastAsia="zh-CN"/>
              </w:rPr>
              <w:t>项目与《临泽县国土空间总体规划(2021一2035)》符合性分析</w:t>
            </w:r>
          </w:p>
          <w:p w14:paraId="78491E90">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480" w:firstLineChars="200"/>
              <w:jc w:val="left"/>
              <w:textAlignment w:val="auto"/>
              <w:rPr>
                <w:rFonts w:hint="default" w:cs="Times New Roman"/>
                <w:color w:val="0000FF"/>
                <w:kern w:val="0"/>
                <w:sz w:val="24"/>
                <w:szCs w:val="24"/>
                <w:highlight w:val="none"/>
                <w:lang w:val="en-US" w:eastAsia="zh-CN"/>
              </w:rPr>
            </w:pPr>
            <w:r>
              <w:rPr>
                <w:rFonts w:hint="eastAsia" w:cs="Times New Roman"/>
                <w:color w:val="0000FF"/>
                <w:kern w:val="0"/>
                <w:sz w:val="24"/>
                <w:szCs w:val="24"/>
                <w:highlight w:val="none"/>
                <w:lang w:val="en-US" w:eastAsia="zh-CN"/>
              </w:rPr>
              <w:t>规划构建形成“一核四廊多点”的县域国土空间开发保护格局，坚持山水林田湖草沙一体化保护和系统治理，筑牢北拒荒漠南护祁连的生态安全屏障，加强中部绿洲黑河、流沙河生态廊道管护，保护黑河湿地国家级自然保护区、丹霞国家地质公园、小泉子国家沙漠公园、流沙河景区、双泉湖、黑河烟林及其他湿地等多个生态节点，增强水土保持、生物多样性功能。同时，持续优化城镇空间格局，提升城市综合承载能力，促进城镇空间集约高效、功能协调。</w:t>
            </w:r>
          </w:p>
          <w:p w14:paraId="1EF6D161">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480" w:firstLineChars="200"/>
              <w:jc w:val="left"/>
              <w:textAlignment w:val="auto"/>
              <w:rPr>
                <w:rFonts w:hint="eastAsia" w:cs="Times New Roman"/>
                <w:color w:val="0000FF"/>
                <w:kern w:val="0"/>
                <w:sz w:val="24"/>
                <w:szCs w:val="24"/>
                <w:highlight w:val="none"/>
                <w:lang w:val="en-US" w:eastAsia="zh-CN"/>
              </w:rPr>
            </w:pPr>
            <w:r>
              <w:rPr>
                <w:rFonts w:hint="eastAsia" w:cs="Times New Roman"/>
                <w:color w:val="0000FF"/>
                <w:kern w:val="0"/>
                <w:sz w:val="24"/>
                <w:szCs w:val="24"/>
                <w:highlight w:val="none"/>
                <w:lang w:val="en-US" w:eastAsia="zh-CN"/>
              </w:rPr>
              <w:t>本项目为小流域综合治理提质增效项目，措施包括沟道治理、低效林改造、封禁治理等，旨在减少水土流失，改善区域生态，符合规划的要求。</w:t>
            </w:r>
          </w:p>
          <w:p w14:paraId="6DF86A7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left"/>
              <w:textAlignment w:val="auto"/>
            </w:pPr>
            <w:r>
              <w:rPr>
                <w:sz w:val="24"/>
              </w:rPr>
              <mc:AlternateContent>
                <mc:Choice Requires="wps">
                  <w:drawing>
                    <wp:anchor distT="0" distB="0" distL="114300" distR="114300" simplePos="0" relativeHeight="251669504" behindDoc="0" locked="0" layoutInCell="1" allowOverlap="1">
                      <wp:simplePos x="0" y="0"/>
                      <wp:positionH relativeFrom="column">
                        <wp:posOffset>2148840</wp:posOffset>
                      </wp:positionH>
                      <wp:positionV relativeFrom="paragraph">
                        <wp:posOffset>1585595</wp:posOffset>
                      </wp:positionV>
                      <wp:extent cx="1501775" cy="544830"/>
                      <wp:effectExtent l="12700" t="12700" r="19050" b="1604645"/>
                      <wp:wrapNone/>
                      <wp:docPr id="26" name="矩形标注 26"/>
                      <wp:cNvGraphicFramePr/>
                      <a:graphic xmlns:a="http://schemas.openxmlformats.org/drawingml/2006/main">
                        <a:graphicData uri="http://schemas.microsoft.com/office/word/2010/wordprocessingShape">
                          <wps:wsp>
                            <wps:cNvSpPr/>
                            <wps:spPr>
                              <a:xfrm>
                                <a:off x="3747770" y="2941955"/>
                                <a:ext cx="1501775" cy="544830"/>
                              </a:xfrm>
                              <a:prstGeom prst="wedgeRectCallout">
                                <a:avLst>
                                  <a:gd name="adj1" fmla="val -34803"/>
                                  <a:gd name="adj2" fmla="val 342191"/>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393779AA">
                                  <w:pPr>
                                    <w:ind w:left="0" w:leftChars="0" w:firstLine="0" w:firstLineChars="0"/>
                                    <w:jc w:val="both"/>
                                    <w:rPr>
                                      <w:rFonts w:hint="default" w:eastAsia="宋体"/>
                                      <w:lang w:val="en-US" w:eastAsia="zh-CN"/>
                                    </w:rPr>
                                  </w:pPr>
                                  <w:r>
                                    <w:rPr>
                                      <w:rFonts w:hint="eastAsia"/>
                                      <w:lang w:val="en-US" w:eastAsia="zh-CN"/>
                                    </w:rPr>
                                    <w:t>项目地理位置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69.2pt;margin-top:124.85pt;height:42.9pt;width:118.25pt;z-index:251669504;v-text-anchor:middle;mso-width-relative:page;mso-height-relative:page;" fillcolor="#4F81BD [3204]" filled="t" stroked="t" coordsize="21600,21600" o:gfxdata="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PE93p/ZAAAA&#10;CwEAAA8AAAAAAAAAAQAgAAAAIgAAAGRycy9kb3ducmV2LnhtbFBLAQIUABQAAAAIAIdO4kAtHwRo&#10;xwIAAH0FAAAOAAAAAAAAAAEAIAAAACgBAABkcnMvZTJvRG9jLnhtbFBLBQYAAAAABgAGAFkBAABh&#10;BgAAAAA=&#10;" adj="3283,84713">
                      <v:fill on="t" focussize="0,0"/>
                      <v:stroke weight="2pt" color="#376092 [2404]" joinstyle="round"/>
                      <v:imagedata o:title=""/>
                      <o:lock v:ext="edit" aspectratio="f"/>
                      <v:textbox>
                        <w:txbxContent>
                          <w:p w14:paraId="393779AA">
                            <w:pPr>
                              <w:ind w:left="0" w:leftChars="0" w:firstLine="0" w:firstLineChars="0"/>
                              <w:jc w:val="both"/>
                              <w:rPr>
                                <w:rFonts w:hint="default" w:eastAsia="宋体"/>
                                <w:lang w:val="en-US" w:eastAsia="zh-CN"/>
                              </w:rPr>
                            </w:pPr>
                            <w:r>
                              <w:rPr>
                                <w:rFonts w:hint="eastAsia"/>
                                <w:lang w:val="en-US" w:eastAsia="zh-CN"/>
                              </w:rPr>
                              <w:t>项目地理位置</w:t>
                            </w:r>
                          </w:p>
                        </w:txbxContent>
                      </v:textbox>
                    </v:shape>
                  </w:pict>
                </mc:Fallback>
              </mc:AlternateContent>
            </w:r>
            <w:r>
              <w:drawing>
                <wp:inline distT="0" distB="0" distL="114300" distR="114300">
                  <wp:extent cx="5255260" cy="5895975"/>
                  <wp:effectExtent l="0" t="0" r="2540" b="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12"/>
                          <a:stretch>
                            <a:fillRect/>
                          </a:stretch>
                        </pic:blipFill>
                        <pic:spPr>
                          <a:xfrm>
                            <a:off x="0" y="0"/>
                            <a:ext cx="5255260" cy="5895975"/>
                          </a:xfrm>
                          <a:prstGeom prst="rect">
                            <a:avLst/>
                          </a:prstGeom>
                          <a:noFill/>
                          <a:ln>
                            <a:noFill/>
                          </a:ln>
                        </pic:spPr>
                      </pic:pic>
                    </a:graphicData>
                  </a:graphic>
                </wp:inline>
              </w:drawing>
            </w:r>
          </w:p>
          <w:p w14:paraId="19D90CAA">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eastAsia="宋体"/>
                <w:lang w:val="en-US" w:eastAsia="zh-CN"/>
              </w:rPr>
            </w:pPr>
            <w:r>
              <w:rPr>
                <w:rFonts w:hint="eastAsia"/>
                <w:lang w:val="en-US" w:eastAsia="zh-CN"/>
              </w:rPr>
              <w:t>图1-1 项目与国土空间规划的位置关系</w:t>
            </w:r>
          </w:p>
        </w:tc>
      </w:tr>
      <w:tr w14:paraId="5F5CD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25" w:hRule="atLeast"/>
        </w:trPr>
        <w:tc>
          <w:tcPr>
            <w:tcW w:w="581" w:type="pct"/>
            <w:noWrap w:val="0"/>
            <w:tcMar>
              <w:top w:w="16" w:type="dxa"/>
              <w:left w:w="16" w:type="dxa"/>
              <w:right w:w="16" w:type="dxa"/>
            </w:tcMar>
            <w:vAlign w:val="center"/>
          </w:tcPr>
          <w:p w14:paraId="1FE0692F">
            <w:pPr>
              <w:autoSpaceDE w:val="0"/>
              <w:autoSpaceDN w:val="0"/>
              <w:adjustRightInd w:val="0"/>
              <w:snapToGrid w:val="0"/>
              <w:ind w:left="0" w:leftChars="0" w:firstLine="0" w:firstLineChars="0"/>
              <w:jc w:val="both"/>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bookmarkStart w:id="4" w:name="_Hlk56690880"/>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其他符合性分析</w:t>
            </w:r>
            <w:bookmarkEnd w:id="4"/>
          </w:p>
        </w:tc>
        <w:tc>
          <w:tcPr>
            <w:tcW w:w="4418" w:type="pct"/>
            <w:gridSpan w:val="5"/>
            <w:noWrap w:val="0"/>
            <w:tcMar>
              <w:top w:w="16" w:type="dxa"/>
              <w:left w:w="16" w:type="dxa"/>
              <w:right w:w="16" w:type="dxa"/>
            </w:tcMar>
            <w:vAlign w:val="center"/>
          </w:tcPr>
          <w:p w14:paraId="730E77CE">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0" w:firstLineChars="0"/>
              <w:textAlignment w:val="auto"/>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1.与产业政策的符合性</w:t>
            </w:r>
          </w:p>
          <w:p w14:paraId="29F157A5">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属于“五十一、水利、128、河湖整治（不含农村塘堰、水渠）其他”类别，属于河湖整治项目，对照《产业结构调整指导目录（2024年本）》规定，本项目属于鼓励类项目“二、水利，13、水土保持工程。因此，本项目符合国家相关产业政策要求。</w:t>
            </w:r>
          </w:p>
          <w:p w14:paraId="4F372E08">
            <w:pPr>
              <w:pStyle w:val="33"/>
              <w:numPr>
                <w:ilvl w:val="0"/>
                <w:numId w:val="1"/>
              </w:numPr>
              <w:ind w:left="0" w:leftChars="0" w:firstLine="0" w:firstLineChars="0"/>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t>与行业及相关规划的符合性分析</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2"/>
              <w:gridCol w:w="1742"/>
              <w:gridCol w:w="1742"/>
              <w:gridCol w:w="1742"/>
            </w:tblGrid>
            <w:tr w14:paraId="2FA0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63B6928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规划名称</w:t>
                  </w:r>
                </w:p>
              </w:tc>
              <w:tc>
                <w:tcPr>
                  <w:tcW w:w="1742" w:type="dxa"/>
                  <w:vAlign w:val="center"/>
                </w:tcPr>
                <w:p w14:paraId="284AB05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与本项目相关要求</w:t>
                  </w:r>
                </w:p>
              </w:tc>
              <w:tc>
                <w:tcPr>
                  <w:tcW w:w="1742" w:type="dxa"/>
                  <w:vAlign w:val="center"/>
                </w:tcPr>
                <w:p w14:paraId="64C7013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本项目情况</w:t>
                  </w:r>
                </w:p>
              </w:tc>
              <w:tc>
                <w:tcPr>
                  <w:tcW w:w="1742" w:type="dxa"/>
                  <w:vAlign w:val="center"/>
                </w:tcPr>
                <w:p w14:paraId="4B37B47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符合性</w:t>
                  </w:r>
                </w:p>
              </w:tc>
            </w:tr>
            <w:tr w14:paraId="3812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36DC2FB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《全国水土保持规划（2015-2030年）》</w:t>
                  </w:r>
                </w:p>
              </w:tc>
              <w:tc>
                <w:tcPr>
                  <w:tcW w:w="1742" w:type="dxa"/>
                  <w:vAlign w:val="center"/>
                </w:tcPr>
                <w:p w14:paraId="534F09D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重点治理区水土流失，实施小流域综合治理，恢复植被，改善生态。</w:t>
                  </w:r>
                </w:p>
              </w:tc>
              <w:tc>
                <w:tcPr>
                  <w:tcW w:w="1742" w:type="dxa"/>
                  <w:vAlign w:val="center"/>
                </w:tcPr>
                <w:p w14:paraId="60F4F55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本项目为小流域综合治理提质增效项目，措施包括沟道治理、低效林改造、封禁治理等，旨在减少水土流失，改善区域生态。</w:t>
                  </w:r>
                </w:p>
              </w:tc>
              <w:tc>
                <w:tcPr>
                  <w:tcW w:w="1742" w:type="dxa"/>
                  <w:vAlign w:val="center"/>
                </w:tcPr>
                <w:p w14:paraId="4313B6E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符合</w:t>
                  </w:r>
                </w:p>
              </w:tc>
            </w:tr>
            <w:tr w14:paraId="7936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3377587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《甘肃省水土保持规划（2016-2030年）》</w:t>
                  </w:r>
                </w:p>
              </w:tc>
              <w:tc>
                <w:tcPr>
                  <w:tcW w:w="1742" w:type="dxa"/>
                  <w:vAlign w:val="center"/>
                </w:tcPr>
                <w:p w14:paraId="7460C68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按照“预防为主、保护优先”的原则，对重点预防区和重点治理区实施综合治理。项目区位于河西走廊风沙区，应加强生态修复。</w:t>
                  </w:r>
                </w:p>
              </w:tc>
              <w:tc>
                <w:tcPr>
                  <w:tcW w:w="1742" w:type="dxa"/>
                  <w:vAlign w:val="center"/>
                </w:tcPr>
                <w:p w14:paraId="4CA510E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本项目位于张掖市临泽县，实施了植被恢复、封禁治理等措施，符合区域防治要求。</w:t>
                  </w:r>
                </w:p>
              </w:tc>
              <w:tc>
                <w:tcPr>
                  <w:tcW w:w="1742" w:type="dxa"/>
                  <w:vAlign w:val="center"/>
                </w:tcPr>
                <w:p w14:paraId="177A6B0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符合</w:t>
                  </w:r>
                </w:p>
              </w:tc>
            </w:tr>
            <w:tr w14:paraId="7968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2" w:type="dxa"/>
                  <w:vAlign w:val="center"/>
                </w:tcPr>
                <w:p w14:paraId="5D4A2D0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《甘肃省湿地保护条例》</w:t>
                  </w:r>
                </w:p>
              </w:tc>
              <w:tc>
                <w:tcPr>
                  <w:tcW w:w="1742" w:type="dxa"/>
                  <w:vAlign w:val="center"/>
                </w:tcPr>
                <w:p w14:paraId="66DC046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在湿地范围内进行建设活动，应当进行环境影响评价，并采取保护措施，禁止破坏湿地及其生态功能，禁止向湿地排放污水、倾倒废弃物等。</w:t>
                  </w:r>
                </w:p>
              </w:tc>
              <w:tc>
                <w:tcPr>
                  <w:tcW w:w="1742" w:type="dxa"/>
                  <w:vAlign w:val="center"/>
                </w:tcPr>
                <w:p w14:paraId="63359C4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1.本报告已开展环评。2.项目涉及临泽县一般湿地，施工期采取了严格的管理措施（如不在湿地内设营地、设警示牌、严禁倾倒垃圾等），运营期无污染物排放，工程本身也起到改善水环境的正面作用。</w:t>
                  </w:r>
                </w:p>
              </w:tc>
              <w:tc>
                <w:tcPr>
                  <w:tcW w:w="1742" w:type="dxa"/>
                  <w:vAlign w:val="center"/>
                </w:tcPr>
                <w:p w14:paraId="63D8A95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符合</w:t>
                  </w:r>
                </w:p>
              </w:tc>
            </w:tr>
          </w:tbl>
          <w:p w14:paraId="1E7411F3">
            <w:pPr>
              <w:pStyle w:val="33"/>
              <w:numPr>
                <w:ilvl w:val="0"/>
                <w:numId w:val="1"/>
              </w:numPr>
              <w:ind w:left="0" w:leftChars="0" w:firstLine="0" w:firstLineChars="0"/>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t>与相关环保法律法规的符合性分析</w:t>
            </w:r>
          </w:p>
          <w:p w14:paraId="0D948556">
            <w:pPr>
              <w:pStyle w:val="33"/>
              <w:numPr>
                <w:ilvl w:val="0"/>
                <w:numId w:val="0"/>
              </w:numPr>
              <w:ind w:leftChars="0" w:firstLine="480" w:firstLineChars="200"/>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严格落实《中华人民共和国湿地保护法》要求，坚持生态优先、绿色发展。施工期间通过优化施工方案、严控施工范围、禁止向湿地排放污染物等措施，最大限度减少对湿地生态系统的影响。工程建成后，通过生态护坡、植被恢复等措施，将提升湿地区域的生态功能。项目符合《河道管理条例》关于保障行洪安全、保护河道生态环境的规定。</w:t>
            </w:r>
          </w:p>
          <w:p w14:paraId="2588E7D4">
            <w:pPr>
              <w:pStyle w:val="5"/>
              <w:keepNext w:val="0"/>
              <w:keepLines w:val="0"/>
              <w:pageBreakBefore w:val="0"/>
              <w:kinsoku/>
              <w:wordWrap/>
              <w:overflowPunct/>
              <w:topLinePunct w:val="0"/>
              <w:bidi w:val="0"/>
              <w:spacing w:before="0"/>
              <w:ind w:left="0" w:leftChars="0" w:right="0" w:firstLine="0" w:firstLineChars="0"/>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pPr>
            <w:r>
              <w:rPr>
                <w:rFonts w:hint="eastAsia" w:cs="Times New Roman"/>
                <w:b/>
                <w:bCs/>
                <w:color w:val="000000" w:themeColor="text1"/>
                <w:kern w:val="0"/>
                <w:sz w:val="24"/>
                <w:szCs w:val="24"/>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、与甘肃省生态环境厅关于实施“三线一单”生态环境分区管控动态更新成果的通知》（甘环发〔2024〕18号）符合性分析</w:t>
            </w:r>
          </w:p>
          <w:p w14:paraId="770A5D9E">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甘肃省生态环境厅关于实施“三线一单”生态环境分区管控动态更新成果的通知》甘政发【2024】18号，全省共划定环境管控单元952个，分为优先保护单元、重点管控单元和一般管控单元三类，实施分类管控。</w:t>
            </w:r>
          </w:p>
          <w:p w14:paraId="1D5E3A24">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优先保护单元。共557个，主要包括生态保护红线、自然保护地、集中式饮用水水源保护区等生态功能重要区和生态环境敏感区。该区域严格按照国家生态保护红线和省级生态空间管控区域管理规定进行管控。依法禁止或限制大规模、高强度的工业开发和城镇建设，严禁不符合国家有关规定的各类开发活动，确保生态环境功能不降低。</w:t>
            </w:r>
          </w:p>
          <w:p w14:paraId="0E171D9E">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重点管控单元。共312个，主要包括中心城区和城镇规划区、各级各类工业园区及工业集聚区等开发强度高、环境问题相对集中的区域。该区域是经济社会高质量发展的主要承载区，主要推进产业结构和能源结构调整，优化交通结构和用地结构，不断提高资源能源利用效率，加强污染物排放控制和环境风险防控，解决突出生态环境问题。</w:t>
            </w:r>
          </w:p>
          <w:p w14:paraId="7698047C">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一般管控单元。共83个，主要包括优先保护单元、重点管控单元以外的区域。该区域以促进生活、生态、生产功能的协调融合为主要目标，主要落实生态环境保护基本要求，加强生活污染和农业面源污染治理，推动区域生态环境质量持续改善和区域经济社会可持续发展。</w:t>
            </w:r>
          </w:p>
          <w:p w14:paraId="2AF74345">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次治理范围为临泽县鸭暖镇。本项目不在甘肃省生态保护红线、自然保护地、集中式饮用水水源保护区等生态功能重要区和生态环境敏感区内，属于“一般管控单元”。本项目符合产业结构要求，符合甘肃省“一般管控单元”管控要求，符合分区管控要求。项目与甘肃省生态环境分区管控位置关系见附图6。</w:t>
            </w:r>
          </w:p>
          <w:p w14:paraId="1E15DF7F">
            <w:pPr>
              <w:bidi w:val="0"/>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t>5、项目与《关于实施“三线一单”生态环境分区管控动态更新成果的通知》张环发〔2024〕10号的符合性分析</w:t>
            </w:r>
          </w:p>
          <w:p w14:paraId="7FF78A23">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关于实施“三线一单”生态环境分区管控动态更新成果的通知》，全市共划定环境管控单元63个，分为优先保护单元、重点管控单元和一般管控单元，实施分类管控。优先保护单元，共37个；重点管控单元，共21个；一般管控单元，共5个。</w:t>
            </w:r>
          </w:p>
          <w:p w14:paraId="41D38B83">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优先保护单元。共37个，主要包括生态保护红线、自然保护地、集中式饮用水水源保护区等生态功能重要区和生态环境敏感区。该区域严格按照生态保护红线管理规定进行管控。依法禁止或限制大规模、高强度的开发建设活动，严禁不符合国家有关规定和准入要求的各类开发活动，确保生态环境功能不降低。</w:t>
            </w:r>
          </w:p>
          <w:p w14:paraId="50FB18AF">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重点管控单元。共21个，主要包括中心城区和城镇规划区、工业园区（集聚区）等开发强度高、环境问题相对集中的区域。该区域是经济社会高质量发展的主要承载区，以产业高质量发展和环境保护协调为主，优化空间布局，推进产业结构和能源结构调整，优化交通结构和用地结构，不断提高资源能源利用效率，加强污染物排放控制和环境风险防控，解决突出生态环境问题。</w:t>
            </w:r>
          </w:p>
          <w:p w14:paraId="07CED39F">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一般管控单元。共5个，主要包括优先保护单元和重点管控单元之外的区域。该区域以促进生活、生态、生产功能的协调融合为主要目标，主要落实生态环境保护基本要求，加强生活污染和农业面源污染治理，推动区域生态环境质量持续改善和区域经济社会可持续发展。</w:t>
            </w:r>
          </w:p>
          <w:p w14:paraId="411E34CA">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根据划定的环境管控单元分布图，项目区域属</w:t>
            </w:r>
            <w:r>
              <w:rPr>
                <w:rFonts w:hint="eastAsia" w:cs="Times New Roman"/>
                <w:color w:val="000000" w:themeColor="text1"/>
                <w:sz w:val="24"/>
                <w:szCs w:val="24"/>
                <w:highlight w:val="none"/>
                <w:lang w:val="en-US" w:eastAsia="zh-CN"/>
                <w14:textFill>
                  <w14:solidFill>
                    <w14:schemeClr w14:val="tx1"/>
                  </w14:solidFill>
                </w14:textFill>
              </w:rPr>
              <w:t>一般</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管控单元，该区域是经济社会高质量发展的主要承载区，以产业高质量发展和环境保护协调为主，优化空间布局，推进产业结构和能源结构调整，优化交通结构和用地结构，不断提高资源能源利用效率，加强污染物排放控制和环境风险防控，解决突出生态环境问题。</w:t>
            </w:r>
          </w:p>
          <w:p w14:paraId="16362140">
            <w:pPr>
              <w:bidi w:val="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本项目属于河湖整治类，项目运营期无废水、废气、噪声等污染物排放，项目实施对</w:t>
            </w:r>
            <w:r>
              <w:rPr>
                <w:rFonts w:hint="eastAsia" w:cs="Times New Roman"/>
                <w:color w:val="000000" w:themeColor="text1"/>
                <w:sz w:val="24"/>
                <w:szCs w:val="24"/>
                <w:highlight w:val="none"/>
                <w:lang w:val="en-US" w:eastAsia="zh-CN"/>
                <w14:textFill>
                  <w14:solidFill>
                    <w14:schemeClr w14:val="tx1"/>
                  </w14:solidFill>
                </w14:textFill>
              </w:rPr>
              <w:t>阴沟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防洪能力具有积极作用，项目建设符合《关于实施“三线一单”生态环境分区管控动态更新成果的通知》张环发〔2024〕10号相关要求。</w:t>
            </w:r>
          </w:p>
          <w:p w14:paraId="156E6586">
            <w:pPr>
              <w:bidi w:val="0"/>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t>6、与《张掖市生态环境准入清单》的符合性分析</w:t>
            </w:r>
          </w:p>
          <w:p w14:paraId="72507ABB">
            <w:pPr>
              <w:bidi w:val="0"/>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t>根据《张掖市生态环境准入清单》，拟建项目与张掖市生态环境准入清单分析见表3。</w:t>
            </w:r>
          </w:p>
          <w:p w14:paraId="28F00E23">
            <w:pPr>
              <w:pStyle w:val="19"/>
              <w:spacing w:line="360" w:lineRule="auto"/>
              <w:ind w:left="0" w:leftChars="0" w:firstLine="0" w:firstLineChars="0"/>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p>
          <w:p w14:paraId="359E71A1">
            <w:pPr>
              <w:pStyle w:val="19"/>
              <w:spacing w:line="360" w:lineRule="auto"/>
              <w:ind w:left="0" w:leftChars="0" w:firstLine="0" w:firstLineChars="0"/>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p>
          <w:p w14:paraId="26F2B342">
            <w:pPr>
              <w:pStyle w:val="19"/>
              <w:spacing w:line="360" w:lineRule="auto"/>
              <w:ind w:left="0" w:leftChars="0" w:firstLine="0" w:firstLineChars="0"/>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p>
          <w:p w14:paraId="3B049B06">
            <w:pPr>
              <w:pStyle w:val="19"/>
              <w:spacing w:line="360" w:lineRule="auto"/>
              <w:ind w:left="0" w:leftChars="0" w:firstLine="0" w:firstLineChars="0"/>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p>
        </w:tc>
      </w:tr>
    </w:tbl>
    <w:p w14:paraId="4AA18086">
      <w:pPr>
        <w:spacing w:line="360" w:lineRule="auto"/>
        <w:outlineLvl w:val="0"/>
        <w:rPr>
          <w:rFonts w:hint="default" w:ascii="Times New Roman" w:hAnsi="Times New Roman" w:eastAsia="仿宋" w:cs="Times New Roman"/>
          <w:sz w:val="30"/>
        </w:rPr>
        <w:sectPr>
          <w:footerReference r:id="rId6" w:type="default"/>
          <w:pgSz w:w="11906" w:h="16838"/>
          <w:pgMar w:top="1701" w:right="1531" w:bottom="1701" w:left="1531" w:header="851" w:footer="1077" w:gutter="0"/>
          <w:pgNumType w:fmt="decimal" w:start="1"/>
          <w:cols w:space="720" w:num="1"/>
          <w:docGrid w:linePitch="312" w:charSpace="0"/>
        </w:sectPr>
      </w:pPr>
    </w:p>
    <w:p w14:paraId="552DD5FC">
      <w:pPr>
        <w:ind w:left="0" w:leftChars="0" w:firstLine="0" w:firstLineChars="0"/>
        <w:jc w:val="center"/>
        <w:outlineLvl w:val="9"/>
        <w:rPr>
          <w:rFonts w:hint="default" w:ascii="Times New Roman" w:hAnsi="Times New Roman" w:eastAsia="仿宋_GB2312" w:cs="Times New Roman"/>
          <w:b/>
          <w:bCs w:val="0"/>
          <w:color w:val="000000" w:themeColor="text1"/>
          <w14:textFill>
            <w14:solidFill>
              <w14:schemeClr w14:val="tx1"/>
            </w14:solidFill>
          </w14:textFill>
        </w:rPr>
      </w:pPr>
      <w:r>
        <w:rPr>
          <w:rFonts w:hint="default" w:ascii="Times New Roman" w:hAnsi="Times New Roman" w:eastAsia="仿宋_GB2312" w:cs="Times New Roman"/>
          <w:b/>
          <w:bCs w:val="0"/>
          <w:color w:val="000000" w:themeColor="text1"/>
          <w14:textFill>
            <w14:solidFill>
              <w14:schemeClr w14:val="tx1"/>
            </w14:solidFill>
          </w14:textFill>
        </w:rPr>
        <w:t>表3</w:t>
      </w:r>
      <w:r>
        <w:rPr>
          <w:rFonts w:hint="default" w:ascii="Times New Roman" w:hAnsi="Times New Roman" w:eastAsia="仿宋_GB2312" w:cs="Times New Roman"/>
          <w:b/>
          <w:bCs w:val="0"/>
          <w:color w:val="000000" w:themeColor="text1"/>
          <w:lang w:val="en-US" w:eastAsia="zh-CN"/>
          <w14:textFill>
            <w14:solidFill>
              <w14:schemeClr w14:val="tx1"/>
            </w14:solidFill>
          </w14:textFill>
        </w:rPr>
        <w:t xml:space="preserve"> </w:t>
      </w:r>
      <w:r>
        <w:rPr>
          <w:rFonts w:hint="default" w:ascii="Times New Roman" w:hAnsi="Times New Roman" w:eastAsia="仿宋_GB2312" w:cs="Times New Roman"/>
          <w:b/>
          <w:bCs w:val="0"/>
          <w:color w:val="000000" w:themeColor="text1"/>
          <w14:textFill>
            <w14:solidFill>
              <w14:schemeClr w14:val="tx1"/>
            </w14:solidFill>
          </w14:textFill>
        </w:rPr>
        <w:t>与张掖市生态环境准入清单符合性分析一览表</w:t>
      </w:r>
    </w:p>
    <w:tbl>
      <w:tblPr>
        <w:tblStyle w:val="27"/>
        <w:tblW w:w="13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716"/>
        <w:gridCol w:w="696"/>
        <w:gridCol w:w="7702"/>
        <w:gridCol w:w="2829"/>
        <w:gridCol w:w="753"/>
      </w:tblGrid>
      <w:tr w14:paraId="620A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3" w:type="dxa"/>
            <w:noWrap w:val="0"/>
            <w:vAlign w:val="center"/>
          </w:tcPr>
          <w:p w14:paraId="5957CBB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类别</w:t>
            </w:r>
          </w:p>
        </w:tc>
        <w:tc>
          <w:tcPr>
            <w:tcW w:w="716" w:type="dxa"/>
            <w:noWrap w:val="0"/>
            <w:vAlign w:val="center"/>
          </w:tcPr>
          <w:p w14:paraId="3BDDBB05">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管控单元</w:t>
            </w:r>
          </w:p>
        </w:tc>
        <w:tc>
          <w:tcPr>
            <w:tcW w:w="696" w:type="dxa"/>
            <w:noWrap w:val="0"/>
            <w:vAlign w:val="center"/>
          </w:tcPr>
          <w:p w14:paraId="5E018955">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维度</w:t>
            </w:r>
          </w:p>
        </w:tc>
        <w:tc>
          <w:tcPr>
            <w:tcW w:w="7702" w:type="dxa"/>
            <w:noWrap w:val="0"/>
            <w:vAlign w:val="center"/>
          </w:tcPr>
          <w:p w14:paraId="076234E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文件要求</w:t>
            </w:r>
          </w:p>
        </w:tc>
        <w:tc>
          <w:tcPr>
            <w:tcW w:w="2829" w:type="dxa"/>
            <w:noWrap w:val="0"/>
            <w:vAlign w:val="center"/>
          </w:tcPr>
          <w:p w14:paraId="15C97BCC">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拟建项目</w:t>
            </w:r>
          </w:p>
        </w:tc>
        <w:tc>
          <w:tcPr>
            <w:tcW w:w="753" w:type="dxa"/>
            <w:noWrap w:val="0"/>
            <w:vAlign w:val="center"/>
          </w:tcPr>
          <w:p w14:paraId="6CBFE09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符合性</w:t>
            </w:r>
          </w:p>
        </w:tc>
      </w:tr>
      <w:tr w14:paraId="0DF4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3" w:type="dxa"/>
            <w:vMerge w:val="restart"/>
            <w:noWrap w:val="0"/>
            <w:vAlign w:val="center"/>
          </w:tcPr>
          <w:p w14:paraId="093E2D59">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全省生态环境总体准入清单</w:t>
            </w:r>
          </w:p>
        </w:tc>
        <w:tc>
          <w:tcPr>
            <w:tcW w:w="716" w:type="dxa"/>
            <w:vMerge w:val="restart"/>
            <w:noWrap w:val="0"/>
            <w:vAlign w:val="center"/>
          </w:tcPr>
          <w:p w14:paraId="2ABB895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一般</w:t>
            </w:r>
            <w:r>
              <w:rPr>
                <w:rFonts w:hint="default" w:ascii="Times New Roman" w:hAnsi="Times New Roman" w:eastAsia="宋体" w:cs="Times New Roman"/>
                <w:color w:val="auto"/>
                <w:szCs w:val="21"/>
              </w:rPr>
              <w:t>管控单元</w:t>
            </w:r>
          </w:p>
        </w:tc>
        <w:tc>
          <w:tcPr>
            <w:tcW w:w="696" w:type="dxa"/>
            <w:noWrap w:val="0"/>
            <w:vAlign w:val="center"/>
          </w:tcPr>
          <w:p w14:paraId="7F2C730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空间布局约束</w:t>
            </w:r>
          </w:p>
        </w:tc>
        <w:tc>
          <w:tcPr>
            <w:tcW w:w="7702" w:type="dxa"/>
            <w:noWrap w:val="0"/>
            <w:vAlign w:val="center"/>
          </w:tcPr>
          <w:p w14:paraId="000B52E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大力发展生态环保产业。严格执行畜禽养殖禁养区规定，根据区域用地和消纳水平，合理确定养殖规模。加强永久基本农田保护，严格限制非农项目占用耕地。</w:t>
            </w:r>
          </w:p>
        </w:tc>
        <w:tc>
          <w:tcPr>
            <w:tcW w:w="2829" w:type="dxa"/>
            <w:noWrap w:val="0"/>
            <w:vAlign w:val="center"/>
          </w:tcPr>
          <w:p w14:paraId="5831F3BF">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拟建项目符合国家产业政策，拟建项目为</w:t>
            </w:r>
            <w:r>
              <w:rPr>
                <w:rFonts w:hint="eastAsia" w:cs="Times New Roman"/>
                <w:color w:val="auto"/>
                <w:szCs w:val="21"/>
                <w:lang w:val="en-US" w:eastAsia="zh-CN"/>
              </w:rPr>
              <w:t>河湖整治工程</w:t>
            </w:r>
            <w:r>
              <w:rPr>
                <w:rFonts w:hint="default" w:ascii="Times New Roman" w:hAnsi="Times New Roman" w:eastAsia="宋体" w:cs="Times New Roman"/>
                <w:color w:val="auto"/>
                <w:szCs w:val="21"/>
              </w:rPr>
              <w:t>，不属于</w:t>
            </w:r>
            <w:r>
              <w:rPr>
                <w:rFonts w:hint="default" w:ascii="Times New Roman" w:hAnsi="Times New Roman" w:eastAsia="宋体" w:cs="Times New Roman"/>
                <w:color w:val="auto"/>
                <w:szCs w:val="21"/>
                <w:lang w:eastAsia="zh-CN"/>
              </w:rPr>
              <w:t>有色金属冶炼、焦化等</w:t>
            </w:r>
            <w:r>
              <w:rPr>
                <w:rFonts w:hint="default" w:ascii="Times New Roman" w:hAnsi="Times New Roman" w:eastAsia="宋体" w:cs="Times New Roman"/>
                <w:color w:val="auto"/>
                <w:szCs w:val="21"/>
              </w:rPr>
              <w:t>重污染项目。</w:t>
            </w:r>
            <w:r>
              <w:rPr>
                <w:rFonts w:hint="default" w:ascii="Times New Roman" w:hAnsi="Times New Roman" w:eastAsia="宋体" w:cs="Times New Roman"/>
                <w:color w:val="auto"/>
                <w:szCs w:val="21"/>
                <w:lang w:val="en-US" w:eastAsia="zh-CN"/>
              </w:rPr>
              <w:t>项目不占用耕地</w:t>
            </w:r>
          </w:p>
        </w:tc>
        <w:tc>
          <w:tcPr>
            <w:tcW w:w="753" w:type="dxa"/>
            <w:noWrap w:val="0"/>
            <w:vAlign w:val="center"/>
          </w:tcPr>
          <w:p w14:paraId="116DF775">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49CB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3" w:type="dxa"/>
            <w:vMerge w:val="continue"/>
            <w:noWrap w:val="0"/>
            <w:vAlign w:val="center"/>
          </w:tcPr>
          <w:p w14:paraId="5CD72392">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289C80AC">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6B38E6AA">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污染物排放管控</w:t>
            </w:r>
          </w:p>
        </w:tc>
        <w:tc>
          <w:tcPr>
            <w:tcW w:w="7702" w:type="dxa"/>
            <w:noWrap w:val="0"/>
            <w:vAlign w:val="center"/>
          </w:tcPr>
          <w:p w14:paraId="54280FA9">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落实污染物总量控制制度，根据区域环境质量改善目标，削减污染物排放总量。加强农业面源污染治理，严格控制化肥农药施加量，合理水产养殖布局，控制水产养殖污染，逐步削减农业面源污染物排放量。</w:t>
            </w:r>
          </w:p>
        </w:tc>
        <w:tc>
          <w:tcPr>
            <w:tcW w:w="2829" w:type="dxa"/>
            <w:noWrap w:val="0"/>
            <w:vAlign w:val="center"/>
          </w:tcPr>
          <w:p w14:paraId="3FE90D0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eastAsia="zh-CN"/>
              </w:rPr>
              <w:t>项目各产污节点均采取了有效治理措施，</w:t>
            </w:r>
            <w:r>
              <w:rPr>
                <w:rFonts w:hint="default" w:ascii="Times New Roman" w:hAnsi="Times New Roman" w:eastAsia="宋体" w:cs="Times New Roman"/>
                <w:color w:val="auto"/>
                <w:szCs w:val="21"/>
                <w:lang w:val="en-US" w:eastAsia="zh-CN"/>
              </w:rPr>
              <w:t>运行期不产生</w:t>
            </w:r>
            <w:r>
              <w:rPr>
                <w:rFonts w:hint="default" w:ascii="Times New Roman" w:hAnsi="Times New Roman" w:eastAsia="宋体" w:cs="Times New Roman"/>
                <w:color w:val="auto"/>
                <w:szCs w:val="21"/>
                <w:lang w:eastAsia="zh-CN"/>
              </w:rPr>
              <w:t>废气、废水、噪声</w:t>
            </w:r>
            <w:r>
              <w:rPr>
                <w:rFonts w:hint="default" w:ascii="Times New Roman" w:hAnsi="Times New Roman" w:eastAsia="宋体" w:cs="Times New Roman"/>
                <w:color w:val="auto"/>
                <w:szCs w:val="21"/>
              </w:rPr>
              <w:t>；拟建项目</w:t>
            </w:r>
            <w:r>
              <w:rPr>
                <w:rFonts w:hint="eastAsia" w:cs="Times New Roman"/>
                <w:color w:val="auto"/>
                <w:szCs w:val="21"/>
                <w:lang w:val="en-US" w:eastAsia="zh-CN"/>
              </w:rPr>
              <w:t>河湖整治工程</w:t>
            </w:r>
            <w:r>
              <w:rPr>
                <w:rFonts w:hint="default" w:ascii="Times New Roman" w:hAnsi="Times New Roman" w:eastAsia="宋体" w:cs="Times New Roman"/>
                <w:color w:val="auto"/>
                <w:szCs w:val="21"/>
              </w:rPr>
              <w:t>，不属于“两高”</w:t>
            </w:r>
            <w:r>
              <w:rPr>
                <w:rFonts w:hint="default" w:ascii="Times New Roman" w:hAnsi="Times New Roman" w:eastAsia="宋体" w:cs="Times New Roman"/>
                <w:color w:val="auto"/>
                <w:szCs w:val="21"/>
                <w:lang w:eastAsia="zh-CN"/>
              </w:rPr>
              <w:t>类</w:t>
            </w:r>
            <w:r>
              <w:rPr>
                <w:rFonts w:hint="default" w:ascii="Times New Roman" w:hAnsi="Times New Roman" w:eastAsia="宋体" w:cs="Times New Roman"/>
                <w:color w:val="auto"/>
                <w:szCs w:val="21"/>
              </w:rPr>
              <w:t>项目。</w:t>
            </w:r>
          </w:p>
        </w:tc>
        <w:tc>
          <w:tcPr>
            <w:tcW w:w="753" w:type="dxa"/>
            <w:noWrap w:val="0"/>
            <w:vAlign w:val="center"/>
          </w:tcPr>
          <w:p w14:paraId="0AA55AE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7A4F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3" w:type="dxa"/>
            <w:vMerge w:val="continue"/>
            <w:noWrap w:val="0"/>
            <w:vAlign w:val="center"/>
          </w:tcPr>
          <w:p w14:paraId="61567BF9">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28CCF2A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145D0F3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环境风险防控</w:t>
            </w:r>
          </w:p>
        </w:tc>
        <w:tc>
          <w:tcPr>
            <w:tcW w:w="7702" w:type="dxa"/>
            <w:noWrap w:val="0"/>
            <w:vAlign w:val="center"/>
          </w:tcPr>
          <w:p w14:paraId="7FC07E4F">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加强生态公益林保护与建设，防止水土流失。禁止向农用地排放重金属或者其他有毒有害物质含量超标的污水、污泥，以及可能造成土壤污染的清淤底泥、尾矿、矿渣等。</w:t>
            </w:r>
          </w:p>
        </w:tc>
        <w:tc>
          <w:tcPr>
            <w:tcW w:w="2829" w:type="dxa"/>
            <w:noWrap w:val="0"/>
            <w:vAlign w:val="center"/>
          </w:tcPr>
          <w:p w14:paraId="6BB805D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项目运行期不排放污染物。</w:t>
            </w:r>
          </w:p>
        </w:tc>
        <w:tc>
          <w:tcPr>
            <w:tcW w:w="753" w:type="dxa"/>
            <w:noWrap w:val="0"/>
            <w:vAlign w:val="center"/>
          </w:tcPr>
          <w:p w14:paraId="22A43053">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144F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3" w:type="dxa"/>
            <w:vMerge w:val="continue"/>
            <w:noWrap w:val="0"/>
            <w:vAlign w:val="center"/>
          </w:tcPr>
          <w:p w14:paraId="7E73DFC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140098B3">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3C5C657A">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资源利用效率</w:t>
            </w:r>
          </w:p>
        </w:tc>
        <w:tc>
          <w:tcPr>
            <w:tcW w:w="7702" w:type="dxa"/>
            <w:noWrap w:val="0"/>
            <w:vAlign w:val="center"/>
          </w:tcPr>
          <w:p w14:paraId="15905BE8">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落实《甘肃省“十四五”能源发展规划》《甘肃省十四五节能减排综合工作方案》提高能源资源利用效率相关要求，严格落实能耗管控制度，有效抑制石油消费增量，引导扩大天然气消费，提高农村用能效率。“十四五”时期，规模以上工业单位增加值能耗下降13.5％，万元工业增加值用水量下降12.9％。</w:t>
            </w:r>
          </w:p>
          <w:p w14:paraId="4975A091">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落实《关于进一步加强水资源节约集约利用的意见》《甘肃省“十四五”水利发展规划》相关要求，落实最严格水资源管理制度，严格用水总量和强度双控，落实各级行政区用水效率管控指标，加强污水资源化利用。</w:t>
            </w:r>
          </w:p>
          <w:p w14:paraId="753FAEB1">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各类工业园区（集聚区）：推进工业园区（集聚区）循环化改造，强化企业清洁生产改造。按照《关于推进污水资源化利用的指导意见》《关于进一步加强水资源节约集约利用的意见》相关要求，强化工业节水，坚持以水定产，强化企业和园区集约用水，实施节水改造。按照《关于加强高耗能、高排放建设项目生态环境源头防控的指导意见》相关要求，提高能源利用效率，推进“两高”行业减污降碳协同控制。严格执行行业能耗标准和国家产能置换政策要求，控制钢铁、建材、化工等耗煤行业耗煤量。</w:t>
            </w:r>
          </w:p>
          <w:p w14:paraId="6288F56C">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城镇生活类重点管控单元：按照《关于进一步加强水资源节约集约利用的意见》相关要求，坚持以水定城、以水定地、以水定人、以水定产，推行绿色生产生活方式，遏制用水浪费，从严控制高耗水服务业用水，严格用水定额管理。</w:t>
            </w:r>
          </w:p>
          <w:p w14:paraId="003C4621">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严格执行《地下水管理条例》中节约与保护相关要求。取用地下水的单位和个人应当遵守取水总量控制和定额管理要求，使用先进节约用水技术、工艺和设备，采取循环用水、综合利用及废水处理回用等措施，实施技术改造，降低用水消耗。</w:t>
            </w:r>
          </w:p>
          <w:p w14:paraId="0DDC4ECC">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（6）地下水开采重点管控区：严格执行《地下水管理条例》中超采治理相关要求。</w:t>
            </w:r>
          </w:p>
        </w:tc>
        <w:tc>
          <w:tcPr>
            <w:tcW w:w="2829" w:type="dxa"/>
            <w:noWrap w:val="0"/>
            <w:vAlign w:val="center"/>
          </w:tcPr>
          <w:p w14:paraId="4BA5B72C">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拟建项目</w:t>
            </w:r>
            <w:r>
              <w:rPr>
                <w:rFonts w:hint="default" w:ascii="Times New Roman" w:hAnsi="Times New Roman" w:eastAsia="宋体" w:cs="Times New Roman"/>
                <w:color w:val="auto"/>
                <w:szCs w:val="21"/>
                <w:lang w:val="en-US" w:eastAsia="zh-CN"/>
              </w:rPr>
              <w:t>运行期不消耗水资源</w:t>
            </w:r>
            <w:r>
              <w:rPr>
                <w:rFonts w:hint="default" w:ascii="Times New Roman" w:hAnsi="Times New Roman" w:eastAsia="宋体" w:cs="Times New Roman"/>
                <w:color w:val="auto"/>
                <w:szCs w:val="21"/>
              </w:rPr>
              <w:t>；拟建项目不属于“两高”项目。</w:t>
            </w:r>
          </w:p>
        </w:tc>
        <w:tc>
          <w:tcPr>
            <w:tcW w:w="753" w:type="dxa"/>
            <w:noWrap w:val="0"/>
            <w:vAlign w:val="center"/>
          </w:tcPr>
          <w:p w14:paraId="0E30429F">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08B3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vMerge w:val="restart"/>
            <w:noWrap w:val="0"/>
            <w:vAlign w:val="center"/>
          </w:tcPr>
          <w:p w14:paraId="48DD3D0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张掖市生态环境总体准入清单</w:t>
            </w:r>
          </w:p>
        </w:tc>
        <w:tc>
          <w:tcPr>
            <w:tcW w:w="716" w:type="dxa"/>
            <w:vMerge w:val="restart"/>
            <w:noWrap w:val="0"/>
            <w:vAlign w:val="center"/>
          </w:tcPr>
          <w:p w14:paraId="19C2058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一般</w:t>
            </w:r>
            <w:r>
              <w:rPr>
                <w:rFonts w:hint="default" w:ascii="Times New Roman" w:hAnsi="Times New Roman" w:eastAsia="宋体" w:cs="Times New Roman"/>
                <w:color w:val="auto"/>
                <w:szCs w:val="21"/>
              </w:rPr>
              <w:t>管控单元</w:t>
            </w:r>
          </w:p>
        </w:tc>
        <w:tc>
          <w:tcPr>
            <w:tcW w:w="696" w:type="dxa"/>
            <w:noWrap w:val="0"/>
            <w:vAlign w:val="center"/>
          </w:tcPr>
          <w:p w14:paraId="12B3E0CE">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空间布局约束</w:t>
            </w:r>
          </w:p>
        </w:tc>
        <w:tc>
          <w:tcPr>
            <w:tcW w:w="7702" w:type="dxa"/>
            <w:noWrap w:val="0"/>
            <w:vAlign w:val="center"/>
          </w:tcPr>
          <w:p w14:paraId="4A6D2FD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执行全省生态环境总体准入清单、国家相关法律法规以及《关于深入打好污染防治攻坚战的意见》、《关于加强高耗能、高排放建设项目生态环境源头防控的指导意见》（环环评[2021]45号）、省、市水污染防治、大气污染防治、土壤污染防治等相关要求，确保环境质量总体满足功能区要求。</w:t>
            </w:r>
          </w:p>
        </w:tc>
        <w:tc>
          <w:tcPr>
            <w:tcW w:w="2829" w:type="dxa"/>
            <w:noWrap w:val="0"/>
            <w:vAlign w:val="center"/>
          </w:tcPr>
          <w:p w14:paraId="20F0CEAA">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拟建项目不属于“两高”项目；拟建项目运营期不产生挥发性有机物；拟建项目符合国家产业政策，拟建项目为</w:t>
            </w:r>
            <w:r>
              <w:rPr>
                <w:rFonts w:hint="eastAsia" w:cs="Times New Roman"/>
                <w:color w:val="auto"/>
                <w:szCs w:val="21"/>
                <w:lang w:val="en-US" w:eastAsia="zh-CN"/>
              </w:rPr>
              <w:t>河湖整治工程</w:t>
            </w:r>
            <w:r>
              <w:rPr>
                <w:rFonts w:hint="default" w:ascii="Times New Roman" w:hAnsi="Times New Roman" w:eastAsia="宋体" w:cs="Times New Roman"/>
                <w:color w:val="auto"/>
                <w:szCs w:val="21"/>
              </w:rPr>
              <w:t>，不属于</w:t>
            </w:r>
            <w:r>
              <w:rPr>
                <w:rFonts w:hint="default" w:ascii="Times New Roman" w:hAnsi="Times New Roman" w:eastAsia="宋体" w:cs="Times New Roman"/>
                <w:color w:val="auto"/>
                <w:szCs w:val="21"/>
                <w:lang w:eastAsia="zh-CN"/>
              </w:rPr>
              <w:t>有色金属冶炼、焦化等</w:t>
            </w:r>
            <w:r>
              <w:rPr>
                <w:rFonts w:hint="default" w:ascii="Times New Roman" w:hAnsi="Times New Roman" w:eastAsia="宋体" w:cs="Times New Roman"/>
                <w:color w:val="auto"/>
                <w:szCs w:val="21"/>
              </w:rPr>
              <w:t>重污染项目</w:t>
            </w:r>
          </w:p>
        </w:tc>
        <w:tc>
          <w:tcPr>
            <w:tcW w:w="753" w:type="dxa"/>
            <w:noWrap w:val="0"/>
            <w:vAlign w:val="center"/>
          </w:tcPr>
          <w:p w14:paraId="04B398EA">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555B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3" w:type="dxa"/>
            <w:vMerge w:val="continue"/>
            <w:noWrap w:val="0"/>
            <w:vAlign w:val="center"/>
          </w:tcPr>
          <w:p w14:paraId="2D8D348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1A0F9875">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23110834">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污染物排放管控</w:t>
            </w:r>
          </w:p>
        </w:tc>
        <w:tc>
          <w:tcPr>
            <w:tcW w:w="7702" w:type="dxa"/>
            <w:noWrap w:val="0"/>
            <w:vAlign w:val="center"/>
          </w:tcPr>
          <w:p w14:paraId="43007322">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执行全省生态环境总体准入清单、国家相关法律法规以及《关于深入打好污染防治攻坚战的意见》、《关于加强高耗能、高排放建设项目生态环境源头防控的指导意见》（环环评[2021]45号）、省、市水污染防治、大气污染防治、土壤污染防治等相关要求，确保环境质量总体满足功能区要求。评估。禁止、限制重点管控新污染物的生产、加工使用和进出口。</w:t>
            </w:r>
          </w:p>
        </w:tc>
        <w:tc>
          <w:tcPr>
            <w:tcW w:w="2829" w:type="dxa"/>
            <w:noWrap w:val="0"/>
            <w:vAlign w:val="center"/>
          </w:tcPr>
          <w:p w14:paraId="56DD0E38">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拟建项目</w:t>
            </w:r>
            <w:r>
              <w:rPr>
                <w:rFonts w:hint="default" w:ascii="Times New Roman" w:hAnsi="Times New Roman" w:eastAsia="宋体" w:cs="Times New Roman"/>
                <w:color w:val="auto"/>
                <w:szCs w:val="21"/>
                <w:lang w:val="en-US" w:eastAsia="zh-CN"/>
              </w:rPr>
              <w:t>为</w:t>
            </w:r>
            <w:r>
              <w:rPr>
                <w:rFonts w:hint="eastAsia" w:cs="Times New Roman"/>
                <w:color w:val="auto"/>
                <w:szCs w:val="21"/>
                <w:lang w:val="en-US" w:eastAsia="zh-CN"/>
              </w:rPr>
              <w:t>河湖整治工程</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运营期不排放污染物，</w:t>
            </w:r>
            <w:r>
              <w:rPr>
                <w:rFonts w:hint="default" w:ascii="Times New Roman" w:hAnsi="Times New Roman" w:eastAsia="宋体" w:cs="Times New Roman"/>
                <w:color w:val="auto"/>
                <w:szCs w:val="21"/>
              </w:rPr>
              <w:t>不属于“两高”</w:t>
            </w:r>
            <w:r>
              <w:rPr>
                <w:rFonts w:hint="default" w:ascii="Times New Roman" w:hAnsi="Times New Roman" w:eastAsia="宋体" w:cs="Times New Roman"/>
                <w:color w:val="auto"/>
                <w:szCs w:val="21"/>
                <w:lang w:eastAsia="zh-CN"/>
              </w:rPr>
              <w:t>类</w:t>
            </w:r>
            <w:r>
              <w:rPr>
                <w:rFonts w:hint="default" w:ascii="Times New Roman" w:hAnsi="Times New Roman" w:eastAsia="宋体" w:cs="Times New Roman"/>
                <w:color w:val="auto"/>
                <w:szCs w:val="21"/>
              </w:rPr>
              <w:t>项目。</w:t>
            </w:r>
          </w:p>
        </w:tc>
        <w:tc>
          <w:tcPr>
            <w:tcW w:w="753" w:type="dxa"/>
            <w:noWrap w:val="0"/>
            <w:vAlign w:val="center"/>
          </w:tcPr>
          <w:p w14:paraId="1B3C5E5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3B39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753" w:type="dxa"/>
            <w:vMerge w:val="continue"/>
            <w:noWrap w:val="0"/>
            <w:vAlign w:val="center"/>
          </w:tcPr>
          <w:p w14:paraId="11B51FEE">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restart"/>
            <w:noWrap w:val="0"/>
            <w:vAlign w:val="center"/>
          </w:tcPr>
          <w:p w14:paraId="6733AEB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环境风险防控</w:t>
            </w:r>
          </w:p>
        </w:tc>
        <w:tc>
          <w:tcPr>
            <w:tcW w:w="696" w:type="dxa"/>
            <w:noWrap w:val="0"/>
            <w:vAlign w:val="center"/>
          </w:tcPr>
          <w:p w14:paraId="29B2A67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用地环境风险防控措施</w:t>
            </w:r>
          </w:p>
        </w:tc>
        <w:tc>
          <w:tcPr>
            <w:tcW w:w="7702" w:type="dxa"/>
            <w:noWrap w:val="0"/>
            <w:vAlign w:val="center"/>
          </w:tcPr>
          <w:p w14:paraId="664D394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严格建设用地土壤污染风险管控和修复名录内地块的准入管理。未依法完成土壤污染状况调查和风险评估的地块，不得开工建设与风险管控和修复无关的项目。土地规划用途变更为住宅、公共管理与公共服务用地、食用农产品以及食品生产加工和储存场所用地的，变更前应当依法开展土壤污染状况调查。将土壤污染重点监管单位纳入重点排污单位名录统一管理，推动开展土壤污染重点监管单位周边土壤环境监测。强化搬迁企业土壤环境质量调查评估，持续开展疑似污染地块排查。</w:t>
            </w:r>
          </w:p>
          <w:p w14:paraId="5512CA8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发生突发事件造成或者可能造成土壤污染的，相关企业应当立即采取应急措施，迅速控制污染源、封锁污染区域，疏散、撤离、妥善安置有关人员，防止污染扩大或者发生次生、衍生事件，依法做好土壤污染状况监测、调查和土壤污染风险评估、风险管控、修复等工作。</w:t>
            </w:r>
          </w:p>
          <w:p w14:paraId="1ED86451">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3、加强对严格管控类耕地的用途管理，依法划定特定农产品禁止生产区域，严禁种植食用农产品。</w:t>
            </w:r>
          </w:p>
          <w:p w14:paraId="0C5C50BE">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4、按照《张掖市生态环境局关于更新发布张掖市污染地块名单的通知》（2022年1月）等要求，加强全市污染地块风险管控。</w:t>
            </w:r>
          </w:p>
          <w:p w14:paraId="008884FA">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督促污染企业做好退出地块的土壤、地下水等风险防控工作；加强产业园区环境风险防控体系建设并编制应急预案，细化明确产业园区及区内企业环境风险防范责任，切实做好环境风险防范工作。</w:t>
            </w:r>
          </w:p>
        </w:tc>
        <w:tc>
          <w:tcPr>
            <w:tcW w:w="2829" w:type="dxa"/>
            <w:noWrap w:val="0"/>
            <w:vAlign w:val="center"/>
          </w:tcPr>
          <w:p w14:paraId="0801928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拟建项目地块无土壤污染，运营期</w:t>
            </w:r>
            <w:r>
              <w:rPr>
                <w:rFonts w:hint="default" w:ascii="Times New Roman" w:hAnsi="Times New Roman" w:eastAsia="宋体" w:cs="Times New Roman"/>
                <w:color w:val="auto"/>
                <w:szCs w:val="21"/>
                <w:lang w:val="en-US" w:eastAsia="zh-CN"/>
              </w:rPr>
              <w:t>不排放污染物，符合</w:t>
            </w:r>
            <w:r>
              <w:rPr>
                <w:rFonts w:hint="default" w:ascii="Times New Roman" w:hAnsi="Times New Roman" w:eastAsia="宋体" w:cs="Times New Roman"/>
                <w:color w:val="auto"/>
                <w:szCs w:val="21"/>
              </w:rPr>
              <w:t>相关要求。</w:t>
            </w:r>
          </w:p>
        </w:tc>
        <w:tc>
          <w:tcPr>
            <w:tcW w:w="753" w:type="dxa"/>
            <w:noWrap w:val="0"/>
            <w:vAlign w:val="center"/>
          </w:tcPr>
          <w:p w14:paraId="0B0AA55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37B5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vMerge w:val="continue"/>
            <w:noWrap w:val="0"/>
            <w:vAlign w:val="center"/>
          </w:tcPr>
          <w:p w14:paraId="7759A02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39B5E74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6ECC1353">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园区环境风险防控</w:t>
            </w:r>
          </w:p>
        </w:tc>
        <w:tc>
          <w:tcPr>
            <w:tcW w:w="7702" w:type="dxa"/>
            <w:noWrap w:val="0"/>
            <w:vAlign w:val="center"/>
          </w:tcPr>
          <w:p w14:paraId="27A923F3">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督促污染企业做好退出地块的土壤、地下水等风险防控工作；加强产业园区环境风险防控体系建设并编制应急预案，细化明确产业园区及区内企业环境风险防范责任，切实做好环境风险防范工作。</w:t>
            </w:r>
          </w:p>
        </w:tc>
        <w:tc>
          <w:tcPr>
            <w:tcW w:w="2829" w:type="dxa"/>
            <w:noWrap w:val="0"/>
            <w:vAlign w:val="center"/>
          </w:tcPr>
          <w:p w14:paraId="78250FA1">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拟建项目不在园区。</w:t>
            </w:r>
          </w:p>
        </w:tc>
        <w:tc>
          <w:tcPr>
            <w:tcW w:w="753" w:type="dxa"/>
            <w:noWrap w:val="0"/>
            <w:vAlign w:val="center"/>
          </w:tcPr>
          <w:p w14:paraId="0A19700E">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751B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753" w:type="dxa"/>
            <w:vMerge w:val="continue"/>
            <w:noWrap w:val="0"/>
            <w:vAlign w:val="center"/>
          </w:tcPr>
          <w:p w14:paraId="3EA6F815">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0F549439">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384E1B75">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企业环境风险防控</w:t>
            </w:r>
          </w:p>
        </w:tc>
        <w:tc>
          <w:tcPr>
            <w:tcW w:w="7702" w:type="dxa"/>
            <w:noWrap w:val="0"/>
            <w:vAlign w:val="center"/>
          </w:tcPr>
          <w:p w14:paraId="5D3A6A4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严格执行《关于印发甘肃省防范化解尾矿库安全风险工作实施意见的通知》（甘应急矿山〔2020〕51号）要求，自2020年起，在保证紧缺和战略性矿产矿山正常建设开发的前提下，构建尾矿库等量或减量置换机制，保证尾矿库数量原则上只减不增，不再产生新的“头顶库”。</w:t>
            </w:r>
          </w:p>
          <w:p w14:paraId="317D32A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2、执行《土壤污染防治行动计划》（国发[2016]31号）、《关于加强涉重金属行业污染防控的意见》（环土壤[2018]22号）等中的环境风险防控的相关要求。</w:t>
            </w:r>
          </w:p>
          <w:p w14:paraId="66984098">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企业应按照《中华人民共和国环境保护法》（主席令2014年第9号）、《突发环境事件应急管理办法》（环境保护部令第34号）等要求开展突发环境事件风险评估；完善突发环境事件风险防控措施；排查治理环境安全隐患；制定突发环境事件应急预案并备案、演练；加强环境应急能力保障建设。发生或者可能发生突发环境事件时，企业事业单位应当依法进行处理，并对所造成的损害承担责任。</w:t>
            </w:r>
          </w:p>
          <w:p w14:paraId="02FF70DC">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left"/>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执行《关于印发强化危险废物监管和利用处置能力改革实施方案的通知》（国办函[2021]47号）、《关于提升危险废物环境监管能力、利用处置能力和环境风险防范能力的指导意见》（环固体[2019]92号）等中的危险废物环境风险管控的相关要求。</w:t>
            </w:r>
          </w:p>
        </w:tc>
        <w:tc>
          <w:tcPr>
            <w:tcW w:w="2829" w:type="dxa"/>
            <w:noWrap w:val="0"/>
            <w:vAlign w:val="center"/>
          </w:tcPr>
          <w:p w14:paraId="2C393503">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eastAsia" w:cs="Times New Roman"/>
                <w:color w:val="auto"/>
                <w:szCs w:val="21"/>
                <w:lang w:val="en-US" w:eastAsia="zh-CN"/>
              </w:rPr>
              <w:t>拟建项目不在园区，完成后不单独设置管理机构。</w:t>
            </w:r>
          </w:p>
        </w:tc>
        <w:tc>
          <w:tcPr>
            <w:tcW w:w="753" w:type="dxa"/>
            <w:noWrap w:val="0"/>
            <w:vAlign w:val="center"/>
          </w:tcPr>
          <w:p w14:paraId="5B375F82">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2518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53" w:type="dxa"/>
            <w:vMerge w:val="continue"/>
            <w:noWrap w:val="0"/>
            <w:vAlign w:val="center"/>
          </w:tcPr>
          <w:p w14:paraId="42EAAB89">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restart"/>
            <w:noWrap w:val="0"/>
            <w:vAlign w:val="center"/>
          </w:tcPr>
          <w:p w14:paraId="1096509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资源开发利用</w:t>
            </w:r>
          </w:p>
        </w:tc>
        <w:tc>
          <w:tcPr>
            <w:tcW w:w="696" w:type="dxa"/>
            <w:noWrap w:val="0"/>
            <w:vAlign w:val="center"/>
          </w:tcPr>
          <w:p w14:paraId="57504859">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水资源利用效率要求</w:t>
            </w:r>
          </w:p>
        </w:tc>
        <w:tc>
          <w:tcPr>
            <w:tcW w:w="7702" w:type="dxa"/>
            <w:noWrap w:val="0"/>
            <w:vAlign w:val="center"/>
          </w:tcPr>
          <w:p w14:paraId="4B585B4F">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1、全市用水总量等水资源利用指标完成省上下达的目标。</w:t>
            </w:r>
          </w:p>
          <w:p w14:paraId="126F3C1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2、推动城镇生活污水、工业废水、农业农村污水资源化利用。加强城市再生水循环利用，在工业生产、城市绿化、道路清扫、建筑施工及生态景观等领域优先使用再生水。</w:t>
            </w:r>
          </w:p>
          <w:p w14:paraId="1F1AFDC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3、落实《张掖市节约用水管理办法》相关要求。</w:t>
            </w:r>
          </w:p>
          <w:p w14:paraId="0376BA38">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4、严格取水申请审批程序，新批取水许可项目严格按照区域用水总量控制指标和行业用水定额核定审批取水量。</w:t>
            </w:r>
          </w:p>
          <w:p w14:paraId="500239E8">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5、深入落实最严格水资源管理制度，实行水资源消耗总量和强度双控，严控高耗水行业发展。优化水资源配置，优先保障生活用水，优化生产、生活、生态用水结构。</w:t>
            </w:r>
          </w:p>
          <w:p w14:paraId="4E382A2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6、实施灌区续建配套与节水改造，推进田间工程节水改造，完善灌溉用水计量设施，提高用水效率。</w:t>
            </w:r>
          </w:p>
        </w:tc>
        <w:tc>
          <w:tcPr>
            <w:tcW w:w="2829" w:type="dxa"/>
            <w:noWrap w:val="0"/>
            <w:vAlign w:val="center"/>
          </w:tcPr>
          <w:p w14:paraId="2ED1CEA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拟建项目消耗能源、水资源、占用土地占区域总量的比例极小，资源占用指标符合控制指标限值</w:t>
            </w:r>
            <w:r>
              <w:rPr>
                <w:rFonts w:hint="default" w:ascii="Times New Roman" w:hAnsi="Times New Roman" w:eastAsia="宋体" w:cs="Times New Roman"/>
                <w:color w:val="auto"/>
                <w:szCs w:val="21"/>
                <w:lang w:eastAsia="zh-CN"/>
              </w:rPr>
              <w:t>。</w:t>
            </w:r>
          </w:p>
        </w:tc>
        <w:tc>
          <w:tcPr>
            <w:tcW w:w="753" w:type="dxa"/>
            <w:noWrap w:val="0"/>
            <w:vAlign w:val="center"/>
          </w:tcPr>
          <w:p w14:paraId="619E1C52">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2104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53" w:type="dxa"/>
            <w:vMerge w:val="continue"/>
            <w:noWrap w:val="0"/>
            <w:vAlign w:val="center"/>
          </w:tcPr>
          <w:p w14:paraId="7DD62C7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6EE4A258">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7D30E28A">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土地矿产资源利用</w:t>
            </w:r>
          </w:p>
        </w:tc>
        <w:tc>
          <w:tcPr>
            <w:tcW w:w="7702" w:type="dxa"/>
            <w:noWrap w:val="0"/>
            <w:vAlign w:val="center"/>
          </w:tcPr>
          <w:p w14:paraId="07751B6F">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1、严格规划准入管理，对不符合下列准入条件的，原则上不予设立矿业权。</w:t>
            </w:r>
          </w:p>
          <w:p w14:paraId="7B9CD164">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开采规模准入：新建矿山开采规模不低于规划设定的最低开采规模指标。</w:t>
            </w:r>
          </w:p>
          <w:p w14:paraId="34DBDC6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勘查程度准入：资源储量规模为大型的非煤矿山勘查程度应当达到勘探程度，其他矿山（第三类矿产除外）应达到详查及以上勘查程度。</w:t>
            </w:r>
          </w:p>
          <w:p w14:paraId="4CCF4B1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开发利用水平准入：新建开发项目应选择国家鼓励、支持和推广对矿山生态环境破坏较小的先进装备、技术和工艺，禁止采用国家明文规定不得采用的限制类、淘汰类技术和设备；“三率”指标不得低于自然资源部制定的最低指标要求；对共伴生矿产有综合开发利用方案或保护措施；具备与矿山开采规模相配套的人才、资金、技术和管理能力。</w:t>
            </w:r>
          </w:p>
          <w:p w14:paraId="105B0B5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绿色矿山准入：新建矿山严格按照绿色矿山建设标准规划、设计、建设和运营管理，按照绿色矿山建设要求编制“三方案”，并与自然资源主管部门签订绿色矿山建设承诺书，明确相关责任。</w:t>
            </w:r>
          </w:p>
          <w:p w14:paraId="534770C8">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对涉及自然保护区、水源地等各类保护地的项目，交通运输选址(线)应尽可能避让，确因重大基础设施建设和自然条件等因素限制无法避让的严格执行环境影响评价制度，采取无害化穿(跨)越方式，或依法向有关行政主管部门履行穿越法定保护区的行政许可手续、强化减缓和补偿措施。</w:t>
            </w:r>
          </w:p>
        </w:tc>
        <w:tc>
          <w:tcPr>
            <w:tcW w:w="2829" w:type="dxa"/>
            <w:noWrap w:val="0"/>
            <w:vAlign w:val="center"/>
          </w:tcPr>
          <w:p w14:paraId="285EE6E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本项目</w:t>
            </w:r>
            <w:r>
              <w:rPr>
                <w:rFonts w:hint="eastAsia" w:cs="Times New Roman"/>
                <w:color w:val="auto"/>
                <w:szCs w:val="21"/>
                <w:lang w:val="en-US" w:eastAsia="zh-CN"/>
              </w:rPr>
              <w:t>不新增土地使用</w:t>
            </w:r>
            <w:r>
              <w:rPr>
                <w:rFonts w:hint="default" w:ascii="Times New Roman" w:hAnsi="Times New Roman" w:eastAsia="宋体" w:cs="Times New Roman"/>
                <w:color w:val="auto"/>
                <w:szCs w:val="21"/>
              </w:rPr>
              <w:t>，符合规划要求</w:t>
            </w:r>
          </w:p>
        </w:tc>
        <w:tc>
          <w:tcPr>
            <w:tcW w:w="753" w:type="dxa"/>
            <w:noWrap w:val="0"/>
            <w:vAlign w:val="center"/>
          </w:tcPr>
          <w:p w14:paraId="65D7E8B5">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7068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53" w:type="dxa"/>
            <w:vMerge w:val="continue"/>
            <w:noWrap w:val="0"/>
            <w:vAlign w:val="center"/>
          </w:tcPr>
          <w:p w14:paraId="67D306D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0243150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3326398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地下水开采要求</w:t>
            </w:r>
          </w:p>
        </w:tc>
        <w:tc>
          <w:tcPr>
            <w:tcW w:w="7702" w:type="dxa"/>
            <w:noWrap w:val="0"/>
            <w:vAlign w:val="center"/>
          </w:tcPr>
          <w:p w14:paraId="424D3E94">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加强地下水超采区的综合治理与修复。在地下水限采区内，除应急供水和生活用水更新井外，严禁开凿取水井。确需取用地下水的，一般超采区要在现有地下水开采总量内调剂解决，并逐步削减地下水开采量。</w:t>
            </w:r>
          </w:p>
          <w:p w14:paraId="71A2053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新建、改建、扩建地下水取水工程，应当同时安装计量设施。已有地下水取水工程未安装计量设施的，应当按照县级以上地方人民政府水行政主管部门规定的期限安装。单位和个人取用地下水量达到取水规模以上的，应当安装地下水取水在线计量设施，并将计量数据实时传输到有管理权限的水行政主管部门。</w:t>
            </w:r>
          </w:p>
          <w:p w14:paraId="6F75F1AA">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除下列情形外，禁止开采难以更新的地下水：1.应急供水取水；2.无替代水源地区的居民生活用水；3.为开展地下水监测、勘探、试验少量取水。已经开采的，除前款规定的情形外，有关县级以上地方人民政府应当采取禁止开采、限制开采措施，逐步实现全面禁止开采；前款规定的情形消除后，应当立即停止取用地下水。</w:t>
            </w:r>
          </w:p>
        </w:tc>
        <w:tc>
          <w:tcPr>
            <w:tcW w:w="2829" w:type="dxa"/>
            <w:noWrap w:val="0"/>
            <w:vAlign w:val="center"/>
          </w:tcPr>
          <w:p w14:paraId="326AE9CF">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拟建项目</w:t>
            </w:r>
            <w:r>
              <w:rPr>
                <w:rFonts w:hint="eastAsia" w:cs="Times New Roman"/>
                <w:color w:val="auto"/>
                <w:szCs w:val="21"/>
                <w:lang w:val="en-US" w:eastAsia="zh-CN"/>
              </w:rPr>
              <w:t>施工用水</w:t>
            </w:r>
            <w:r>
              <w:rPr>
                <w:rFonts w:hint="default" w:ascii="Times New Roman" w:hAnsi="Times New Roman" w:eastAsia="宋体" w:cs="Times New Roman"/>
                <w:color w:val="auto"/>
                <w:szCs w:val="21"/>
              </w:rPr>
              <w:t>从附近村镇自来水系统拉运供给，不开采地下水</w:t>
            </w:r>
            <w:r>
              <w:rPr>
                <w:rFonts w:hint="default" w:ascii="Times New Roman" w:hAnsi="Times New Roman" w:eastAsia="宋体" w:cs="Times New Roman"/>
                <w:color w:val="auto"/>
                <w:szCs w:val="21"/>
                <w:lang w:eastAsia="zh-CN"/>
              </w:rPr>
              <w:t>。</w:t>
            </w:r>
          </w:p>
        </w:tc>
        <w:tc>
          <w:tcPr>
            <w:tcW w:w="753" w:type="dxa"/>
            <w:noWrap w:val="0"/>
            <w:vAlign w:val="center"/>
          </w:tcPr>
          <w:p w14:paraId="3FF665BF">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045B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53" w:type="dxa"/>
            <w:vMerge w:val="continue"/>
            <w:noWrap w:val="0"/>
            <w:vAlign w:val="center"/>
          </w:tcPr>
          <w:p w14:paraId="49AD1FA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71BCCBB8">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15A31569">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能源利用要求效率</w:t>
            </w:r>
          </w:p>
        </w:tc>
        <w:tc>
          <w:tcPr>
            <w:tcW w:w="7702" w:type="dxa"/>
            <w:noWrap w:val="0"/>
            <w:vAlign w:val="center"/>
          </w:tcPr>
          <w:p w14:paraId="15BFD09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1、全市燃煤总量、煤炭消费占比、清洁能源消费占比等能源利用指标均完成省上下达目标。</w:t>
            </w:r>
          </w:p>
          <w:p w14:paraId="7896EB3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强化资源总量和强度双控制度落实。整合区域管控资源，加强重点用能单位和园区能耗管理监督。统筹整合冶金、水泥、火电等高耗能企业的余热余能资源和区域用能需求，推广余热供暖和工业园区集中供暖。</w:t>
            </w:r>
          </w:p>
        </w:tc>
        <w:tc>
          <w:tcPr>
            <w:tcW w:w="2829" w:type="dxa"/>
            <w:noWrap w:val="0"/>
            <w:vAlign w:val="center"/>
          </w:tcPr>
          <w:p w14:paraId="0A3FCA62">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both"/>
              <w:textAlignment w:val="baseline"/>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项目生产不使用燃煤，能源为电能</w:t>
            </w:r>
          </w:p>
        </w:tc>
        <w:tc>
          <w:tcPr>
            <w:tcW w:w="753" w:type="dxa"/>
            <w:noWrap w:val="0"/>
            <w:vAlign w:val="center"/>
          </w:tcPr>
          <w:p w14:paraId="7771E915">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2A62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53" w:type="dxa"/>
            <w:vMerge w:val="continue"/>
            <w:noWrap w:val="0"/>
            <w:vAlign w:val="center"/>
          </w:tcPr>
          <w:p w14:paraId="40624B8A">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03438901">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57815B1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禁燃区要求</w:t>
            </w:r>
          </w:p>
        </w:tc>
        <w:tc>
          <w:tcPr>
            <w:tcW w:w="7702" w:type="dxa"/>
            <w:noWrap w:val="0"/>
            <w:vAlign w:val="center"/>
          </w:tcPr>
          <w:p w14:paraId="1521F4C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禁燃区内禁止销售和使用高污染燃料，禁止新建、扩建燃用高污染燃料的设施。现有燃用煤炭、重油、渣油等高污染燃料的设施应当在城市人民政府规定的期限内改用清洁能源。</w:t>
            </w:r>
          </w:p>
        </w:tc>
        <w:tc>
          <w:tcPr>
            <w:tcW w:w="2829" w:type="dxa"/>
            <w:noWrap w:val="0"/>
            <w:vAlign w:val="center"/>
          </w:tcPr>
          <w:p w14:paraId="3309F16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拟建项目不在禁燃区</w:t>
            </w:r>
            <w:r>
              <w:rPr>
                <w:rFonts w:hint="default" w:ascii="Times New Roman" w:hAnsi="Times New Roman" w:eastAsia="宋体" w:cs="Times New Roman"/>
                <w:color w:val="auto"/>
                <w:szCs w:val="21"/>
                <w:lang w:eastAsia="zh-CN"/>
              </w:rPr>
              <w:t>。</w:t>
            </w:r>
          </w:p>
        </w:tc>
        <w:tc>
          <w:tcPr>
            <w:tcW w:w="753" w:type="dxa"/>
            <w:noWrap w:val="0"/>
            <w:vAlign w:val="center"/>
          </w:tcPr>
          <w:p w14:paraId="7F26CE7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1177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53" w:type="dxa"/>
            <w:vMerge w:val="restart"/>
            <w:noWrap w:val="0"/>
            <w:vAlign w:val="center"/>
          </w:tcPr>
          <w:p w14:paraId="44FD1E92">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临泽县</w:t>
            </w:r>
            <w:r>
              <w:rPr>
                <w:rFonts w:hint="default" w:ascii="Times New Roman" w:hAnsi="Times New Roman" w:eastAsia="宋体" w:cs="Times New Roman"/>
                <w:color w:val="auto"/>
                <w:szCs w:val="21"/>
              </w:rPr>
              <w:t>环境管控单元准入清单</w:t>
            </w:r>
          </w:p>
        </w:tc>
        <w:tc>
          <w:tcPr>
            <w:tcW w:w="716" w:type="dxa"/>
            <w:vMerge w:val="restart"/>
            <w:noWrap w:val="0"/>
            <w:vAlign w:val="center"/>
          </w:tcPr>
          <w:p w14:paraId="6E1781A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临泽县一般管控单元</w:t>
            </w:r>
          </w:p>
        </w:tc>
        <w:tc>
          <w:tcPr>
            <w:tcW w:w="696" w:type="dxa"/>
            <w:noWrap w:val="0"/>
            <w:vAlign w:val="center"/>
          </w:tcPr>
          <w:p w14:paraId="5BAFFF33">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空间布局约束</w:t>
            </w:r>
          </w:p>
        </w:tc>
        <w:tc>
          <w:tcPr>
            <w:tcW w:w="7702" w:type="dxa"/>
            <w:noWrap w:val="0"/>
            <w:vAlign w:val="center"/>
          </w:tcPr>
          <w:p w14:paraId="65897BBE">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执行全省和张掖市生态环境总体准入清单中一般管控单元的空间布局约束要求。</w:t>
            </w:r>
          </w:p>
        </w:tc>
        <w:tc>
          <w:tcPr>
            <w:tcW w:w="2829" w:type="dxa"/>
            <w:noWrap w:val="0"/>
            <w:vAlign w:val="center"/>
          </w:tcPr>
          <w:p w14:paraId="677E45D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项目符合</w:t>
            </w:r>
            <w:r>
              <w:rPr>
                <w:rFonts w:hint="default" w:ascii="Times New Roman" w:hAnsi="Times New Roman" w:eastAsia="宋体" w:cs="Times New Roman"/>
                <w:color w:val="auto"/>
                <w:szCs w:val="21"/>
              </w:rPr>
              <w:t>全省及张掖市生态环境总体准入清单中关于</w:t>
            </w:r>
            <w:r>
              <w:rPr>
                <w:rFonts w:hint="default" w:ascii="Times New Roman" w:hAnsi="Times New Roman" w:eastAsia="宋体" w:cs="Times New Roman"/>
                <w:color w:val="auto"/>
                <w:szCs w:val="21"/>
                <w:lang w:val="en-US" w:eastAsia="zh-CN"/>
              </w:rPr>
              <w:t>一般</w:t>
            </w:r>
            <w:r>
              <w:rPr>
                <w:rFonts w:hint="default" w:ascii="Times New Roman" w:hAnsi="Times New Roman" w:eastAsia="宋体" w:cs="Times New Roman"/>
                <w:color w:val="auto"/>
                <w:szCs w:val="21"/>
              </w:rPr>
              <w:t>管控单元空间布局约束要求。</w:t>
            </w:r>
          </w:p>
        </w:tc>
        <w:tc>
          <w:tcPr>
            <w:tcW w:w="753" w:type="dxa"/>
            <w:noWrap w:val="0"/>
            <w:vAlign w:val="center"/>
          </w:tcPr>
          <w:p w14:paraId="22DE5E4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3A30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53" w:type="dxa"/>
            <w:vMerge w:val="continue"/>
            <w:noWrap w:val="0"/>
            <w:vAlign w:val="center"/>
          </w:tcPr>
          <w:p w14:paraId="784C9EE6">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36A2D0D3">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40893603">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污染物排放管控</w:t>
            </w:r>
          </w:p>
        </w:tc>
        <w:tc>
          <w:tcPr>
            <w:tcW w:w="7702" w:type="dxa"/>
            <w:noWrap w:val="0"/>
            <w:vAlign w:val="center"/>
          </w:tcPr>
          <w:p w14:paraId="7801DB10">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执行全省和张掖市生态环境总体准入清单中一般管控单元的污染物排放管控要求。</w:t>
            </w:r>
          </w:p>
        </w:tc>
        <w:tc>
          <w:tcPr>
            <w:tcW w:w="2829" w:type="dxa"/>
            <w:noWrap w:val="0"/>
            <w:vAlign w:val="center"/>
          </w:tcPr>
          <w:p w14:paraId="265EBEC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项目符合</w:t>
            </w:r>
            <w:r>
              <w:rPr>
                <w:rFonts w:hint="default" w:ascii="Times New Roman" w:hAnsi="Times New Roman" w:eastAsia="宋体" w:cs="Times New Roman"/>
                <w:color w:val="auto"/>
                <w:szCs w:val="21"/>
              </w:rPr>
              <w:t>甘肃省和张掖市生态环境总体准入清单中</w:t>
            </w:r>
            <w:r>
              <w:rPr>
                <w:rFonts w:hint="default" w:ascii="Times New Roman" w:hAnsi="Times New Roman" w:eastAsia="宋体" w:cs="Times New Roman"/>
                <w:color w:val="auto"/>
                <w:szCs w:val="21"/>
                <w:lang w:val="en-US" w:eastAsia="zh-CN"/>
              </w:rPr>
              <w:t>一般</w:t>
            </w:r>
            <w:r>
              <w:rPr>
                <w:rFonts w:hint="default" w:ascii="Times New Roman" w:hAnsi="Times New Roman" w:eastAsia="宋体" w:cs="Times New Roman"/>
                <w:color w:val="auto"/>
                <w:szCs w:val="21"/>
              </w:rPr>
              <w:t>管控单元污染物排放管控要求</w:t>
            </w:r>
          </w:p>
        </w:tc>
        <w:tc>
          <w:tcPr>
            <w:tcW w:w="753" w:type="dxa"/>
            <w:noWrap w:val="0"/>
            <w:vAlign w:val="center"/>
          </w:tcPr>
          <w:p w14:paraId="43CBC27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19C5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53" w:type="dxa"/>
            <w:vMerge w:val="continue"/>
            <w:noWrap w:val="0"/>
            <w:vAlign w:val="center"/>
          </w:tcPr>
          <w:p w14:paraId="0E8A661C">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210F98E3">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19EE6194">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环境风险防控</w:t>
            </w:r>
          </w:p>
        </w:tc>
        <w:tc>
          <w:tcPr>
            <w:tcW w:w="7702" w:type="dxa"/>
            <w:noWrap w:val="0"/>
            <w:vAlign w:val="center"/>
          </w:tcPr>
          <w:p w14:paraId="3226D6C8">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rPr>
              <w:t>执行全省和张掖市生态环境总体准入清单中一般管控单元的环境风险防控要求。</w:t>
            </w:r>
          </w:p>
        </w:tc>
        <w:tc>
          <w:tcPr>
            <w:tcW w:w="2829" w:type="dxa"/>
            <w:noWrap w:val="0"/>
            <w:vAlign w:val="center"/>
          </w:tcPr>
          <w:p w14:paraId="07E9C8E7">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 w:val="24"/>
                <w:szCs w:val="24"/>
                <w:lang w:val="en-US" w:eastAsia="zh-CN"/>
              </w:rPr>
              <w:t>项目符合全省和张掖市生态环境总体准入清单中一般管控单元的环境风险防控要求。</w:t>
            </w:r>
          </w:p>
        </w:tc>
        <w:tc>
          <w:tcPr>
            <w:tcW w:w="753" w:type="dxa"/>
            <w:noWrap w:val="0"/>
            <w:vAlign w:val="center"/>
          </w:tcPr>
          <w:p w14:paraId="6B29A204">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r w14:paraId="3CF1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vMerge w:val="continue"/>
            <w:noWrap w:val="0"/>
            <w:vAlign w:val="center"/>
          </w:tcPr>
          <w:p w14:paraId="28AA526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716" w:type="dxa"/>
            <w:vMerge w:val="continue"/>
            <w:noWrap w:val="0"/>
            <w:vAlign w:val="center"/>
          </w:tcPr>
          <w:p w14:paraId="3D279859">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p>
        </w:tc>
        <w:tc>
          <w:tcPr>
            <w:tcW w:w="696" w:type="dxa"/>
            <w:noWrap w:val="0"/>
            <w:vAlign w:val="center"/>
          </w:tcPr>
          <w:p w14:paraId="07248F68">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资源利用效率要求</w:t>
            </w:r>
          </w:p>
        </w:tc>
        <w:tc>
          <w:tcPr>
            <w:tcW w:w="7702" w:type="dxa"/>
            <w:noWrap w:val="0"/>
            <w:vAlign w:val="center"/>
          </w:tcPr>
          <w:p w14:paraId="31B86ED4">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执行全省和张掖市生态环境总体准入清单中一般管控单元的资源利用效率要求</w:t>
            </w:r>
          </w:p>
        </w:tc>
        <w:tc>
          <w:tcPr>
            <w:tcW w:w="2829" w:type="dxa"/>
            <w:noWrap w:val="0"/>
            <w:vAlign w:val="center"/>
          </w:tcPr>
          <w:p w14:paraId="6C0A45FB">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4"/>
                <w:szCs w:val="24"/>
                <w:lang w:val="en-US" w:eastAsia="zh-CN"/>
              </w:rPr>
              <w:t>项目符合</w:t>
            </w:r>
            <w:r>
              <w:rPr>
                <w:rFonts w:hint="default" w:ascii="Times New Roman" w:hAnsi="Times New Roman" w:eastAsia="宋体" w:cs="Times New Roman"/>
              </w:rPr>
              <w:t>全省和张掖市生态环境总体准入清单中一般管控单元的资源利用效率要求</w:t>
            </w:r>
          </w:p>
        </w:tc>
        <w:tc>
          <w:tcPr>
            <w:tcW w:w="753" w:type="dxa"/>
            <w:noWrap w:val="0"/>
            <w:vAlign w:val="center"/>
          </w:tcPr>
          <w:p w14:paraId="2294D9A5">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符合</w:t>
            </w:r>
          </w:p>
        </w:tc>
      </w:tr>
    </w:tbl>
    <w:p w14:paraId="3340790C">
      <w:pPr>
        <w:rPr>
          <w:rFonts w:hint="default"/>
          <w:color w:val="000000" w:themeColor="text1"/>
          <w14:textFill>
            <w14:solidFill>
              <w14:schemeClr w14:val="tx1"/>
            </w14:solidFill>
          </w14:textFill>
        </w:rPr>
      </w:pPr>
    </w:p>
    <w:p w14:paraId="3968DD43">
      <w:pPr>
        <w:pStyle w:val="8"/>
        <w:rPr>
          <w:rFonts w:hint="default"/>
          <w:color w:val="000000" w:themeColor="text1"/>
          <w14:textFill>
            <w14:solidFill>
              <w14:schemeClr w14:val="tx1"/>
            </w14:solidFill>
          </w14:textFill>
        </w:rPr>
        <w:sectPr>
          <w:pgSz w:w="16838" w:h="11906" w:orient="landscape"/>
          <w:pgMar w:top="1531" w:right="1701" w:bottom="1531" w:left="1701" w:header="851" w:footer="1077" w:gutter="0"/>
          <w:pgNumType w:fmt="decimal" w:start="1"/>
          <w:cols w:space="720" w:num="1"/>
          <w:docGrid w:linePitch="312" w:charSpace="0"/>
        </w:sectPr>
      </w:pPr>
    </w:p>
    <w:p w14:paraId="7ABF37D5">
      <w:pPr>
        <w:pStyle w:val="24"/>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仿宋" w:cs="Times New Roman"/>
          <w:snapToGrid w:val="0"/>
          <w:sz w:val="30"/>
          <w:szCs w:val="30"/>
        </w:rPr>
      </w:pPr>
      <w:r>
        <w:rPr>
          <w:rFonts w:hint="default" w:ascii="Times New Roman" w:hAnsi="Times New Roman" w:eastAsia="仿宋" w:cs="Times New Roman"/>
          <w:snapToGrid w:val="0"/>
          <w:sz w:val="30"/>
          <w:szCs w:val="30"/>
        </w:rPr>
        <w:t>二、建设内容</w:t>
      </w:r>
    </w:p>
    <w:tbl>
      <w:tblPr>
        <w:tblStyle w:val="27"/>
        <w:tblW w:w="491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9"/>
        <w:gridCol w:w="7925"/>
      </w:tblGrid>
      <w:tr w14:paraId="05A22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 w:type="pct"/>
            <w:noWrap w:val="0"/>
            <w:vAlign w:val="center"/>
          </w:tcPr>
          <w:p w14:paraId="182C3F29">
            <w:pPr>
              <w:adjustRightInd w:val="0"/>
              <w:snapToGrid w:val="0"/>
              <w:ind w:left="0" w:leftChars="0" w:firstLine="0" w:firstLineChars="0"/>
              <w:jc w:val="both"/>
              <w:rPr>
                <w:rFonts w:hint="default" w:ascii="Times New Roman" w:hAnsi="Times New Roman" w:eastAsia="仿宋_GB2312" w:cs="Times New Roman"/>
                <w:kern w:val="0"/>
                <w:sz w:val="28"/>
                <w:szCs w:val="22"/>
                <w:highlight w:val="none"/>
              </w:rPr>
            </w:pPr>
            <w:r>
              <w:rPr>
                <w:rFonts w:hint="default" w:ascii="Times New Roman" w:hAnsi="Times New Roman" w:eastAsia="仿宋_GB2312" w:cs="Times New Roman"/>
                <w:kern w:val="0"/>
                <w:sz w:val="28"/>
                <w:szCs w:val="22"/>
                <w:highlight w:val="none"/>
              </w:rPr>
              <w:t>地理位置</w:t>
            </w:r>
          </w:p>
        </w:tc>
        <w:tc>
          <w:tcPr>
            <w:tcW w:w="4725" w:type="pct"/>
            <w:noWrap w:val="0"/>
            <w:vAlign w:val="center"/>
          </w:tcPr>
          <w:p w14:paraId="620E3793">
            <w:pPr>
              <w:bidi w:val="0"/>
              <w:rPr>
                <w:rFonts w:hint="eastAsia"/>
                <w:highlight w:val="none"/>
                <w:lang w:val="en-US" w:eastAsia="zh-CN"/>
              </w:rPr>
            </w:pPr>
            <w:r>
              <w:rPr>
                <w:rFonts w:hint="default"/>
                <w:highlight w:val="none"/>
                <w:lang w:val="en-US" w:eastAsia="zh-CN"/>
              </w:rPr>
              <w:t>本次</w:t>
            </w:r>
            <w:r>
              <w:rPr>
                <w:rFonts w:hint="eastAsia"/>
                <w:highlight w:val="none"/>
                <w:lang w:val="en-US" w:eastAsia="zh-CN"/>
              </w:rPr>
              <w:t>项目位于张掖市临泽县鸭暖镇，涉及白寨村、古寨村、华强村、小屯村、合强村。经实地调查，项目用地范围内无常住居民，无需实施搬迁。</w:t>
            </w:r>
          </w:p>
          <w:p w14:paraId="096A5093">
            <w:pPr>
              <w:bidi w:val="0"/>
              <w:rPr>
                <w:rFonts w:hint="default"/>
                <w:highlight w:val="none"/>
              </w:rPr>
            </w:pPr>
            <w:r>
              <w:rPr>
                <w:rFonts w:hint="default" w:ascii="Times New Roman" w:hAnsi="Times New Roman" w:eastAsia="宋体" w:cs="Times New Roman"/>
                <w:highlight w:val="none"/>
                <w:lang w:val="en-US" w:eastAsia="zh-CN"/>
              </w:rPr>
              <w:t>东经100°</w:t>
            </w:r>
            <w:r>
              <w:rPr>
                <w:rFonts w:hint="eastAsia" w:ascii="Times New Roman" w:hAnsi="Times New Roman" w:eastAsia="宋体" w:cs="Times New Roman"/>
                <w:highlight w:val="none"/>
                <w:lang w:val="en-US" w:eastAsia="zh-CN"/>
              </w:rPr>
              <w:t>06</w:t>
            </w:r>
            <w:r>
              <w:rPr>
                <w:rFonts w:hint="default" w:ascii="Times New Roman" w:hAnsi="Times New Roman" w:eastAsia="宋体" w:cs="Times New Roman"/>
                <w:highlight w:val="none"/>
                <w:lang w:val="en-US" w:eastAsia="zh-CN"/>
              </w:rPr>
              <w:t>'</w:t>
            </w:r>
            <w:r>
              <w:rPr>
                <w:rFonts w:hint="eastAsia" w:ascii="Times New Roman" w:hAnsi="Times New Roman" w:eastAsia="宋体" w:cs="Times New Roman"/>
                <w:highlight w:val="none"/>
                <w:lang w:val="en-US" w:eastAsia="zh-CN"/>
              </w:rPr>
              <w:t>57</w:t>
            </w:r>
            <w:r>
              <w:rPr>
                <w:rFonts w:hint="default" w:ascii="Times New Roman" w:hAnsi="Times New Roman" w:eastAsia="宋体" w:cs="Times New Roman"/>
                <w:highlight w:val="none"/>
                <w:lang w:val="en-US" w:eastAsia="zh-CN"/>
              </w:rPr>
              <w:t>.881"，北纬39°</w:t>
            </w:r>
            <w:r>
              <w:rPr>
                <w:rFonts w:hint="eastAsia" w:ascii="Times New Roman" w:hAnsi="Times New Roman" w:eastAsia="宋体" w:cs="Times New Roman"/>
                <w:highlight w:val="none"/>
                <w:lang w:val="en-US" w:eastAsia="zh-CN"/>
              </w:rPr>
              <w:t>13</w:t>
            </w:r>
            <w:r>
              <w:rPr>
                <w:rFonts w:hint="default" w:ascii="Times New Roman" w:hAnsi="Times New Roman" w:eastAsia="宋体" w:cs="Times New Roman"/>
                <w:highlight w:val="none"/>
                <w:lang w:val="en-US" w:eastAsia="zh-CN"/>
              </w:rPr>
              <w:t>'</w:t>
            </w:r>
            <w:r>
              <w:rPr>
                <w:rFonts w:hint="eastAsia" w:ascii="Times New Roman" w:hAnsi="Times New Roman" w:eastAsia="宋体" w:cs="Times New Roman"/>
                <w:highlight w:val="none"/>
                <w:lang w:val="en-US" w:eastAsia="zh-CN"/>
              </w:rPr>
              <w:t>33</w:t>
            </w:r>
            <w:r>
              <w:rPr>
                <w:rFonts w:hint="default" w:ascii="Times New Roman" w:hAnsi="Times New Roman" w:eastAsia="宋体" w:cs="Times New Roman"/>
                <w:highlight w:val="none"/>
                <w:lang w:val="en-US" w:eastAsia="zh-CN"/>
              </w:rPr>
              <w:t>.930"；</w:t>
            </w:r>
            <w:r>
              <w:rPr>
                <w:rFonts w:hint="eastAsia" w:ascii="Times New Roman" w:hAnsi="Times New Roman" w:eastAsia="宋体" w:cs="Times New Roman"/>
                <w:highlight w:val="none"/>
                <w:lang w:val="en-US" w:eastAsia="zh-CN"/>
              </w:rPr>
              <w:t>项目地理位置图见附图1，工程平面布置图见附图2。</w:t>
            </w:r>
          </w:p>
        </w:tc>
      </w:tr>
      <w:tr w14:paraId="483F5B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4" w:hRule="atLeast"/>
          <w:jc w:val="center"/>
        </w:trPr>
        <w:tc>
          <w:tcPr>
            <w:tcW w:w="274" w:type="pct"/>
            <w:noWrap w:val="0"/>
            <w:vAlign w:val="center"/>
          </w:tcPr>
          <w:p w14:paraId="29ACC0F3">
            <w:pPr>
              <w:adjustRightInd w:val="0"/>
              <w:snapToGrid w:val="0"/>
              <w:ind w:left="0" w:leftChars="0" w:firstLine="0" w:firstLineChars="0"/>
              <w:jc w:val="both"/>
              <w:rPr>
                <w:rFonts w:hint="default" w:ascii="Times New Roman" w:hAnsi="Times New Roman" w:eastAsia="仿宋_GB2312" w:cs="Times New Roman"/>
                <w:kern w:val="0"/>
                <w:sz w:val="28"/>
                <w:szCs w:val="22"/>
                <w:highlight w:val="none"/>
              </w:rPr>
            </w:pPr>
            <w:r>
              <w:rPr>
                <w:rFonts w:hint="default" w:ascii="Times New Roman" w:hAnsi="Times New Roman" w:eastAsia="仿宋_GB2312" w:cs="Times New Roman"/>
                <w:kern w:val="0"/>
                <w:sz w:val="28"/>
                <w:szCs w:val="22"/>
                <w:highlight w:val="none"/>
              </w:rPr>
              <w:t>项目组成及规模</w:t>
            </w:r>
          </w:p>
        </w:tc>
        <w:tc>
          <w:tcPr>
            <w:tcW w:w="4725" w:type="pct"/>
            <w:noWrap w:val="0"/>
            <w:vAlign w:val="center"/>
          </w:tcPr>
          <w:p w14:paraId="1D4C255F">
            <w:pPr>
              <w:bidi w:val="0"/>
              <w:ind w:left="0" w:leftChars="0" w:firstLine="0" w:firstLineChars="0"/>
              <w:rPr>
                <w:rFonts w:hint="default"/>
                <w:b/>
                <w:bCs/>
                <w:highlight w:val="none"/>
                <w:lang w:val="en-US" w:eastAsia="zh-CN"/>
              </w:rPr>
            </w:pPr>
            <w:r>
              <w:rPr>
                <w:rFonts w:hint="eastAsia"/>
                <w:b/>
                <w:bCs/>
                <w:highlight w:val="none"/>
                <w:lang w:val="en-US" w:eastAsia="zh-CN"/>
              </w:rPr>
              <w:t>2.1项目背景</w:t>
            </w:r>
          </w:p>
          <w:p w14:paraId="7E3FA0B1">
            <w:pPr>
              <w:keepNext w:val="0"/>
              <w:keepLines w:val="0"/>
              <w:widowControl/>
              <w:suppressLineNumbers w:val="0"/>
              <w:jc w:val="left"/>
            </w:pPr>
            <w:r>
              <w:rPr>
                <w:rFonts w:hint="default" w:ascii="Times New Roman" w:hAnsi="Times New Roman" w:eastAsia="宋体" w:cs="Times New Roman"/>
                <w:color w:val="000000"/>
                <w:kern w:val="0"/>
                <w:sz w:val="24"/>
                <w:szCs w:val="24"/>
                <w:lang w:val="en-US" w:eastAsia="zh-CN" w:bidi="ar"/>
              </w:rPr>
              <w:t>2020</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月，临泽县被水利部、财政部确定为甘肃省唯一一个纳入中央财政支持水系连通及农村水系综合整治试点县。围绕</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产业兴旺、生态宜居、乡风文明、治理有效、生活富裕</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乡村振兴战略的总要求，坚持以</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水利工程补短板、水利行业强监管</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的工作总基调，着眼恢复河道基本功能、修复河道空间形态、改善河湖水环境质量三大任务，因地制宜、分类施策，集中连片开展农村水系综合整治。目前水系连通及农村水系综合整治工程已基本建设完成，通过实施河湖水系连通、河道疏浚等工程，解决了中部地区部分土地盐碱化问题，增加了近</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万亩良田，提高了农业生产效益；项目区引进南美白对虾、大闸蟹陆基循环水智慧养殖项目，发展研、产、销一体化水产养殖，并将同步配套水产品深加工产业链；依托梨园河东河上游丹霞</w:t>
            </w:r>
            <w:r>
              <w:rPr>
                <w:rFonts w:hint="default" w:ascii="Times New Roman" w:hAnsi="Times New Roman" w:eastAsia="宋体" w:cs="Times New Roman"/>
                <w:color w:val="000000"/>
                <w:kern w:val="0"/>
                <w:sz w:val="24"/>
                <w:szCs w:val="24"/>
                <w:lang w:val="en-US" w:eastAsia="zh-CN" w:bidi="ar"/>
              </w:rPr>
              <w:t>5A</w:t>
            </w:r>
            <w:r>
              <w:rPr>
                <w:rFonts w:hint="eastAsia" w:ascii="宋体" w:hAnsi="宋体" w:eastAsia="宋体" w:cs="宋体"/>
                <w:color w:val="000000"/>
                <w:kern w:val="0"/>
                <w:sz w:val="24"/>
                <w:szCs w:val="24"/>
                <w:lang w:val="en-US" w:eastAsia="zh-CN" w:bidi="ar"/>
              </w:rPr>
              <w:t>级景区，在梨园河东河两岸整体谋划了集河道整治、生态宜居、文旅产业于一体的丹霞生态康养谷暨城乡融合发展试验区。</w:t>
            </w:r>
          </w:p>
          <w:p w14:paraId="05C53D27">
            <w:pPr>
              <w:keepNext w:val="0"/>
              <w:keepLines w:val="0"/>
              <w:widowControl/>
              <w:suppressLineNumbers w:val="0"/>
              <w:jc w:val="left"/>
            </w:pPr>
            <w:r>
              <w:rPr>
                <w:rFonts w:hint="eastAsia" w:ascii="宋体" w:hAnsi="宋体" w:eastAsia="宋体" w:cs="宋体"/>
                <w:color w:val="000000"/>
                <w:kern w:val="0"/>
                <w:sz w:val="24"/>
                <w:szCs w:val="24"/>
                <w:lang w:val="en-US" w:eastAsia="zh-CN" w:bidi="ar"/>
              </w:rPr>
              <w:t>但是水系连通及农村水系综合整治工程建设区域外的部分河道、沟道、村庄、道路及其他设施未全面覆盖，本次设计主要围绕临泽县流域生态现状，结合水系连通及农村水系综合整治工程，补充完善对水系连通周边梨园河泉水出溢区汇集的九眼泉河及农田阴沟的农村水系进行治理，对沟道内淤积的泥沙、杂物等进行清理，以恢复其正常行洪、排涝、输水等功能，改善河道生态环境；治理修复生态水系，对水质净化、洪水及气候调节起到重要作用，同时可营造出“戈壁水乡、水天一色”的塞上江南风景，有助于发展区域旅游业；利用废弃木桩和植生袋作为生态护岸、生态护坡，促进乡村文明与水生态环境融合发展；完善灌溉设施、农田生态渠道、农村生产道路，实施村庄绿化美化，最终与张掖丹霞景区、临泽城区、黑河湿地的相衔接，建成“河畅水清、岸绿景美、城水共生、人水亲和”生态绿色廊道，实现流域生态环境治理和绿色产业发展的整体推进。</w:t>
            </w:r>
          </w:p>
          <w:p w14:paraId="6186780E">
            <w:pPr>
              <w:bidi w:val="0"/>
              <w:ind w:left="0" w:leftChars="0" w:firstLine="0" w:firstLineChars="0"/>
              <w:rPr>
                <w:rFonts w:hint="default"/>
                <w:b/>
                <w:bCs/>
                <w:highlight w:val="none"/>
                <w:lang w:val="en-US" w:eastAsia="zh-CN"/>
              </w:rPr>
            </w:pPr>
            <w:r>
              <w:rPr>
                <w:rFonts w:hint="default"/>
                <w:b/>
                <w:bCs/>
                <w:highlight w:val="none"/>
                <w:lang w:val="en-US" w:eastAsia="zh-CN"/>
              </w:rPr>
              <w:t>2.</w:t>
            </w:r>
            <w:r>
              <w:rPr>
                <w:rFonts w:hint="eastAsia"/>
                <w:b/>
                <w:bCs/>
                <w:highlight w:val="none"/>
                <w:lang w:val="en-US" w:eastAsia="zh-CN"/>
              </w:rPr>
              <w:t>2</w:t>
            </w:r>
            <w:r>
              <w:rPr>
                <w:rFonts w:hint="default"/>
                <w:b/>
                <w:bCs/>
                <w:highlight w:val="none"/>
                <w:lang w:val="en-US" w:eastAsia="zh-CN"/>
              </w:rPr>
              <w:t>项目概况</w:t>
            </w:r>
          </w:p>
          <w:p w14:paraId="0354EAFF">
            <w:pPr>
              <w:bidi w:val="0"/>
              <w:rPr>
                <w:rFonts w:hint="eastAsia" w:eastAsia="宋体"/>
                <w:highlight w:val="none"/>
                <w:lang w:eastAsia="zh-CN"/>
              </w:rPr>
            </w:pPr>
            <w:r>
              <w:rPr>
                <w:rFonts w:hint="default"/>
                <w:highlight w:val="none"/>
              </w:rPr>
              <w:t>项目名称：</w:t>
            </w:r>
            <w:r>
              <w:rPr>
                <w:rFonts w:hint="eastAsia"/>
                <w:highlight w:val="none"/>
                <w:lang w:eastAsia="zh-CN"/>
              </w:rPr>
              <w:t>临泽县九眼泉河项目区小流域综合治理提质增效项目</w:t>
            </w:r>
          </w:p>
          <w:p w14:paraId="6906DF56">
            <w:pPr>
              <w:bidi w:val="0"/>
              <w:rPr>
                <w:rFonts w:hint="default"/>
                <w:highlight w:val="none"/>
                <w:lang w:eastAsia="zh-CN"/>
              </w:rPr>
            </w:pPr>
            <w:r>
              <w:rPr>
                <w:rFonts w:hint="default"/>
                <w:highlight w:val="none"/>
              </w:rPr>
              <w:t>建设单位：</w:t>
            </w:r>
            <w:r>
              <w:rPr>
                <w:rFonts w:hint="eastAsia"/>
                <w:highlight w:val="none"/>
                <w:lang w:eastAsia="zh-CN"/>
              </w:rPr>
              <w:t>临泽县大沙河流域管理局</w:t>
            </w:r>
          </w:p>
          <w:p w14:paraId="0D91E7B8">
            <w:pPr>
              <w:bidi w:val="0"/>
              <w:rPr>
                <w:rFonts w:hint="default"/>
                <w:highlight w:val="none"/>
                <w:lang w:eastAsia="zh-CN"/>
              </w:rPr>
            </w:pPr>
            <w:r>
              <w:rPr>
                <w:rFonts w:hint="default"/>
                <w:highlight w:val="none"/>
              </w:rPr>
              <w:t>项目性质：</w:t>
            </w:r>
            <w:r>
              <w:rPr>
                <w:rFonts w:hint="default"/>
                <w:highlight w:val="none"/>
                <w:lang w:val="en-US" w:eastAsia="zh-CN"/>
              </w:rPr>
              <w:t>新建</w:t>
            </w:r>
          </w:p>
          <w:p w14:paraId="44279E11">
            <w:pPr>
              <w:bidi w:val="0"/>
              <w:rPr>
                <w:rFonts w:hint="default"/>
                <w:highlight w:val="none"/>
                <w:lang w:val="en-US" w:eastAsia="zh-CN"/>
              </w:rPr>
            </w:pPr>
            <w:r>
              <w:rPr>
                <w:rFonts w:hint="default"/>
                <w:highlight w:val="none"/>
              </w:rPr>
              <w:t>建设地点：</w:t>
            </w:r>
            <w:r>
              <w:rPr>
                <w:rFonts w:hint="eastAsia"/>
                <w:highlight w:val="none"/>
                <w:lang w:val="en-US" w:eastAsia="zh-CN"/>
              </w:rPr>
              <w:t>临泽县鸭暖镇</w:t>
            </w:r>
          </w:p>
          <w:p w14:paraId="3ED05A64">
            <w:pPr>
              <w:bidi w:val="0"/>
              <w:rPr>
                <w:rFonts w:hint="eastAsia" w:eastAsia="宋体"/>
                <w:highlight w:val="none"/>
                <w:lang w:eastAsia="zh-CN"/>
              </w:rPr>
            </w:pPr>
            <w:r>
              <w:rPr>
                <w:rFonts w:hint="default"/>
                <w:highlight w:val="none"/>
              </w:rPr>
              <w:t>投资总额：本项目估算总投资为</w:t>
            </w:r>
            <w:r>
              <w:rPr>
                <w:rFonts w:hint="eastAsia"/>
                <w:highlight w:val="none"/>
                <w:lang w:val="en-US" w:eastAsia="zh-CN"/>
              </w:rPr>
              <w:t>530.83</w:t>
            </w:r>
            <w:r>
              <w:rPr>
                <w:rFonts w:hint="default"/>
                <w:highlight w:val="none"/>
              </w:rPr>
              <w:t>万元，其中环保投资</w:t>
            </w:r>
            <w:r>
              <w:rPr>
                <w:rFonts w:hint="eastAsia"/>
                <w:highlight w:val="none"/>
                <w:lang w:val="en-US" w:eastAsia="zh-CN"/>
              </w:rPr>
              <w:t>20</w:t>
            </w:r>
            <w:r>
              <w:rPr>
                <w:rFonts w:hint="default"/>
                <w:highlight w:val="none"/>
              </w:rPr>
              <w:t>万元，环保投资占总投资的</w:t>
            </w:r>
            <w:r>
              <w:rPr>
                <w:rFonts w:hint="eastAsia"/>
                <w:highlight w:val="none"/>
                <w:lang w:val="en-US" w:eastAsia="zh-CN"/>
              </w:rPr>
              <w:t>3.77</w:t>
            </w:r>
            <w:r>
              <w:rPr>
                <w:rFonts w:hint="default"/>
                <w:highlight w:val="none"/>
              </w:rPr>
              <w:t>%</w:t>
            </w:r>
            <w:r>
              <w:rPr>
                <w:rFonts w:hint="eastAsia"/>
                <w:highlight w:val="none"/>
                <w:lang w:eastAsia="zh-CN"/>
              </w:rPr>
              <w:t>。</w:t>
            </w:r>
          </w:p>
          <w:p w14:paraId="500045D5">
            <w:pPr>
              <w:bidi w:val="0"/>
              <w:rPr>
                <w:rFonts w:hint="default"/>
                <w:highlight w:val="none"/>
                <w:lang w:val="en-US" w:eastAsia="zh-CN"/>
              </w:rPr>
            </w:pPr>
            <w:r>
              <w:rPr>
                <w:rFonts w:hint="default"/>
                <w:highlight w:val="none"/>
                <w:lang w:val="en-US" w:eastAsia="zh-CN"/>
              </w:rPr>
              <w:t>项目建设规模：项目区规划新增治理面积1251.28hm²，其中工</w:t>
            </w:r>
            <w:r>
              <w:rPr>
                <w:rFonts w:hint="eastAsia"/>
                <w:highlight w:val="none"/>
                <w:lang w:val="en-US" w:eastAsia="zh-CN"/>
              </w:rPr>
              <w:t>程</w:t>
            </w:r>
            <w:r>
              <w:rPr>
                <w:rFonts w:hint="default"/>
                <w:highlight w:val="none"/>
                <w:lang w:val="en-US" w:eastAsia="zh-CN"/>
              </w:rPr>
              <w:t>措施包括排阴沟治理3.20km，砂化道路750m，农田水渠提升改造2400m；植物措施包括低效林改造12.08hm²，造林围栏2000m；阴沟坡面绿化0.85hm²（配套灌溉系统及附属工程）；封禁治理1238.35hm²，配套水土保持宣传界碑1块，流域宣传牌1座，标语牌1块。</w:t>
            </w:r>
          </w:p>
          <w:p w14:paraId="13071F15">
            <w:pPr>
              <w:bidi w:val="0"/>
              <w:rPr>
                <w:rFonts w:hint="default"/>
                <w:highlight w:val="none"/>
                <w:lang w:val="en-US" w:eastAsia="zh-CN"/>
              </w:rPr>
            </w:pPr>
            <w:r>
              <w:rPr>
                <w:rFonts w:hint="default"/>
                <w:highlight w:val="none"/>
                <w:lang w:val="en-US" w:eastAsia="zh-CN"/>
              </w:rPr>
              <w:t>项目具体建设内容见下表。</w:t>
            </w:r>
          </w:p>
          <w:p w14:paraId="675E5F95">
            <w:pPr>
              <w:bidi w:val="0"/>
              <w:jc w:val="center"/>
              <w:rPr>
                <w:rFonts w:hint="default"/>
                <w:highlight w:val="none"/>
              </w:rPr>
            </w:pPr>
            <w:r>
              <w:rPr>
                <w:rFonts w:hint="default"/>
                <w:highlight w:val="none"/>
              </w:rPr>
              <w:t>表</w:t>
            </w:r>
            <w:r>
              <w:rPr>
                <w:rFonts w:hint="default"/>
                <w:highlight w:val="none"/>
                <w:lang w:eastAsia="zh-CN"/>
              </w:rPr>
              <w:t>2</w:t>
            </w:r>
            <w:r>
              <w:rPr>
                <w:rFonts w:hint="default"/>
                <w:highlight w:val="none"/>
                <w:lang w:val="en-US" w:eastAsia="zh-CN"/>
              </w:rPr>
              <w:t>-1项目</w:t>
            </w:r>
            <w:r>
              <w:rPr>
                <w:rFonts w:hint="default"/>
                <w:highlight w:val="none"/>
              </w:rPr>
              <w:t>主要建设内容一览表</w:t>
            </w:r>
          </w:p>
          <w:tbl>
            <w:tblPr>
              <w:tblStyle w:val="27"/>
              <w:tblW w:w="49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1"/>
              <w:gridCol w:w="282"/>
              <w:gridCol w:w="637"/>
              <w:gridCol w:w="5746"/>
              <w:gridCol w:w="687"/>
            </w:tblGrid>
            <w:tr w14:paraId="7B2F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08" w:type="pct"/>
                  <w:gridSpan w:val="3"/>
                  <w:tcBorders>
                    <w:top w:val="single" w:color="000000" w:sz="12" w:space="0"/>
                    <w:left w:val="nil"/>
                    <w:tl2br w:val="nil"/>
                  </w:tcBorders>
                  <w:shd w:val="clear" w:color="auto" w:fill="FFFFFF"/>
                  <w:noWrap w:val="0"/>
                  <w:vAlign w:val="center"/>
                </w:tcPr>
                <w:p w14:paraId="4BDBE4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类别</w:t>
                  </w:r>
                </w:p>
              </w:tc>
              <w:tc>
                <w:tcPr>
                  <w:tcW w:w="3743" w:type="pct"/>
                  <w:tcBorders>
                    <w:top w:val="single" w:color="000000" w:sz="12" w:space="0"/>
                  </w:tcBorders>
                  <w:shd w:val="clear" w:color="auto" w:fill="FFFFFF"/>
                  <w:noWrap w:val="0"/>
                  <w:vAlign w:val="center"/>
                </w:tcPr>
                <w:p w14:paraId="326514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项目内容</w:t>
                  </w:r>
                </w:p>
              </w:tc>
              <w:tc>
                <w:tcPr>
                  <w:tcW w:w="447" w:type="pct"/>
                  <w:tcBorders>
                    <w:top w:val="single" w:color="000000" w:sz="12" w:space="0"/>
                    <w:right w:val="nil"/>
                  </w:tcBorders>
                  <w:shd w:val="clear" w:color="auto" w:fill="FFFFFF"/>
                  <w:noWrap w:val="0"/>
                  <w:vAlign w:val="center"/>
                </w:tcPr>
                <w:p w14:paraId="17F9DD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备注</w:t>
                  </w:r>
                </w:p>
              </w:tc>
            </w:tr>
            <w:tr w14:paraId="123C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8" w:hRule="atLeast"/>
              </w:trPr>
              <w:tc>
                <w:tcPr>
                  <w:tcW w:w="209" w:type="pct"/>
                  <w:vMerge w:val="restart"/>
                  <w:tcBorders>
                    <w:left w:val="nil"/>
                  </w:tcBorders>
                  <w:shd w:val="clear" w:color="auto" w:fill="FFFFFF"/>
                  <w:noWrap w:val="0"/>
                  <w:vAlign w:val="center"/>
                </w:tcPr>
                <w:p w14:paraId="4A66E9C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主体工程</w:t>
                  </w:r>
                </w:p>
              </w:tc>
              <w:tc>
                <w:tcPr>
                  <w:tcW w:w="598" w:type="pct"/>
                  <w:gridSpan w:val="2"/>
                  <w:shd w:val="clear" w:color="auto" w:fill="FFFFFF"/>
                  <w:noWrap w:val="0"/>
                  <w:vAlign w:val="center"/>
                </w:tcPr>
                <w:p w14:paraId="1641878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阴沟治理</w:t>
                  </w:r>
                </w:p>
              </w:tc>
              <w:tc>
                <w:tcPr>
                  <w:tcW w:w="3743" w:type="pct"/>
                  <w:shd w:val="clear" w:color="auto" w:fill="FFFFFF"/>
                  <w:noWrap w:val="0"/>
                  <w:vAlign w:val="center"/>
                </w:tcPr>
                <w:p w14:paraId="2A0653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spacing w:val="-3"/>
                      <w:sz w:val="21"/>
                      <w:szCs w:val="21"/>
                    </w:rPr>
                  </w:pPr>
                  <w:r>
                    <w:rPr>
                      <w:rFonts w:ascii="宋体" w:hAnsi="宋体" w:eastAsia="宋体" w:cs="宋体"/>
                      <w:spacing w:val="6"/>
                      <w:sz w:val="21"/>
                      <w:szCs w:val="21"/>
                    </w:rPr>
                    <w:t>位于鸭暖镇，涉及白寨村</w:t>
                  </w:r>
                  <w:r>
                    <w:rPr>
                      <w:rFonts w:ascii="宋体" w:hAnsi="宋体" w:eastAsia="宋体" w:cs="宋体"/>
                      <w:spacing w:val="5"/>
                      <w:sz w:val="21"/>
                      <w:szCs w:val="21"/>
                    </w:rPr>
                    <w:t>、华强村、小屯村，主要以沟道清</w:t>
                  </w:r>
                  <w:r>
                    <w:rPr>
                      <w:rFonts w:ascii="宋体" w:hAnsi="宋体" w:eastAsia="宋体" w:cs="宋体"/>
                      <w:spacing w:val="2"/>
                      <w:sz w:val="21"/>
                      <w:szCs w:val="21"/>
                    </w:rPr>
                    <w:t>理、植草护坡、土壤改良为主。部分阴沟沟道由于生活垃圾、人工堆积砂砾石、人工堆积杂填土等放等堵塞严重，影响沟道洪水宣泄。因此对沟道进行疏浚处理，对</w:t>
                  </w:r>
                  <w:r>
                    <w:rPr>
                      <w:rFonts w:ascii="宋体" w:hAnsi="宋体" w:eastAsia="宋体" w:cs="宋体"/>
                      <w:spacing w:val="5"/>
                      <w:sz w:val="21"/>
                      <w:szCs w:val="21"/>
                    </w:rPr>
                    <w:t>河道内堆积生活垃圾进行清理、疏浚、整平，共清淤</w:t>
                  </w:r>
                  <w:r>
                    <w:rPr>
                      <w:rFonts w:ascii="Times New Roman" w:hAnsi="Times New Roman" w:eastAsia="Times New Roman" w:cs="Times New Roman"/>
                      <w:spacing w:val="5"/>
                      <w:sz w:val="21"/>
                      <w:szCs w:val="21"/>
                    </w:rPr>
                    <w:t>9527m</w:t>
                  </w:r>
                  <w:r>
                    <w:rPr>
                      <w:rFonts w:ascii="Times New Roman" w:hAnsi="Times New Roman" w:eastAsia="Times New Roman" w:cs="Times New Roman"/>
                      <w:spacing w:val="5"/>
                      <w:position w:val="7"/>
                      <w:sz w:val="21"/>
                      <w:szCs w:val="21"/>
                    </w:rPr>
                    <w:t>3</w:t>
                  </w:r>
                  <w:r>
                    <w:rPr>
                      <w:rFonts w:ascii="宋体" w:hAnsi="宋体" w:eastAsia="宋体" w:cs="宋体"/>
                      <w:spacing w:val="5"/>
                      <w:sz w:val="21"/>
                      <w:szCs w:val="21"/>
                    </w:rPr>
                    <w:t>；排</w:t>
                  </w:r>
                  <w:r>
                    <w:rPr>
                      <w:rFonts w:ascii="宋体" w:hAnsi="宋体" w:eastAsia="宋体" w:cs="宋体"/>
                      <w:spacing w:val="4"/>
                      <w:sz w:val="21"/>
                      <w:szCs w:val="21"/>
                    </w:rPr>
                    <w:t>阴沟边坡削整治</w:t>
                  </w:r>
                  <w:r>
                    <w:rPr>
                      <w:rFonts w:ascii="宋体" w:hAnsi="宋体" w:eastAsia="宋体" w:cs="宋体"/>
                      <w:spacing w:val="5"/>
                      <w:sz w:val="21"/>
                      <w:szCs w:val="21"/>
                    </w:rPr>
                    <w:t>后，阴沟坡脚采用木桩护砌，沟道两侧采用木桩</w:t>
                  </w:r>
                  <w:r>
                    <w:rPr>
                      <w:rFonts w:ascii="Times New Roman" w:hAnsi="Times New Roman" w:eastAsia="Times New Roman" w:cs="Times New Roman"/>
                      <w:spacing w:val="5"/>
                      <w:sz w:val="21"/>
                      <w:szCs w:val="21"/>
                    </w:rPr>
                    <w:t>+</w:t>
                  </w:r>
                  <w:r>
                    <w:rPr>
                      <w:rFonts w:ascii="宋体" w:hAnsi="宋体" w:eastAsia="宋体" w:cs="宋体"/>
                      <w:spacing w:val="5"/>
                      <w:sz w:val="21"/>
                      <w:szCs w:val="21"/>
                    </w:rPr>
                    <w:t>生态袋进行防护，新建生态护坡</w:t>
                  </w:r>
                  <w:r>
                    <w:rPr>
                      <w:rFonts w:ascii="宋体" w:hAnsi="宋体" w:eastAsia="宋体" w:cs="宋体"/>
                      <w:spacing w:val="-3"/>
                      <w:sz w:val="21"/>
                      <w:szCs w:val="21"/>
                    </w:rPr>
                    <w:t>长度为</w:t>
                  </w:r>
                  <w:r>
                    <w:rPr>
                      <w:rFonts w:ascii="Times New Roman" w:hAnsi="Times New Roman" w:eastAsia="Times New Roman" w:cs="Times New Roman"/>
                      <w:spacing w:val="-3"/>
                      <w:sz w:val="21"/>
                      <w:szCs w:val="21"/>
                    </w:rPr>
                    <w:t>5410m</w:t>
                  </w:r>
                  <w:r>
                    <w:rPr>
                      <w:rFonts w:ascii="宋体" w:hAnsi="宋体" w:eastAsia="宋体" w:cs="宋体"/>
                      <w:spacing w:val="-3"/>
                      <w:sz w:val="21"/>
                      <w:szCs w:val="21"/>
                    </w:rPr>
                    <w:t>，布设生态护坡面积</w:t>
                  </w:r>
                  <w:r>
                    <w:rPr>
                      <w:rFonts w:ascii="Times New Roman" w:hAnsi="Times New Roman" w:eastAsia="Times New Roman" w:cs="Times New Roman"/>
                      <w:spacing w:val="-3"/>
                      <w:sz w:val="21"/>
                      <w:szCs w:val="21"/>
                    </w:rPr>
                    <w:t>1.47hm</w:t>
                  </w:r>
                  <w:r>
                    <w:rPr>
                      <w:rFonts w:ascii="Times New Roman" w:hAnsi="Times New Roman" w:eastAsia="Times New Roman" w:cs="Times New Roman"/>
                      <w:spacing w:val="-3"/>
                      <w:position w:val="7"/>
                      <w:sz w:val="21"/>
                      <w:szCs w:val="21"/>
                    </w:rPr>
                    <w:t>2</w:t>
                  </w:r>
                  <w:r>
                    <w:rPr>
                      <w:rFonts w:ascii="宋体" w:hAnsi="宋体" w:eastAsia="宋体" w:cs="宋体"/>
                      <w:spacing w:val="-3"/>
                      <w:sz w:val="21"/>
                      <w:szCs w:val="21"/>
                    </w:rPr>
                    <w:t>。</w:t>
                  </w:r>
                </w:p>
                <w:p w14:paraId="2506DF7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木桩选择选择梢径大于100mm的松木桩，地下埋深1.2m，地上0.3m，松木桩中心间隔0.25m，高1.5m，为防桩后土体从仿木桩缝隙流失，木桩后布设土工格栅，土工格栅高0.5m，土工格栅背后堆置生态袋，生态袋选用规格长40cm，宽30cm，厚15cm，袋内混有改良土（黄沙+有机肥+土）+草籽（披碱草、早熟禾），改良土拌合比例参考已实施工程，生态袋砌筑随1:1.5-1:3的坡比从两侧延伸至设计高度。在木桩护岸以上区域覆土，在坡面及底部零星点缀花灌木、水生植物及撒播草种进行绿化美化，同时布为保证成活率，绿化区域配套灌溉设施。共需埋设各类管道11.78km、配套喷灌设备，栽植灌木花卉球90株，点缀水生植物3520株，撒播草种0.4hm</w:t>
                  </w:r>
                  <w:r>
                    <w:rPr>
                      <w:rFonts w:hint="default" w:ascii="Times New Roman" w:hAnsi="Times New Roman" w:cs="Times New Roman"/>
                      <w:sz w:val="21"/>
                      <w:szCs w:val="21"/>
                      <w:highlight w:val="none"/>
                      <w:vertAlign w:val="superscript"/>
                      <w:lang w:val="en-US" w:eastAsia="zh-CN"/>
                    </w:rPr>
                    <w:t>2</w:t>
                  </w:r>
                  <w:r>
                    <w:rPr>
                      <w:rFonts w:hint="default" w:ascii="Times New Roman" w:hAnsi="Times New Roman" w:cs="Times New Roman"/>
                      <w:sz w:val="21"/>
                      <w:szCs w:val="21"/>
                      <w:highlight w:val="none"/>
                      <w:lang w:val="en-US" w:eastAsia="zh-CN"/>
                    </w:rPr>
                    <w:t>。</w:t>
                  </w:r>
                </w:p>
              </w:tc>
              <w:tc>
                <w:tcPr>
                  <w:tcW w:w="447" w:type="pct"/>
                  <w:tcBorders>
                    <w:right w:val="nil"/>
                  </w:tcBorders>
                  <w:shd w:val="clear" w:color="auto" w:fill="FFFFFF"/>
                  <w:noWrap w:val="0"/>
                  <w:vAlign w:val="center"/>
                </w:tcPr>
                <w:p w14:paraId="3F001D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4249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trPr>
              <w:tc>
                <w:tcPr>
                  <w:tcW w:w="209" w:type="pct"/>
                  <w:vMerge w:val="continue"/>
                  <w:tcBorders>
                    <w:left w:val="nil"/>
                  </w:tcBorders>
                  <w:shd w:val="clear" w:color="auto" w:fill="FFFFFF"/>
                  <w:noWrap w:val="0"/>
                  <w:vAlign w:val="center"/>
                </w:tcPr>
                <w:p w14:paraId="609CFBD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598" w:type="pct"/>
                  <w:gridSpan w:val="2"/>
                  <w:shd w:val="clear" w:color="auto" w:fill="FFFFFF"/>
                  <w:noWrap w:val="0"/>
                  <w:vAlign w:val="center"/>
                </w:tcPr>
                <w:p w14:paraId="5862460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道路工程</w:t>
                  </w:r>
                </w:p>
              </w:tc>
              <w:tc>
                <w:tcPr>
                  <w:tcW w:w="3743" w:type="pct"/>
                  <w:shd w:val="clear" w:color="auto" w:fill="FFFFFF"/>
                  <w:noWrap w:val="0"/>
                  <w:vAlign w:val="center"/>
                </w:tcPr>
                <w:p w14:paraId="4B7ED02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ascii="宋体" w:hAnsi="宋体" w:eastAsia="宋体" w:cs="宋体"/>
                      <w:spacing w:val="-2"/>
                      <w:sz w:val="21"/>
                      <w:szCs w:val="21"/>
                    </w:rPr>
                    <w:t>配套</w:t>
                  </w:r>
                  <w:r>
                    <w:rPr>
                      <w:rFonts w:ascii="Times New Roman" w:hAnsi="Times New Roman" w:eastAsia="Times New Roman" w:cs="Times New Roman"/>
                      <w:spacing w:val="-2"/>
                      <w:sz w:val="21"/>
                      <w:szCs w:val="21"/>
                    </w:rPr>
                    <w:t>5.0m</w:t>
                  </w:r>
                  <w:r>
                    <w:rPr>
                      <w:rFonts w:ascii="宋体" w:hAnsi="宋体" w:eastAsia="宋体" w:cs="宋体"/>
                      <w:spacing w:val="-2"/>
                      <w:sz w:val="21"/>
                      <w:szCs w:val="21"/>
                    </w:rPr>
                    <w:t>宽砂化生产道路</w:t>
                  </w:r>
                  <w:r>
                    <w:rPr>
                      <w:rFonts w:ascii="Times New Roman" w:hAnsi="Times New Roman" w:eastAsia="Times New Roman" w:cs="Times New Roman"/>
                      <w:spacing w:val="-2"/>
                      <w:sz w:val="21"/>
                      <w:szCs w:val="21"/>
                    </w:rPr>
                    <w:t>0.75km</w:t>
                  </w:r>
                  <w:r>
                    <w:rPr>
                      <w:rFonts w:ascii="宋体" w:hAnsi="宋体" w:eastAsia="宋体" w:cs="宋体"/>
                      <w:spacing w:val="-2"/>
                      <w:sz w:val="21"/>
                      <w:szCs w:val="21"/>
                    </w:rPr>
                    <w:t>。道路路面为砂砾石路</w:t>
                  </w:r>
                  <w:r>
                    <w:rPr>
                      <w:rFonts w:ascii="宋体" w:hAnsi="宋体" w:eastAsia="宋体" w:cs="宋体"/>
                      <w:spacing w:val="-3"/>
                      <w:sz w:val="21"/>
                      <w:szCs w:val="21"/>
                    </w:rPr>
                    <w:t>面，铺</w:t>
                  </w:r>
                  <w:r>
                    <w:rPr>
                      <w:rFonts w:ascii="宋体" w:hAnsi="宋体" w:eastAsia="宋体" w:cs="宋体"/>
                      <w:spacing w:val="-4"/>
                      <w:sz w:val="21"/>
                      <w:szCs w:val="21"/>
                    </w:rPr>
                    <w:t>砂宽度</w:t>
                  </w:r>
                  <w:r>
                    <w:rPr>
                      <w:rFonts w:ascii="Times New Roman" w:hAnsi="Times New Roman" w:eastAsia="Times New Roman" w:cs="Times New Roman"/>
                      <w:spacing w:val="-4"/>
                      <w:sz w:val="21"/>
                      <w:szCs w:val="21"/>
                    </w:rPr>
                    <w:t>4m</w:t>
                  </w:r>
                  <w:r>
                    <w:rPr>
                      <w:rFonts w:ascii="宋体" w:hAnsi="宋体" w:eastAsia="宋体" w:cs="宋体"/>
                      <w:spacing w:val="-4"/>
                      <w:sz w:val="21"/>
                      <w:szCs w:val="21"/>
                    </w:rPr>
                    <w:t>，依次铺筑砂砾石厚</w:t>
                  </w:r>
                  <w:r>
                    <w:rPr>
                      <w:rFonts w:ascii="Times New Roman" w:hAnsi="Times New Roman" w:eastAsia="Times New Roman" w:cs="Times New Roman"/>
                      <w:spacing w:val="-4"/>
                      <w:sz w:val="21"/>
                      <w:szCs w:val="21"/>
                    </w:rPr>
                    <w:t>35cm</w:t>
                  </w:r>
                  <w:r>
                    <w:rPr>
                      <w:rFonts w:ascii="宋体" w:hAnsi="宋体" w:eastAsia="宋体" w:cs="宋体"/>
                      <w:spacing w:val="-4"/>
                      <w:sz w:val="21"/>
                      <w:szCs w:val="21"/>
                    </w:rPr>
                    <w:t>，红锈石厚</w:t>
                  </w:r>
                  <w:r>
                    <w:rPr>
                      <w:rFonts w:ascii="Times New Roman" w:hAnsi="Times New Roman" w:eastAsia="Times New Roman" w:cs="Times New Roman"/>
                      <w:spacing w:val="-4"/>
                      <w:sz w:val="21"/>
                      <w:szCs w:val="21"/>
                    </w:rPr>
                    <w:t>15cm</w:t>
                  </w:r>
                  <w:r>
                    <w:rPr>
                      <w:rFonts w:ascii="宋体" w:hAnsi="宋体" w:eastAsia="宋体" w:cs="宋体"/>
                      <w:spacing w:val="-4"/>
                      <w:sz w:val="21"/>
                      <w:szCs w:val="21"/>
                    </w:rPr>
                    <w:t>。</w:t>
                  </w:r>
                </w:p>
              </w:tc>
              <w:tc>
                <w:tcPr>
                  <w:tcW w:w="447" w:type="pct"/>
                  <w:tcBorders>
                    <w:right w:val="nil"/>
                  </w:tcBorders>
                  <w:shd w:val="clear" w:color="auto" w:fill="FFFFFF"/>
                  <w:noWrap w:val="0"/>
                  <w:vAlign w:val="center"/>
                </w:tcPr>
                <w:p w14:paraId="4E2875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1F41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09" w:type="pct"/>
                  <w:vMerge w:val="continue"/>
                  <w:tcBorders>
                    <w:left w:val="nil"/>
                  </w:tcBorders>
                  <w:shd w:val="clear" w:color="auto" w:fill="FFFFFF"/>
                  <w:noWrap w:val="0"/>
                  <w:vAlign w:val="center"/>
                </w:tcPr>
                <w:p w14:paraId="31B347A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598" w:type="pct"/>
                  <w:gridSpan w:val="2"/>
                  <w:shd w:val="clear" w:color="auto" w:fill="FFFFFF"/>
                  <w:noWrap w:val="0"/>
                  <w:vAlign w:val="center"/>
                </w:tcPr>
                <w:p w14:paraId="34B7B08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水保林（低效林改造）</w:t>
                  </w:r>
                </w:p>
              </w:tc>
              <w:tc>
                <w:tcPr>
                  <w:tcW w:w="3743" w:type="pct"/>
                  <w:shd w:val="clear" w:color="auto" w:fill="FFFFFF"/>
                  <w:noWrap w:val="0"/>
                  <w:vAlign w:val="center"/>
                </w:tcPr>
                <w:p w14:paraId="578432E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面积12.08hm</w:t>
                  </w:r>
                  <w:r>
                    <w:rPr>
                      <w:rFonts w:hint="default" w:ascii="Times New Roman" w:hAnsi="Times New Roman" w:cs="Times New Roman"/>
                      <w:sz w:val="21"/>
                      <w:szCs w:val="21"/>
                      <w:highlight w:val="none"/>
                      <w:vertAlign w:val="superscript"/>
                      <w:lang w:val="en-US" w:eastAsia="zh-CN"/>
                    </w:rPr>
                    <w:t>2</w:t>
                  </w:r>
                  <w:r>
                    <w:rPr>
                      <w:rFonts w:hint="default" w:ascii="Times New Roman" w:hAnsi="Times New Roman" w:cs="Times New Roman"/>
                      <w:sz w:val="21"/>
                      <w:szCs w:val="21"/>
                      <w:highlight w:val="none"/>
                      <w:lang w:val="en-US" w:eastAsia="zh-CN"/>
                    </w:rPr>
                    <w:t>，造林模式采用灌木区块片状栽植乔木及灌木补种形式，造林区外围布设围栏，共计2000m，乔木树种选择沙枣，沙枣栽植株行距为4m*4m，栽植密度为625株/hm</w:t>
                  </w:r>
                  <w:r>
                    <w:rPr>
                      <w:rFonts w:hint="default" w:ascii="Times New Roman" w:hAnsi="Times New Roman" w:cs="Times New Roman"/>
                      <w:sz w:val="21"/>
                      <w:szCs w:val="21"/>
                      <w:highlight w:val="none"/>
                      <w:vertAlign w:val="superscript"/>
                      <w:lang w:val="en-US" w:eastAsia="zh-CN"/>
                    </w:rPr>
                    <w:t>2</w:t>
                  </w:r>
                  <w:r>
                    <w:rPr>
                      <w:rFonts w:hint="default" w:ascii="Times New Roman" w:hAnsi="Times New Roman" w:cs="Times New Roman"/>
                      <w:sz w:val="21"/>
                      <w:szCs w:val="21"/>
                      <w:highlight w:val="none"/>
                      <w:lang w:val="en-US" w:eastAsia="zh-CN"/>
                    </w:rPr>
                    <w:t>；灌木林树种选红柳，栽植株行距为2.5m*2.5m，栽植密度为1600株/hm</w:t>
                  </w:r>
                  <w:r>
                    <w:rPr>
                      <w:rFonts w:hint="default" w:ascii="Times New Roman" w:hAnsi="Times New Roman" w:cs="Times New Roman"/>
                      <w:sz w:val="21"/>
                      <w:szCs w:val="21"/>
                      <w:highlight w:val="none"/>
                      <w:vertAlign w:val="superscript"/>
                      <w:lang w:val="en-US" w:eastAsia="zh-CN"/>
                    </w:rPr>
                    <w:t>2</w:t>
                  </w:r>
                  <w:r>
                    <w:rPr>
                      <w:rFonts w:hint="default" w:ascii="Times New Roman" w:hAnsi="Times New Roman" w:cs="Times New Roman"/>
                      <w:sz w:val="21"/>
                      <w:szCs w:val="21"/>
                      <w:highlight w:val="none"/>
                      <w:lang w:val="en-US" w:eastAsia="zh-CN"/>
                    </w:rPr>
                    <w:t>，整地方式采用穴状局部整地。</w:t>
                  </w:r>
                </w:p>
              </w:tc>
              <w:tc>
                <w:tcPr>
                  <w:tcW w:w="447" w:type="pct"/>
                  <w:tcBorders>
                    <w:right w:val="nil"/>
                  </w:tcBorders>
                  <w:shd w:val="clear" w:color="auto" w:fill="FFFFFF"/>
                  <w:noWrap w:val="0"/>
                  <w:vAlign w:val="center"/>
                </w:tcPr>
                <w:p w14:paraId="7245C3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1ED6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09" w:type="pct"/>
                  <w:vMerge w:val="continue"/>
                  <w:tcBorders>
                    <w:left w:val="nil"/>
                  </w:tcBorders>
                  <w:shd w:val="clear" w:color="auto" w:fill="FFFFFF"/>
                  <w:noWrap w:val="0"/>
                  <w:vAlign w:val="center"/>
                </w:tcPr>
                <w:p w14:paraId="345DFFF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598" w:type="pct"/>
                  <w:gridSpan w:val="2"/>
                  <w:shd w:val="clear" w:color="auto" w:fill="FFFFFF"/>
                  <w:noWrap w:val="0"/>
                  <w:vAlign w:val="center"/>
                </w:tcPr>
                <w:p w14:paraId="0683A7C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cs="Times New Roman"/>
                      <w:sz w:val="21"/>
                      <w:szCs w:val="21"/>
                      <w:highlight w:val="none"/>
                      <w:lang w:val="en-US" w:eastAsia="zh-CN"/>
                    </w:rPr>
                  </w:pPr>
                  <w:r>
                    <w:rPr>
                      <w:rFonts w:hint="default"/>
                      <w:sz w:val="21"/>
                      <w:szCs w:val="21"/>
                      <w:highlight w:val="none"/>
                      <w:lang w:val="en-US" w:eastAsia="zh-CN"/>
                    </w:rPr>
                    <w:t>农田水渠提升改造</w:t>
                  </w:r>
                </w:p>
              </w:tc>
              <w:tc>
                <w:tcPr>
                  <w:tcW w:w="3743" w:type="pct"/>
                  <w:shd w:val="clear" w:color="auto" w:fill="FFFFFF"/>
                  <w:noWrap w:val="0"/>
                  <w:vAlign w:val="center"/>
                </w:tcPr>
                <w:p w14:paraId="0779CFCC">
                  <w:pPr>
                    <w:pStyle w:val="3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对现状农田预制块损坏</w:t>
                  </w:r>
                  <w:r>
                    <w:rPr>
                      <w:rFonts w:hint="eastAsia" w:cs="Times New Roman"/>
                      <w:kern w:val="2"/>
                      <w:sz w:val="21"/>
                      <w:szCs w:val="21"/>
                      <w:highlight w:val="none"/>
                      <w:lang w:val="en-US" w:eastAsia="zh-CN" w:bidi="ar-SA"/>
                    </w:rPr>
                    <w:t>农田</w:t>
                  </w:r>
                  <w:r>
                    <w:rPr>
                      <w:rFonts w:hint="default" w:ascii="Times New Roman" w:hAnsi="Times New Roman" w:eastAsia="宋体" w:cs="Times New Roman"/>
                      <w:kern w:val="2"/>
                      <w:sz w:val="21"/>
                      <w:szCs w:val="21"/>
                      <w:highlight w:val="none"/>
                      <w:lang w:val="en-US" w:eastAsia="zh-CN" w:bidi="ar-SA"/>
                    </w:rPr>
                    <w:t>水渠进行提升改造，采用C30砼预制“U”型件衬砌，布设总长度2400m，其中D60U型渠道总长1400m，D120U型渠道总长1000m，混凝土的抗冻等级分为F200，抗渗等级W4，渠底与沟道平顺连接，以保证工程安全运行。</w:t>
                  </w:r>
                </w:p>
              </w:tc>
              <w:tc>
                <w:tcPr>
                  <w:tcW w:w="447" w:type="pct"/>
                  <w:tcBorders>
                    <w:right w:val="nil"/>
                  </w:tcBorders>
                  <w:shd w:val="clear" w:color="auto" w:fill="FFFFFF"/>
                  <w:noWrap w:val="0"/>
                  <w:vAlign w:val="center"/>
                </w:tcPr>
                <w:p w14:paraId="096462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p>
              </w:tc>
            </w:tr>
            <w:tr w14:paraId="0D0A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09" w:type="pct"/>
                  <w:vMerge w:val="continue"/>
                  <w:tcBorders>
                    <w:left w:val="nil"/>
                  </w:tcBorders>
                  <w:shd w:val="clear" w:color="auto" w:fill="FFFFFF"/>
                  <w:noWrap w:val="0"/>
                  <w:vAlign w:val="center"/>
                </w:tcPr>
                <w:p w14:paraId="75DB25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598" w:type="pct"/>
                  <w:gridSpan w:val="2"/>
                  <w:shd w:val="clear" w:color="auto" w:fill="FFFFFF"/>
                  <w:noWrap w:val="0"/>
                  <w:vAlign w:val="center"/>
                </w:tcPr>
                <w:p w14:paraId="6766146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sz w:val="21"/>
                      <w:szCs w:val="21"/>
                      <w:highlight w:val="none"/>
                      <w:lang w:val="en-US" w:eastAsia="zh-CN"/>
                    </w:rPr>
                  </w:pPr>
                  <w:r>
                    <w:rPr>
                      <w:rFonts w:hint="eastAsia" w:ascii="宋体" w:hAnsi="宋体" w:cs="宋体"/>
                      <w:spacing w:val="-3"/>
                      <w:sz w:val="21"/>
                      <w:szCs w:val="21"/>
                      <w:lang w:val="en-US" w:eastAsia="zh-CN"/>
                    </w:rPr>
                    <w:t>（封禁管理）</w:t>
                  </w:r>
                  <w:r>
                    <w:rPr>
                      <w:rFonts w:ascii="宋体" w:hAnsi="宋体" w:eastAsia="宋体" w:cs="宋体"/>
                      <w:spacing w:val="-3"/>
                      <w:sz w:val="21"/>
                      <w:szCs w:val="21"/>
                    </w:rPr>
                    <w:t>水土保持宣传</w:t>
                  </w:r>
                </w:p>
              </w:tc>
              <w:tc>
                <w:tcPr>
                  <w:tcW w:w="3743" w:type="pct"/>
                  <w:shd w:val="clear" w:color="auto" w:fill="FFFFFF"/>
                  <w:noWrap w:val="0"/>
                  <w:vAlign w:val="center"/>
                </w:tcPr>
                <w:p w14:paraId="684FF601">
                  <w:pPr>
                    <w:pStyle w:val="33"/>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封禁治理1238.35hm²</w:t>
                  </w:r>
                  <w:r>
                    <w:rPr>
                      <w:rFonts w:hint="eastAsia"/>
                      <w:sz w:val="21"/>
                      <w:szCs w:val="21"/>
                      <w:highlight w:val="none"/>
                      <w:lang w:val="en-US" w:eastAsia="zh-CN"/>
                    </w:rPr>
                    <w:t>，</w:t>
                  </w:r>
                  <w:r>
                    <w:rPr>
                      <w:rFonts w:hint="eastAsia" w:ascii="Times New Roman" w:hAnsi="Times New Roman" w:eastAsia="宋体" w:cs="Times New Roman"/>
                      <w:kern w:val="2"/>
                      <w:sz w:val="21"/>
                      <w:szCs w:val="21"/>
                      <w:highlight w:val="none"/>
                      <w:lang w:val="en-US" w:eastAsia="zh-CN" w:bidi="ar-SA"/>
                    </w:rPr>
                    <w:t>在乡村文化广场布设界碑1块、流域宣传牌1座，标语牌1块。</w:t>
                  </w:r>
                </w:p>
              </w:tc>
              <w:tc>
                <w:tcPr>
                  <w:tcW w:w="447" w:type="pct"/>
                  <w:tcBorders>
                    <w:right w:val="nil"/>
                  </w:tcBorders>
                  <w:shd w:val="clear" w:color="auto" w:fill="FFFFFF"/>
                  <w:noWrap w:val="0"/>
                  <w:vAlign w:val="center"/>
                </w:tcPr>
                <w:p w14:paraId="52E533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p>
              </w:tc>
            </w:tr>
            <w:tr w14:paraId="6CE9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09" w:type="pct"/>
                  <w:vMerge w:val="restart"/>
                  <w:tcBorders>
                    <w:left w:val="nil"/>
                  </w:tcBorders>
                  <w:shd w:val="clear" w:color="auto" w:fill="FFFFFF"/>
                  <w:noWrap w:val="0"/>
                  <w:vAlign w:val="center"/>
                </w:tcPr>
                <w:p w14:paraId="005585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辅助工程</w:t>
                  </w:r>
                </w:p>
              </w:tc>
              <w:tc>
                <w:tcPr>
                  <w:tcW w:w="598" w:type="pct"/>
                  <w:gridSpan w:val="2"/>
                  <w:shd w:val="clear" w:color="auto" w:fill="FFFFFF"/>
                  <w:noWrap w:val="0"/>
                  <w:vAlign w:val="center"/>
                </w:tcPr>
                <w:p w14:paraId="381E680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施工营地</w:t>
                  </w:r>
                </w:p>
              </w:tc>
              <w:tc>
                <w:tcPr>
                  <w:tcW w:w="3743" w:type="pct"/>
                  <w:shd w:val="clear" w:color="auto" w:fill="FFFFFF"/>
                  <w:noWrap w:val="0"/>
                  <w:vAlign w:val="center"/>
                </w:tcPr>
                <w:p w14:paraId="36DA2F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项目施工营地为租用周边居民空置房屋，不单独设置施工营地。</w:t>
                  </w:r>
                </w:p>
              </w:tc>
              <w:tc>
                <w:tcPr>
                  <w:tcW w:w="447" w:type="pct"/>
                  <w:vMerge w:val="restart"/>
                  <w:tcBorders>
                    <w:right w:val="nil"/>
                  </w:tcBorders>
                  <w:shd w:val="clear" w:color="auto" w:fill="FFFFFF"/>
                  <w:noWrap w:val="0"/>
                  <w:vAlign w:val="center"/>
                </w:tcPr>
                <w:p w14:paraId="49D08D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新建</w:t>
                  </w:r>
                </w:p>
              </w:tc>
            </w:tr>
            <w:tr w14:paraId="0B69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atLeast"/>
              </w:trPr>
              <w:tc>
                <w:tcPr>
                  <w:tcW w:w="209" w:type="pct"/>
                  <w:vMerge w:val="continue"/>
                  <w:tcBorders>
                    <w:left w:val="nil"/>
                  </w:tcBorders>
                  <w:shd w:val="clear" w:color="auto" w:fill="FFFFFF"/>
                  <w:noWrap w:val="0"/>
                  <w:vAlign w:val="center"/>
                </w:tcPr>
                <w:p w14:paraId="0A7632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598" w:type="pct"/>
                  <w:gridSpan w:val="2"/>
                  <w:shd w:val="clear" w:color="auto" w:fill="FFFFFF"/>
                  <w:noWrap w:val="0"/>
                  <w:vAlign w:val="center"/>
                </w:tcPr>
                <w:p w14:paraId="590E7CC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施工便道</w:t>
                  </w:r>
                </w:p>
              </w:tc>
              <w:tc>
                <w:tcPr>
                  <w:tcW w:w="3743" w:type="pct"/>
                  <w:shd w:val="clear" w:color="auto" w:fill="FFFFFF"/>
                  <w:noWrap w:val="0"/>
                  <w:vAlign w:val="center"/>
                </w:tcPr>
                <w:p w14:paraId="218BBD3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项目区内有G312、县道、乡道通过，乡镇、村组之间有乡村道路连接，施工现有道路大部分硬化、砂化，材料运输便利，人行道路网络较完善，交通较为方便，基本能够项目实施对运输的需要。</w:t>
                  </w:r>
                </w:p>
              </w:tc>
              <w:tc>
                <w:tcPr>
                  <w:tcW w:w="447" w:type="pct"/>
                  <w:vMerge w:val="continue"/>
                  <w:tcBorders>
                    <w:right w:val="nil"/>
                  </w:tcBorders>
                  <w:shd w:val="clear" w:color="auto" w:fill="FFFFFF"/>
                  <w:noWrap w:val="0"/>
                  <w:vAlign w:val="center"/>
                </w:tcPr>
                <w:p w14:paraId="1EF891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p>
              </w:tc>
            </w:tr>
            <w:tr w14:paraId="3004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09" w:type="pct"/>
                  <w:vMerge w:val="continue"/>
                  <w:tcBorders>
                    <w:left w:val="nil"/>
                  </w:tcBorders>
                  <w:shd w:val="clear" w:color="auto" w:fill="FFFFFF"/>
                  <w:noWrap w:val="0"/>
                  <w:vAlign w:val="center"/>
                </w:tcPr>
                <w:p w14:paraId="79B4205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598" w:type="pct"/>
                  <w:gridSpan w:val="2"/>
                  <w:shd w:val="clear" w:color="auto" w:fill="FFFFFF"/>
                  <w:noWrap w:val="0"/>
                  <w:vAlign w:val="center"/>
                </w:tcPr>
                <w:p w14:paraId="6B7AEA3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取弃土场</w:t>
                  </w:r>
                </w:p>
              </w:tc>
              <w:tc>
                <w:tcPr>
                  <w:tcW w:w="3743" w:type="pct"/>
                  <w:shd w:val="clear" w:color="auto" w:fill="FFFFFF"/>
                  <w:noWrap w:val="0"/>
                  <w:vAlign w:val="center"/>
                </w:tcPr>
                <w:p w14:paraId="3033616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本工程土石方平衡，不设置取弃土场。</w:t>
                  </w:r>
                </w:p>
              </w:tc>
              <w:tc>
                <w:tcPr>
                  <w:tcW w:w="447" w:type="pct"/>
                  <w:vMerge w:val="continue"/>
                  <w:tcBorders>
                    <w:right w:val="nil"/>
                  </w:tcBorders>
                  <w:shd w:val="clear" w:color="auto" w:fill="FFFFFF"/>
                  <w:noWrap w:val="0"/>
                  <w:vAlign w:val="center"/>
                </w:tcPr>
                <w:p w14:paraId="0090D1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p>
              </w:tc>
            </w:tr>
            <w:tr w14:paraId="1588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09" w:type="pct"/>
                  <w:vMerge w:val="continue"/>
                  <w:tcBorders>
                    <w:left w:val="nil"/>
                  </w:tcBorders>
                  <w:shd w:val="clear" w:color="auto" w:fill="FFFFFF"/>
                  <w:noWrap w:val="0"/>
                  <w:vAlign w:val="center"/>
                </w:tcPr>
                <w:p w14:paraId="3B87DA5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598" w:type="pct"/>
                  <w:gridSpan w:val="2"/>
                  <w:shd w:val="clear" w:color="auto" w:fill="FFFFFF"/>
                  <w:noWrap w:val="0"/>
                  <w:vAlign w:val="center"/>
                </w:tcPr>
                <w:p w14:paraId="55777ED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施工用水</w:t>
                  </w:r>
                </w:p>
              </w:tc>
              <w:tc>
                <w:tcPr>
                  <w:tcW w:w="3743" w:type="pct"/>
                  <w:shd w:val="clear" w:color="auto" w:fill="FFFFFF"/>
                  <w:noWrap w:val="0"/>
                  <w:vAlign w:val="center"/>
                </w:tcPr>
                <w:p w14:paraId="61E7E7F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施工场地设置水车，施工用水从周边</w:t>
                  </w:r>
                  <w:r>
                    <w:rPr>
                      <w:rFonts w:hint="eastAsia" w:cs="Times New Roman"/>
                      <w:sz w:val="21"/>
                      <w:szCs w:val="21"/>
                      <w:highlight w:val="none"/>
                      <w:lang w:val="en-US" w:eastAsia="zh-CN"/>
                    </w:rPr>
                    <w:t>村庄供水管网。</w:t>
                  </w:r>
                </w:p>
              </w:tc>
              <w:tc>
                <w:tcPr>
                  <w:tcW w:w="447" w:type="pct"/>
                  <w:tcBorders>
                    <w:right w:val="nil"/>
                  </w:tcBorders>
                  <w:shd w:val="clear" w:color="auto" w:fill="FFFFFF"/>
                  <w:noWrap w:val="0"/>
                  <w:vAlign w:val="center"/>
                </w:tcPr>
                <w:p w14:paraId="5B6666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w:t>
                  </w:r>
                </w:p>
              </w:tc>
            </w:tr>
            <w:tr w14:paraId="0CB9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09" w:type="pct"/>
                  <w:vMerge w:val="continue"/>
                  <w:tcBorders>
                    <w:left w:val="nil"/>
                  </w:tcBorders>
                  <w:shd w:val="clear" w:color="auto" w:fill="FFFFFF"/>
                  <w:noWrap w:val="0"/>
                  <w:vAlign w:val="center"/>
                </w:tcPr>
                <w:p w14:paraId="41D37EF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598" w:type="pct"/>
                  <w:gridSpan w:val="2"/>
                  <w:shd w:val="clear" w:color="auto" w:fill="FFFFFF"/>
                  <w:noWrap w:val="0"/>
                  <w:vAlign w:val="center"/>
                </w:tcPr>
                <w:p w14:paraId="18B8C2B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施工供电</w:t>
                  </w:r>
                </w:p>
              </w:tc>
              <w:tc>
                <w:tcPr>
                  <w:tcW w:w="3743" w:type="pct"/>
                  <w:shd w:val="clear" w:color="auto" w:fill="FFFFFF"/>
                  <w:noWrap w:val="0"/>
                  <w:vAlign w:val="center"/>
                </w:tcPr>
                <w:p w14:paraId="35C74B6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施工现场</w:t>
                  </w:r>
                  <w:r>
                    <w:rPr>
                      <w:rFonts w:hint="eastAsia" w:cs="Times New Roman"/>
                      <w:sz w:val="21"/>
                      <w:szCs w:val="21"/>
                      <w:highlight w:val="none"/>
                      <w:lang w:val="en-US" w:eastAsia="zh-CN"/>
                    </w:rPr>
                    <w:t>从附近的农用电电源接出提供。</w:t>
                  </w:r>
                </w:p>
              </w:tc>
              <w:tc>
                <w:tcPr>
                  <w:tcW w:w="447" w:type="pct"/>
                  <w:tcBorders>
                    <w:right w:val="nil"/>
                  </w:tcBorders>
                  <w:shd w:val="clear" w:color="auto" w:fill="FFFFFF"/>
                  <w:noWrap w:val="0"/>
                  <w:vAlign w:val="center"/>
                </w:tcPr>
                <w:p w14:paraId="27F86E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w:t>
                  </w:r>
                </w:p>
              </w:tc>
            </w:tr>
            <w:tr w14:paraId="4D36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09" w:type="pct"/>
                  <w:vMerge w:val="restart"/>
                  <w:tcBorders>
                    <w:left w:val="nil"/>
                  </w:tcBorders>
                  <w:shd w:val="clear" w:color="auto" w:fill="FFFFFF"/>
                  <w:noWrap w:val="0"/>
                  <w:vAlign w:val="center"/>
                </w:tcPr>
                <w:p w14:paraId="236987F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环保工程</w:t>
                  </w:r>
                </w:p>
              </w:tc>
              <w:tc>
                <w:tcPr>
                  <w:tcW w:w="184" w:type="pct"/>
                  <w:vMerge w:val="restart"/>
                  <w:shd w:val="clear" w:color="auto" w:fill="FFFFFF"/>
                  <w:noWrap w:val="0"/>
                  <w:vAlign w:val="center"/>
                </w:tcPr>
                <w:p w14:paraId="08E9682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废气处理</w:t>
                  </w:r>
                </w:p>
              </w:tc>
              <w:tc>
                <w:tcPr>
                  <w:tcW w:w="414" w:type="pct"/>
                  <w:shd w:val="clear" w:color="auto" w:fill="FFFFFF"/>
                  <w:noWrap w:val="0"/>
                  <w:vAlign w:val="center"/>
                </w:tcPr>
                <w:p w14:paraId="5A5318B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施工期</w:t>
                  </w:r>
                </w:p>
              </w:tc>
              <w:tc>
                <w:tcPr>
                  <w:tcW w:w="3743" w:type="pct"/>
                  <w:shd w:val="clear" w:color="auto" w:fill="FFFFFF"/>
                  <w:noWrap w:val="0"/>
                  <w:vAlign w:val="center"/>
                </w:tcPr>
                <w:p w14:paraId="02F5DC3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汽车运土时外加蓬布覆盖，合理安排施工进度，开挖后及时回填，并配备洒水设备，对施工场地和施工道路进行洒水降尘。选用先进的机械设备，加强管理。</w:t>
                  </w:r>
                </w:p>
              </w:tc>
              <w:tc>
                <w:tcPr>
                  <w:tcW w:w="447" w:type="pct"/>
                  <w:tcBorders>
                    <w:right w:val="nil"/>
                  </w:tcBorders>
                  <w:shd w:val="clear" w:color="auto" w:fill="FFFFFF"/>
                  <w:noWrap w:val="0"/>
                  <w:vAlign w:val="center"/>
                </w:tcPr>
                <w:p w14:paraId="5681A5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w:t>
                  </w:r>
                </w:p>
              </w:tc>
            </w:tr>
            <w:tr w14:paraId="2FF8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09" w:type="pct"/>
                  <w:vMerge w:val="continue"/>
                  <w:tcBorders>
                    <w:left w:val="nil"/>
                  </w:tcBorders>
                  <w:shd w:val="clear" w:color="auto" w:fill="FFFFFF"/>
                  <w:noWrap w:val="0"/>
                  <w:vAlign w:val="center"/>
                </w:tcPr>
                <w:p w14:paraId="6B9688C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184" w:type="pct"/>
                  <w:vMerge w:val="continue"/>
                  <w:shd w:val="clear" w:color="auto" w:fill="FFFFFF"/>
                  <w:noWrap w:val="0"/>
                  <w:vAlign w:val="center"/>
                </w:tcPr>
                <w:p w14:paraId="31095E9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414" w:type="pct"/>
                  <w:shd w:val="clear" w:color="auto" w:fill="FFFFFF"/>
                  <w:noWrap w:val="0"/>
                  <w:vAlign w:val="center"/>
                </w:tcPr>
                <w:p w14:paraId="0967B4E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运营期</w:t>
                  </w:r>
                </w:p>
              </w:tc>
              <w:tc>
                <w:tcPr>
                  <w:tcW w:w="3743" w:type="pct"/>
                  <w:shd w:val="clear" w:color="auto" w:fill="FFFFFF"/>
                  <w:noWrap w:val="0"/>
                  <w:vAlign w:val="center"/>
                </w:tcPr>
                <w:p w14:paraId="1FFE2B3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无废气产生</w:t>
                  </w:r>
                  <w:r>
                    <w:rPr>
                      <w:rFonts w:hint="eastAsia" w:cs="Times New Roman"/>
                      <w:sz w:val="21"/>
                      <w:szCs w:val="21"/>
                      <w:highlight w:val="none"/>
                      <w:lang w:val="en-US" w:eastAsia="zh-CN"/>
                    </w:rPr>
                    <w:t>。</w:t>
                  </w:r>
                </w:p>
              </w:tc>
              <w:tc>
                <w:tcPr>
                  <w:tcW w:w="447" w:type="pct"/>
                  <w:tcBorders>
                    <w:right w:val="nil"/>
                  </w:tcBorders>
                  <w:shd w:val="clear" w:color="auto" w:fill="FFFFFF"/>
                  <w:noWrap w:val="0"/>
                  <w:vAlign w:val="center"/>
                </w:tcPr>
                <w:p w14:paraId="452647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w:t>
                  </w:r>
                </w:p>
              </w:tc>
            </w:tr>
            <w:tr w14:paraId="5180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atLeast"/>
              </w:trPr>
              <w:tc>
                <w:tcPr>
                  <w:tcW w:w="209" w:type="pct"/>
                  <w:vMerge w:val="continue"/>
                  <w:tcBorders>
                    <w:left w:val="nil"/>
                  </w:tcBorders>
                  <w:shd w:val="clear" w:color="auto" w:fill="FFFFFF"/>
                  <w:noWrap w:val="0"/>
                  <w:vAlign w:val="center"/>
                </w:tcPr>
                <w:p w14:paraId="0E17BE7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184" w:type="pct"/>
                  <w:vMerge w:val="restart"/>
                  <w:shd w:val="clear" w:color="auto" w:fill="FFFFFF"/>
                  <w:noWrap w:val="0"/>
                  <w:vAlign w:val="center"/>
                </w:tcPr>
                <w:p w14:paraId="22E42E2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废水处理</w:t>
                  </w:r>
                </w:p>
              </w:tc>
              <w:tc>
                <w:tcPr>
                  <w:tcW w:w="414" w:type="pct"/>
                  <w:shd w:val="clear" w:color="auto" w:fill="FFFFFF"/>
                  <w:noWrap w:val="0"/>
                  <w:vAlign w:val="center"/>
                </w:tcPr>
                <w:p w14:paraId="59C0456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施工期</w:t>
                  </w:r>
                </w:p>
              </w:tc>
              <w:tc>
                <w:tcPr>
                  <w:tcW w:w="3743" w:type="pct"/>
                  <w:shd w:val="clear" w:color="auto" w:fill="FFFFFF"/>
                  <w:noWrap w:val="0"/>
                  <w:vAlign w:val="center"/>
                </w:tcPr>
                <w:p w14:paraId="31D92A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使用周边居民厕所</w:t>
                  </w:r>
                  <w:r>
                    <w:rPr>
                      <w:rFonts w:hint="default" w:ascii="Times New Roman" w:hAnsi="Times New Roman" w:cs="Times New Roman"/>
                      <w:sz w:val="21"/>
                      <w:szCs w:val="21"/>
                      <w:highlight w:val="none"/>
                      <w:lang w:val="en-US" w:eastAsia="zh-CN"/>
                    </w:rPr>
                    <w:t>，生活污水泼洒抑尘。</w:t>
                  </w:r>
                </w:p>
              </w:tc>
              <w:tc>
                <w:tcPr>
                  <w:tcW w:w="447" w:type="pct"/>
                  <w:vMerge w:val="restart"/>
                  <w:tcBorders>
                    <w:right w:val="nil"/>
                  </w:tcBorders>
                  <w:shd w:val="clear" w:color="auto" w:fill="FFFFFF"/>
                  <w:noWrap w:val="0"/>
                  <w:vAlign w:val="center"/>
                </w:tcPr>
                <w:p w14:paraId="43C280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w:t>
                  </w:r>
                </w:p>
              </w:tc>
            </w:tr>
            <w:tr w14:paraId="2323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atLeast"/>
              </w:trPr>
              <w:tc>
                <w:tcPr>
                  <w:tcW w:w="209" w:type="pct"/>
                  <w:vMerge w:val="continue"/>
                  <w:tcBorders>
                    <w:left w:val="nil"/>
                  </w:tcBorders>
                  <w:shd w:val="clear" w:color="auto" w:fill="FFFFFF"/>
                  <w:noWrap w:val="0"/>
                  <w:vAlign w:val="center"/>
                </w:tcPr>
                <w:p w14:paraId="3D3E166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184" w:type="pct"/>
                  <w:vMerge w:val="continue"/>
                  <w:shd w:val="clear" w:color="auto" w:fill="FFFFFF"/>
                  <w:noWrap w:val="0"/>
                  <w:vAlign w:val="center"/>
                </w:tcPr>
                <w:p w14:paraId="0731663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414" w:type="pct"/>
                  <w:shd w:val="clear" w:color="auto" w:fill="FFFFFF"/>
                  <w:noWrap w:val="0"/>
                  <w:vAlign w:val="center"/>
                </w:tcPr>
                <w:p w14:paraId="4BDF39A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运营期</w:t>
                  </w:r>
                </w:p>
              </w:tc>
              <w:tc>
                <w:tcPr>
                  <w:tcW w:w="3743" w:type="pct"/>
                  <w:shd w:val="clear" w:color="auto" w:fill="FFFFFF"/>
                  <w:noWrap w:val="0"/>
                  <w:vAlign w:val="center"/>
                </w:tcPr>
                <w:p w14:paraId="1FFFB30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无废水产生</w:t>
                  </w:r>
                </w:p>
              </w:tc>
              <w:tc>
                <w:tcPr>
                  <w:tcW w:w="447" w:type="pct"/>
                  <w:vMerge w:val="continue"/>
                  <w:tcBorders>
                    <w:right w:val="nil"/>
                  </w:tcBorders>
                  <w:shd w:val="clear" w:color="auto" w:fill="FFFFFF"/>
                  <w:noWrap w:val="0"/>
                  <w:vAlign w:val="center"/>
                </w:tcPr>
                <w:p w14:paraId="5318B6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p>
              </w:tc>
            </w:tr>
            <w:tr w14:paraId="06B7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trPr>
              <w:tc>
                <w:tcPr>
                  <w:tcW w:w="209" w:type="pct"/>
                  <w:vMerge w:val="continue"/>
                  <w:tcBorders>
                    <w:left w:val="nil"/>
                  </w:tcBorders>
                  <w:shd w:val="clear" w:color="auto" w:fill="FFFFFF"/>
                  <w:noWrap w:val="0"/>
                  <w:vAlign w:val="center"/>
                </w:tcPr>
                <w:p w14:paraId="5300ED8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184" w:type="pct"/>
                  <w:vMerge w:val="restart"/>
                  <w:shd w:val="clear" w:color="auto" w:fill="FFFFFF"/>
                  <w:noWrap w:val="0"/>
                  <w:vAlign w:val="center"/>
                </w:tcPr>
                <w:p w14:paraId="773C740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噪声治理</w:t>
                  </w:r>
                </w:p>
              </w:tc>
              <w:tc>
                <w:tcPr>
                  <w:tcW w:w="414" w:type="pct"/>
                  <w:shd w:val="clear" w:color="auto" w:fill="FFFFFF"/>
                  <w:noWrap w:val="0"/>
                  <w:vAlign w:val="center"/>
                </w:tcPr>
                <w:p w14:paraId="47A6B30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施工期</w:t>
                  </w:r>
                </w:p>
              </w:tc>
              <w:tc>
                <w:tcPr>
                  <w:tcW w:w="3743" w:type="pct"/>
                  <w:shd w:val="clear" w:color="auto" w:fill="FFFFFF"/>
                  <w:noWrap w:val="0"/>
                  <w:vAlign w:val="center"/>
                </w:tcPr>
                <w:p w14:paraId="2033473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施工期合理安排施工计划，选择低噪声的机械设备，运输车辆减少或禁止鸣笛，加强机械保养、维修</w:t>
                  </w:r>
                  <w:r>
                    <w:rPr>
                      <w:rFonts w:hint="eastAsia" w:cs="Times New Roman"/>
                      <w:sz w:val="21"/>
                      <w:szCs w:val="21"/>
                      <w:highlight w:val="none"/>
                      <w:lang w:val="en-US" w:eastAsia="zh-CN"/>
                    </w:rPr>
                    <w:t>。</w:t>
                  </w:r>
                </w:p>
              </w:tc>
              <w:tc>
                <w:tcPr>
                  <w:tcW w:w="447" w:type="pct"/>
                  <w:vMerge w:val="restart"/>
                  <w:tcBorders>
                    <w:right w:val="nil"/>
                  </w:tcBorders>
                  <w:shd w:val="clear" w:color="auto" w:fill="FFFFFF"/>
                  <w:noWrap w:val="0"/>
                  <w:vAlign w:val="center"/>
                </w:tcPr>
                <w:p w14:paraId="4DFD20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w:t>
                  </w:r>
                </w:p>
              </w:tc>
            </w:tr>
            <w:tr w14:paraId="4774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trPr>
              <w:tc>
                <w:tcPr>
                  <w:tcW w:w="209" w:type="pct"/>
                  <w:vMerge w:val="continue"/>
                  <w:tcBorders>
                    <w:left w:val="nil"/>
                  </w:tcBorders>
                  <w:shd w:val="clear" w:color="auto" w:fill="FFFFFF"/>
                  <w:noWrap w:val="0"/>
                  <w:vAlign w:val="center"/>
                </w:tcPr>
                <w:p w14:paraId="37E3D7D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184" w:type="pct"/>
                  <w:vMerge w:val="continue"/>
                  <w:shd w:val="clear" w:color="auto" w:fill="FFFFFF"/>
                  <w:noWrap w:val="0"/>
                  <w:vAlign w:val="center"/>
                </w:tcPr>
                <w:p w14:paraId="19FCFF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414" w:type="pct"/>
                  <w:shd w:val="clear" w:color="auto" w:fill="FFFFFF"/>
                  <w:noWrap w:val="0"/>
                  <w:vAlign w:val="center"/>
                </w:tcPr>
                <w:p w14:paraId="44EC8C5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运营期</w:t>
                  </w:r>
                </w:p>
              </w:tc>
              <w:tc>
                <w:tcPr>
                  <w:tcW w:w="3743" w:type="pct"/>
                  <w:shd w:val="clear" w:color="auto" w:fill="FFFFFF"/>
                  <w:noWrap w:val="0"/>
                  <w:vAlign w:val="center"/>
                </w:tcPr>
                <w:p w14:paraId="523F077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无噪声产生</w:t>
                  </w:r>
                </w:p>
              </w:tc>
              <w:tc>
                <w:tcPr>
                  <w:tcW w:w="447" w:type="pct"/>
                  <w:vMerge w:val="continue"/>
                  <w:tcBorders>
                    <w:right w:val="nil"/>
                  </w:tcBorders>
                  <w:shd w:val="clear" w:color="auto" w:fill="FFFFFF"/>
                  <w:noWrap w:val="0"/>
                  <w:vAlign w:val="center"/>
                </w:tcPr>
                <w:p w14:paraId="5908EC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p>
              </w:tc>
            </w:tr>
            <w:tr w14:paraId="573D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trPr>
              <w:tc>
                <w:tcPr>
                  <w:tcW w:w="209" w:type="pct"/>
                  <w:vMerge w:val="continue"/>
                  <w:tcBorders>
                    <w:left w:val="nil"/>
                  </w:tcBorders>
                  <w:shd w:val="clear" w:color="auto" w:fill="FFFFFF"/>
                  <w:noWrap w:val="0"/>
                  <w:vAlign w:val="center"/>
                </w:tcPr>
                <w:p w14:paraId="3D18E16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184" w:type="pct"/>
                  <w:vMerge w:val="restart"/>
                  <w:shd w:val="clear" w:color="auto" w:fill="FFFFFF"/>
                  <w:noWrap w:val="0"/>
                  <w:vAlign w:val="center"/>
                </w:tcPr>
                <w:p w14:paraId="01A37C4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固废处理</w:t>
                  </w:r>
                </w:p>
              </w:tc>
              <w:tc>
                <w:tcPr>
                  <w:tcW w:w="414" w:type="pct"/>
                  <w:shd w:val="clear" w:color="auto" w:fill="FFFFFF"/>
                  <w:noWrap w:val="0"/>
                  <w:vAlign w:val="center"/>
                </w:tcPr>
                <w:p w14:paraId="1A0C172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施工期</w:t>
                  </w:r>
                </w:p>
              </w:tc>
              <w:tc>
                <w:tcPr>
                  <w:tcW w:w="3743" w:type="pct"/>
                  <w:shd w:val="clear" w:color="auto" w:fill="FFFFFF"/>
                  <w:noWrap w:val="0"/>
                  <w:vAlign w:val="center"/>
                </w:tcPr>
                <w:p w14:paraId="7B9AE91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设置8个垃圾桶，生活垃圾及少量的植物根系收集后交由环卫部</w:t>
                  </w:r>
                  <w:r>
                    <w:rPr>
                      <w:rFonts w:hint="eastAsia" w:cs="Times New Roman"/>
                      <w:sz w:val="21"/>
                      <w:szCs w:val="21"/>
                      <w:highlight w:val="none"/>
                      <w:lang w:val="en-US" w:eastAsia="zh-CN"/>
                    </w:rPr>
                    <w:t>清运</w:t>
                  </w:r>
                  <w:r>
                    <w:rPr>
                      <w:rFonts w:hint="default" w:ascii="Times New Roman" w:hAnsi="Times New Roman" w:cs="Times New Roman"/>
                      <w:sz w:val="21"/>
                      <w:szCs w:val="21"/>
                      <w:highlight w:val="none"/>
                      <w:lang w:val="en-US" w:eastAsia="zh-CN"/>
                    </w:rPr>
                    <w:t>。</w:t>
                  </w:r>
                </w:p>
              </w:tc>
              <w:tc>
                <w:tcPr>
                  <w:tcW w:w="447" w:type="pct"/>
                  <w:vMerge w:val="restart"/>
                  <w:tcBorders>
                    <w:right w:val="nil"/>
                  </w:tcBorders>
                  <w:shd w:val="clear" w:color="auto" w:fill="FFFFFF"/>
                  <w:noWrap w:val="0"/>
                  <w:vAlign w:val="center"/>
                </w:tcPr>
                <w:p w14:paraId="735FEE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w:t>
                  </w:r>
                </w:p>
              </w:tc>
            </w:tr>
            <w:tr w14:paraId="6FBB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09" w:type="pct"/>
                  <w:vMerge w:val="continue"/>
                  <w:tcBorders>
                    <w:left w:val="nil"/>
                  </w:tcBorders>
                  <w:shd w:val="clear" w:color="auto" w:fill="FFFFFF"/>
                  <w:noWrap w:val="0"/>
                  <w:vAlign w:val="center"/>
                </w:tcPr>
                <w:p w14:paraId="5BCF67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184" w:type="pct"/>
                  <w:vMerge w:val="continue"/>
                  <w:shd w:val="clear" w:color="auto" w:fill="FFFFFF"/>
                  <w:noWrap w:val="0"/>
                  <w:vAlign w:val="center"/>
                </w:tcPr>
                <w:p w14:paraId="340598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p>
              </w:tc>
              <w:tc>
                <w:tcPr>
                  <w:tcW w:w="414" w:type="pct"/>
                  <w:shd w:val="clear" w:color="auto" w:fill="FFFFFF"/>
                  <w:noWrap w:val="0"/>
                  <w:vAlign w:val="center"/>
                </w:tcPr>
                <w:p w14:paraId="0287094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运营期</w:t>
                  </w:r>
                </w:p>
              </w:tc>
              <w:tc>
                <w:tcPr>
                  <w:tcW w:w="3743" w:type="pct"/>
                  <w:shd w:val="clear" w:color="auto" w:fill="FFFFFF"/>
                  <w:noWrap w:val="0"/>
                  <w:vAlign w:val="center"/>
                </w:tcPr>
                <w:p w14:paraId="3293F48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运营期无固废产生</w:t>
                  </w:r>
                  <w:r>
                    <w:rPr>
                      <w:rFonts w:hint="eastAsia" w:cs="Times New Roman"/>
                      <w:sz w:val="21"/>
                      <w:szCs w:val="21"/>
                      <w:highlight w:val="none"/>
                      <w:lang w:val="en-US" w:eastAsia="zh-CN"/>
                    </w:rPr>
                    <w:t>。</w:t>
                  </w:r>
                </w:p>
              </w:tc>
              <w:tc>
                <w:tcPr>
                  <w:tcW w:w="447" w:type="pct"/>
                  <w:vMerge w:val="continue"/>
                  <w:tcBorders>
                    <w:right w:val="nil"/>
                  </w:tcBorders>
                  <w:shd w:val="clear" w:color="auto" w:fill="FFFFFF"/>
                  <w:noWrap w:val="0"/>
                  <w:vAlign w:val="center"/>
                </w:tcPr>
                <w:p w14:paraId="50E50E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p>
              </w:tc>
            </w:tr>
            <w:tr w14:paraId="6740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08" w:type="pct"/>
                  <w:gridSpan w:val="3"/>
                  <w:tcBorders>
                    <w:left w:val="nil"/>
                    <w:bottom w:val="single" w:color="000000" w:sz="12" w:space="0"/>
                  </w:tcBorders>
                  <w:shd w:val="clear" w:color="auto" w:fill="FFFFFF"/>
                  <w:noWrap w:val="0"/>
                  <w:vAlign w:val="center"/>
                </w:tcPr>
                <w:p w14:paraId="7AC104D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生态</w:t>
                  </w:r>
                </w:p>
              </w:tc>
              <w:tc>
                <w:tcPr>
                  <w:tcW w:w="3743" w:type="pct"/>
                  <w:tcBorders>
                    <w:bottom w:val="single" w:color="000000" w:sz="12" w:space="0"/>
                  </w:tcBorders>
                  <w:shd w:val="clear" w:color="auto" w:fill="FFFFFF"/>
                  <w:noWrap w:val="0"/>
                  <w:vAlign w:val="center"/>
                </w:tcPr>
                <w:p w14:paraId="7B1A03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施工期确定施工活动范围、尽量减小临时占地、对于破坏的采取减缓、恢复、补偿措施；施工结束及时对临时占地进行生态恢复措施。</w:t>
                  </w:r>
                </w:p>
              </w:tc>
              <w:tc>
                <w:tcPr>
                  <w:tcW w:w="447" w:type="pct"/>
                  <w:tcBorders>
                    <w:bottom w:val="single" w:color="000000" w:sz="12" w:space="0"/>
                    <w:right w:val="nil"/>
                  </w:tcBorders>
                  <w:shd w:val="clear" w:color="auto" w:fill="FFFFFF"/>
                  <w:noWrap w:val="0"/>
                  <w:vAlign w:val="center"/>
                </w:tcPr>
                <w:p w14:paraId="5D788C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w:t>
                  </w:r>
                </w:p>
              </w:tc>
            </w:tr>
          </w:tbl>
          <w:p w14:paraId="68216F32">
            <w:pPr>
              <w:bidi w:val="0"/>
              <w:ind w:left="0" w:leftChars="0" w:firstLine="0" w:firstLineChars="0"/>
              <w:rPr>
                <w:rFonts w:hint="default"/>
                <w:b/>
                <w:bCs/>
                <w:highlight w:val="none"/>
                <w:lang w:val="en-US" w:eastAsia="zh-CN"/>
              </w:rPr>
            </w:pPr>
            <w:r>
              <w:rPr>
                <w:rFonts w:hint="eastAsia"/>
                <w:b/>
                <w:bCs/>
                <w:highlight w:val="none"/>
                <w:lang w:val="en-US" w:eastAsia="zh-CN"/>
              </w:rPr>
              <w:t>2.3分项工程布局及建设规模</w:t>
            </w:r>
          </w:p>
          <w:p w14:paraId="2B084FA2">
            <w:pPr>
              <w:keepNext w:val="0"/>
              <w:keepLines w:val="0"/>
              <w:pageBreakBefore w:val="0"/>
              <w:widowControl w:val="0"/>
              <w:kinsoku/>
              <w:wordWrap/>
              <w:overflowPunct/>
              <w:topLinePunct w:val="0"/>
              <w:autoSpaceDE/>
              <w:autoSpaceDN/>
              <w:bidi w:val="0"/>
              <w:adjustRightInd/>
              <w:snapToGrid/>
              <w:spacing w:line="360" w:lineRule="auto"/>
              <w:ind w:left="0" w:right="0" w:firstLine="491"/>
              <w:textAlignment w:val="auto"/>
              <w:rPr>
                <w:rFonts w:ascii="宋体" w:hAnsi="宋体" w:eastAsia="宋体" w:cs="宋体"/>
                <w:sz w:val="24"/>
                <w:szCs w:val="24"/>
              </w:rPr>
            </w:pPr>
            <w:bookmarkStart w:id="5" w:name="OLE_LINK11"/>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）阴沟治理：清淤疏浚排水沟</w:t>
            </w:r>
            <w:r>
              <w:rPr>
                <w:rFonts w:ascii="Times New Roman" w:hAnsi="Times New Roman" w:eastAsia="Times New Roman" w:cs="Times New Roman"/>
                <w:spacing w:val="-1"/>
                <w:sz w:val="24"/>
                <w:szCs w:val="24"/>
              </w:rPr>
              <w:t>3.2km</w:t>
            </w:r>
            <w:r>
              <w:rPr>
                <w:rFonts w:ascii="宋体" w:hAnsi="宋体" w:eastAsia="宋体" w:cs="宋体"/>
                <w:spacing w:val="-1"/>
                <w:sz w:val="24"/>
                <w:szCs w:val="24"/>
              </w:rPr>
              <w:t>（其中</w:t>
            </w:r>
            <w:r>
              <w:rPr>
                <w:rFonts w:ascii="Times New Roman" w:hAnsi="Times New Roman" w:eastAsia="Times New Roman" w:cs="Times New Roman"/>
                <w:spacing w:val="-1"/>
                <w:sz w:val="24"/>
                <w:szCs w:val="24"/>
              </w:rPr>
              <w:t>4</w:t>
            </w:r>
            <w:r>
              <w:rPr>
                <w:rFonts w:ascii="Times New Roman" w:hAnsi="Times New Roman" w:eastAsia="Times New Roman" w:cs="Times New Roman"/>
                <w:spacing w:val="-2"/>
                <w:sz w:val="24"/>
                <w:szCs w:val="24"/>
              </w:rPr>
              <w:t>95m</w:t>
            </w:r>
            <w:r>
              <w:rPr>
                <w:rFonts w:ascii="宋体" w:hAnsi="宋体" w:eastAsia="宋体" w:cs="宋体"/>
                <w:spacing w:val="-2"/>
                <w:sz w:val="24"/>
                <w:szCs w:val="24"/>
              </w:rPr>
              <w:t>只进行清淤疏浚，不设</w:t>
            </w:r>
            <w:r>
              <w:rPr>
                <w:rFonts w:ascii="宋体" w:hAnsi="宋体" w:eastAsia="宋体" w:cs="宋体"/>
                <w:spacing w:val="1"/>
                <w:sz w:val="24"/>
                <w:szCs w:val="24"/>
              </w:rPr>
              <w:t>计生态护坡措施</w:t>
            </w:r>
            <w:r>
              <w:rPr>
                <w:rFonts w:ascii="宋体" w:hAnsi="宋体" w:eastAsia="宋体" w:cs="宋体"/>
                <w:spacing w:val="22"/>
                <w:sz w:val="24"/>
                <w:szCs w:val="24"/>
              </w:rPr>
              <w:t>），</w:t>
            </w:r>
            <w:r>
              <w:rPr>
                <w:rFonts w:ascii="宋体" w:hAnsi="宋体" w:eastAsia="宋体" w:cs="宋体"/>
                <w:spacing w:val="1"/>
                <w:sz w:val="24"/>
                <w:szCs w:val="24"/>
              </w:rPr>
              <w:t>埋设各类管道</w:t>
            </w:r>
            <w:r>
              <w:rPr>
                <w:rFonts w:ascii="Times New Roman" w:hAnsi="Times New Roman" w:eastAsia="Times New Roman" w:cs="Times New Roman"/>
                <w:spacing w:val="1"/>
                <w:sz w:val="24"/>
                <w:szCs w:val="24"/>
              </w:rPr>
              <w:t>11.78</w:t>
            </w:r>
            <w:r>
              <w:rPr>
                <w:rFonts w:ascii="Times New Roman" w:hAnsi="Times New Roman" w:eastAsia="Times New Roman" w:cs="Times New Roman"/>
                <w:sz w:val="24"/>
                <w:szCs w:val="24"/>
              </w:rPr>
              <w:t>km</w:t>
            </w:r>
            <w:r>
              <w:rPr>
                <w:rFonts w:ascii="宋体" w:hAnsi="宋体" w:eastAsia="宋体" w:cs="宋体"/>
                <w:spacing w:val="1"/>
                <w:sz w:val="24"/>
                <w:szCs w:val="24"/>
              </w:rPr>
              <w:t>，栽植灌木花卉</w:t>
            </w:r>
            <w:r>
              <w:rPr>
                <w:rFonts w:ascii="Times New Roman" w:hAnsi="Times New Roman" w:eastAsia="Times New Roman" w:cs="Times New Roman"/>
                <w:spacing w:val="1"/>
                <w:sz w:val="24"/>
                <w:szCs w:val="24"/>
              </w:rPr>
              <w:t>90</w:t>
            </w:r>
            <w:r>
              <w:rPr>
                <w:rFonts w:ascii="宋体" w:hAnsi="宋体" w:eastAsia="宋体" w:cs="宋体"/>
                <w:spacing w:val="1"/>
                <w:sz w:val="24"/>
                <w:szCs w:val="24"/>
              </w:rPr>
              <w:t>株（栽植金叶榆（金</w:t>
            </w:r>
            <w:r>
              <w:rPr>
                <w:rFonts w:ascii="宋体" w:hAnsi="宋体" w:eastAsia="宋体" w:cs="宋体"/>
                <w:sz w:val="24"/>
                <w:szCs w:val="24"/>
              </w:rPr>
              <w:t>叶榆球，冠幅</w:t>
            </w:r>
            <w:r>
              <w:rPr>
                <w:rFonts w:ascii="Times New Roman" w:hAnsi="Times New Roman" w:eastAsia="Times New Roman" w:cs="Times New Roman"/>
                <w:sz w:val="24"/>
                <w:szCs w:val="24"/>
              </w:rPr>
              <w:t>≥100cm</w:t>
            </w:r>
            <w:r>
              <w:rPr>
                <w:rFonts w:ascii="宋体" w:hAnsi="宋体" w:eastAsia="宋体" w:cs="宋体"/>
                <w:sz w:val="24"/>
                <w:szCs w:val="24"/>
              </w:rPr>
              <w:t>，地径</w:t>
            </w:r>
            <w:r>
              <w:rPr>
                <w:rFonts w:ascii="Times New Roman" w:hAnsi="Times New Roman" w:eastAsia="Times New Roman" w:cs="Times New Roman"/>
                <w:sz w:val="24"/>
                <w:szCs w:val="24"/>
              </w:rPr>
              <w:t>3cm</w:t>
            </w:r>
            <w:r>
              <w:rPr>
                <w:rFonts w:ascii="宋体" w:hAnsi="宋体" w:eastAsia="宋体" w:cs="宋体"/>
                <w:sz w:val="24"/>
                <w:szCs w:val="24"/>
              </w:rPr>
              <w:t>，土球</w:t>
            </w:r>
            <w:r>
              <w:rPr>
                <w:rFonts w:ascii="Times New Roman" w:hAnsi="Times New Roman" w:eastAsia="Times New Roman" w:cs="Times New Roman"/>
                <w:sz w:val="24"/>
                <w:szCs w:val="24"/>
              </w:rPr>
              <w:t>≥40cm</w:t>
            </w:r>
            <w:r>
              <w:rPr>
                <w:rFonts w:ascii="宋体" w:hAnsi="宋体" w:eastAsia="宋体" w:cs="宋体"/>
                <w:sz w:val="24"/>
                <w:szCs w:val="24"/>
              </w:rPr>
              <w:t>）</w:t>
            </w:r>
            <w:r>
              <w:rPr>
                <w:rFonts w:ascii="Times New Roman" w:hAnsi="Times New Roman" w:eastAsia="Times New Roman" w:cs="Times New Roman"/>
                <w:sz w:val="24"/>
                <w:szCs w:val="24"/>
              </w:rPr>
              <w:t>30</w:t>
            </w:r>
            <w:r>
              <w:rPr>
                <w:rFonts w:ascii="宋体" w:hAnsi="宋体" w:eastAsia="宋体" w:cs="宋体"/>
                <w:sz w:val="24"/>
                <w:szCs w:val="24"/>
              </w:rPr>
              <w:t>株，</w:t>
            </w:r>
            <w:r>
              <w:rPr>
                <w:rFonts w:ascii="宋体" w:hAnsi="宋体" w:eastAsia="宋体" w:cs="宋体"/>
                <w:spacing w:val="-1"/>
                <w:sz w:val="24"/>
                <w:szCs w:val="24"/>
              </w:rPr>
              <w:t>丁香（丁香球，冠幅</w:t>
            </w:r>
            <w:r>
              <w:rPr>
                <w:rFonts w:ascii="Times New Roman" w:hAnsi="Times New Roman" w:eastAsia="Times New Roman" w:cs="Times New Roman"/>
                <w:spacing w:val="-1"/>
                <w:sz w:val="24"/>
                <w:szCs w:val="24"/>
              </w:rPr>
              <w:t>≥100cm,</w:t>
            </w:r>
            <w:r>
              <w:rPr>
                <w:rFonts w:ascii="宋体" w:hAnsi="宋体" w:eastAsia="宋体" w:cs="宋体"/>
                <w:spacing w:val="-2"/>
                <w:sz w:val="24"/>
                <w:szCs w:val="24"/>
              </w:rPr>
              <w:t>分支</w:t>
            </w:r>
            <w:r>
              <w:rPr>
                <w:rFonts w:ascii="Times New Roman" w:hAnsi="Times New Roman" w:eastAsia="Times New Roman" w:cs="Times New Roman"/>
                <w:spacing w:val="-2"/>
                <w:sz w:val="24"/>
                <w:szCs w:val="24"/>
              </w:rPr>
              <w:t>10</w:t>
            </w:r>
            <w:r>
              <w:rPr>
                <w:rFonts w:ascii="宋体" w:hAnsi="宋体" w:eastAsia="宋体" w:cs="宋体"/>
                <w:spacing w:val="-2"/>
                <w:sz w:val="24"/>
                <w:szCs w:val="24"/>
              </w:rPr>
              <w:t>个以上，土球</w:t>
            </w:r>
            <w:r>
              <w:rPr>
                <w:rFonts w:ascii="Times New Roman" w:hAnsi="Times New Roman" w:eastAsia="Times New Roman" w:cs="Times New Roman"/>
                <w:spacing w:val="-2"/>
                <w:sz w:val="24"/>
                <w:szCs w:val="24"/>
              </w:rPr>
              <w:t>≥40cm</w:t>
            </w:r>
            <w:r>
              <w:rPr>
                <w:rFonts w:ascii="宋体" w:hAnsi="宋体" w:eastAsia="宋体" w:cs="宋体"/>
                <w:spacing w:val="-2"/>
                <w:sz w:val="24"/>
                <w:szCs w:val="24"/>
              </w:rPr>
              <w:t>）</w:t>
            </w:r>
            <w:r>
              <w:rPr>
                <w:rFonts w:ascii="Times New Roman" w:hAnsi="Times New Roman" w:eastAsia="Times New Roman" w:cs="Times New Roman"/>
                <w:spacing w:val="-2"/>
                <w:sz w:val="24"/>
                <w:szCs w:val="24"/>
              </w:rPr>
              <w:t>30</w:t>
            </w:r>
            <w:r>
              <w:rPr>
                <w:rFonts w:ascii="宋体" w:hAnsi="宋体" w:eastAsia="宋体" w:cs="宋体"/>
                <w:spacing w:val="-2"/>
                <w:sz w:val="24"/>
                <w:szCs w:val="24"/>
              </w:rPr>
              <w:t>株，榆叶梅</w:t>
            </w:r>
            <w:r>
              <w:rPr>
                <w:rFonts w:ascii="Times New Roman" w:hAnsi="Times New Roman" w:eastAsia="Times New Roman" w:cs="Times New Roman"/>
                <w:spacing w:val="-2"/>
                <w:sz w:val="24"/>
                <w:szCs w:val="24"/>
              </w:rPr>
              <w:t>(</w:t>
            </w:r>
            <w:r>
              <w:rPr>
                <w:rFonts w:ascii="宋体" w:hAnsi="宋体" w:eastAsia="宋体" w:cs="宋体"/>
                <w:spacing w:val="-2"/>
                <w:sz w:val="24"/>
                <w:szCs w:val="24"/>
              </w:rPr>
              <w:t>榆叶梅球，冠幅≥</w:t>
            </w:r>
            <w:r>
              <w:rPr>
                <w:rFonts w:ascii="Times New Roman" w:hAnsi="Times New Roman" w:eastAsia="Times New Roman" w:cs="Times New Roman"/>
                <w:spacing w:val="-2"/>
                <w:sz w:val="24"/>
                <w:szCs w:val="24"/>
              </w:rPr>
              <w:t>120cm</w:t>
            </w:r>
            <w:r>
              <w:rPr>
                <w:rFonts w:ascii="宋体" w:hAnsi="宋体" w:eastAsia="宋体" w:cs="宋体"/>
                <w:spacing w:val="-2"/>
                <w:sz w:val="24"/>
                <w:szCs w:val="24"/>
              </w:rPr>
              <w:t>，分支</w:t>
            </w:r>
            <w:r>
              <w:rPr>
                <w:rFonts w:ascii="Times New Roman" w:hAnsi="Times New Roman" w:eastAsia="Times New Roman" w:cs="Times New Roman"/>
                <w:spacing w:val="-2"/>
                <w:sz w:val="24"/>
                <w:szCs w:val="24"/>
              </w:rPr>
              <w:t>10</w:t>
            </w:r>
            <w:r>
              <w:rPr>
                <w:rFonts w:ascii="宋体" w:hAnsi="宋体" w:eastAsia="宋体" w:cs="宋体"/>
                <w:spacing w:val="-2"/>
                <w:sz w:val="24"/>
                <w:szCs w:val="24"/>
              </w:rPr>
              <w:t>个以</w:t>
            </w:r>
            <w:r>
              <w:rPr>
                <w:rFonts w:ascii="宋体" w:hAnsi="宋体" w:eastAsia="宋体" w:cs="宋体"/>
                <w:sz w:val="24"/>
                <w:szCs w:val="24"/>
              </w:rPr>
              <w:t>上，土球≥</w:t>
            </w:r>
            <w:r>
              <w:rPr>
                <w:rFonts w:ascii="Times New Roman" w:hAnsi="Times New Roman" w:eastAsia="Times New Roman" w:cs="Times New Roman"/>
                <w:sz w:val="24"/>
                <w:szCs w:val="24"/>
              </w:rPr>
              <w:t>45cm)30</w:t>
            </w:r>
            <w:r>
              <w:rPr>
                <w:rFonts w:ascii="宋体" w:hAnsi="宋体" w:eastAsia="宋体" w:cs="宋体"/>
                <w:sz w:val="24"/>
                <w:szCs w:val="24"/>
              </w:rPr>
              <w:t>株，点缀水生植物</w:t>
            </w:r>
            <w:r>
              <w:rPr>
                <w:rFonts w:ascii="Times New Roman" w:hAnsi="Times New Roman" w:eastAsia="Times New Roman" w:cs="Times New Roman"/>
                <w:sz w:val="24"/>
                <w:szCs w:val="24"/>
              </w:rPr>
              <w:t>3520</w:t>
            </w:r>
            <w:r>
              <w:rPr>
                <w:rFonts w:ascii="宋体" w:hAnsi="宋体" w:eastAsia="宋体" w:cs="宋体"/>
                <w:spacing w:val="-1"/>
                <w:sz w:val="24"/>
                <w:szCs w:val="24"/>
              </w:rPr>
              <w:t>株，撒播草种</w:t>
            </w:r>
            <w:r>
              <w:rPr>
                <w:rFonts w:ascii="Times New Roman" w:hAnsi="Times New Roman" w:eastAsia="Times New Roman" w:cs="Times New Roman"/>
                <w:spacing w:val="-1"/>
                <w:sz w:val="24"/>
                <w:szCs w:val="24"/>
              </w:rPr>
              <w:t>0.40hm</w:t>
            </w:r>
            <w:r>
              <w:rPr>
                <w:rFonts w:ascii="Times New Roman" w:hAnsi="Times New Roman" w:eastAsia="Times New Roman" w:cs="Times New Roman"/>
                <w:spacing w:val="-1"/>
                <w:position w:val="7"/>
                <w:sz w:val="15"/>
                <w:szCs w:val="15"/>
              </w:rPr>
              <w:t>2</w:t>
            </w:r>
            <w:r>
              <w:rPr>
                <w:rFonts w:ascii="宋体" w:hAnsi="宋体" w:eastAsia="宋体" w:cs="宋体"/>
                <w:spacing w:val="-1"/>
                <w:sz w:val="24"/>
                <w:szCs w:val="24"/>
              </w:rPr>
              <w:t>。清理的土料原则</w:t>
            </w:r>
            <w:r>
              <w:rPr>
                <w:rFonts w:ascii="宋体" w:hAnsi="宋体" w:eastAsia="宋体" w:cs="宋体"/>
                <w:sz w:val="24"/>
                <w:szCs w:val="24"/>
              </w:rPr>
              <w:t>上就地用于岸坡回填</w:t>
            </w:r>
            <w:r>
              <w:rPr>
                <w:rFonts w:ascii="宋体" w:hAnsi="宋体" w:eastAsia="宋体" w:cs="宋体"/>
                <w:spacing w:val="1"/>
                <w:sz w:val="24"/>
                <w:szCs w:val="24"/>
              </w:rPr>
              <w:t>；对岸坡进行修整，两侧坡比为</w:t>
            </w:r>
            <w:r>
              <w:rPr>
                <w:rFonts w:ascii="Times New Roman" w:hAnsi="Times New Roman" w:eastAsia="Times New Roman" w:cs="Times New Roman"/>
                <w:spacing w:val="1"/>
                <w:sz w:val="24"/>
                <w:szCs w:val="24"/>
              </w:rPr>
              <w:t>1:1.5-1:3</w:t>
            </w:r>
            <w:r>
              <w:rPr>
                <w:rFonts w:ascii="宋体" w:hAnsi="宋体" w:eastAsia="宋体" w:cs="宋体"/>
                <w:spacing w:val="1"/>
                <w:sz w:val="24"/>
                <w:szCs w:val="24"/>
              </w:rPr>
              <w:t>，沟道开挖平均深度为</w:t>
            </w:r>
            <w:r>
              <w:rPr>
                <w:rFonts w:ascii="Times New Roman" w:hAnsi="Times New Roman" w:eastAsia="Times New Roman" w:cs="Times New Roman"/>
                <w:spacing w:val="1"/>
                <w:sz w:val="24"/>
                <w:szCs w:val="24"/>
              </w:rPr>
              <w:t>0.3m</w:t>
            </w:r>
            <w:r>
              <w:rPr>
                <w:rFonts w:ascii="宋体" w:hAnsi="宋体" w:eastAsia="宋体" w:cs="宋体"/>
                <w:spacing w:val="1"/>
                <w:sz w:val="24"/>
                <w:szCs w:val="24"/>
              </w:rPr>
              <w:t>，清淤</w:t>
            </w:r>
            <w:r>
              <w:rPr>
                <w:rFonts w:ascii="宋体" w:hAnsi="宋体" w:eastAsia="宋体" w:cs="宋体"/>
                <w:spacing w:val="4"/>
                <w:sz w:val="24"/>
                <w:szCs w:val="24"/>
              </w:rPr>
              <w:t>后对沟底部铺设</w:t>
            </w:r>
            <w:r>
              <w:rPr>
                <w:rFonts w:ascii="Times New Roman" w:hAnsi="Times New Roman" w:eastAsia="Times New Roman" w:cs="Times New Roman"/>
                <w:spacing w:val="4"/>
                <w:sz w:val="24"/>
                <w:szCs w:val="24"/>
              </w:rPr>
              <w:t>30</w:t>
            </w:r>
            <w:r>
              <w:rPr>
                <w:rFonts w:ascii="Times New Roman" w:hAnsi="Times New Roman" w:eastAsia="Times New Roman" w:cs="Times New Roman"/>
                <w:sz w:val="24"/>
                <w:szCs w:val="24"/>
              </w:rPr>
              <w:t>cm</w:t>
            </w:r>
            <w:r>
              <w:rPr>
                <w:rFonts w:ascii="宋体" w:hAnsi="宋体" w:eastAsia="宋体" w:cs="宋体"/>
                <w:spacing w:val="4"/>
                <w:sz w:val="24"/>
                <w:szCs w:val="24"/>
              </w:rPr>
              <w:t>厚砂砾石垫层。沟底两侧采用木桩</w:t>
            </w:r>
            <w:r>
              <w:rPr>
                <w:rFonts w:ascii="Times New Roman" w:hAnsi="Times New Roman" w:eastAsia="Times New Roman" w:cs="Times New Roman"/>
                <w:spacing w:val="4"/>
                <w:sz w:val="24"/>
                <w:szCs w:val="24"/>
              </w:rPr>
              <w:t>+</w:t>
            </w:r>
            <w:r>
              <w:rPr>
                <w:rFonts w:ascii="宋体" w:hAnsi="宋体" w:eastAsia="宋体" w:cs="宋体"/>
                <w:spacing w:val="4"/>
                <w:sz w:val="24"/>
                <w:szCs w:val="24"/>
              </w:rPr>
              <w:t>生态袋进行防护，坡脚采</w:t>
            </w:r>
            <w:r>
              <w:rPr>
                <w:rFonts w:ascii="宋体" w:hAnsi="宋体" w:eastAsia="宋体" w:cs="宋体"/>
                <w:spacing w:val="1"/>
                <w:sz w:val="24"/>
                <w:szCs w:val="24"/>
              </w:rPr>
              <w:t>用木桩护砌，木桩选择梢径大于</w:t>
            </w:r>
            <w:r>
              <w:rPr>
                <w:rFonts w:ascii="Times New Roman" w:hAnsi="Times New Roman" w:eastAsia="Times New Roman" w:cs="Times New Roman"/>
                <w:spacing w:val="1"/>
                <w:sz w:val="24"/>
                <w:szCs w:val="24"/>
              </w:rPr>
              <w:t>100</w:t>
            </w:r>
            <w:r>
              <w:rPr>
                <w:rFonts w:ascii="Times New Roman" w:hAnsi="Times New Roman" w:eastAsia="Times New Roman" w:cs="Times New Roman"/>
                <w:sz w:val="24"/>
                <w:szCs w:val="24"/>
              </w:rPr>
              <w:t>mm</w:t>
            </w:r>
            <w:r>
              <w:rPr>
                <w:rFonts w:ascii="宋体" w:hAnsi="宋体" w:eastAsia="宋体" w:cs="宋体"/>
                <w:spacing w:val="1"/>
                <w:sz w:val="24"/>
                <w:szCs w:val="24"/>
              </w:rPr>
              <w:t>的松木桩，</w:t>
            </w:r>
            <w:r>
              <w:rPr>
                <w:rFonts w:ascii="宋体" w:hAnsi="宋体" w:eastAsia="宋体" w:cs="宋体"/>
                <w:sz w:val="24"/>
                <w:szCs w:val="24"/>
              </w:rPr>
              <w:t>地下埋深</w:t>
            </w:r>
            <w:r>
              <w:rPr>
                <w:rFonts w:ascii="Times New Roman" w:hAnsi="Times New Roman" w:eastAsia="Times New Roman" w:cs="Times New Roman"/>
                <w:sz w:val="24"/>
                <w:szCs w:val="24"/>
              </w:rPr>
              <w:t>1.2m</w:t>
            </w:r>
            <w:r>
              <w:rPr>
                <w:rFonts w:ascii="宋体" w:hAnsi="宋体" w:eastAsia="宋体" w:cs="宋体"/>
                <w:sz w:val="24"/>
                <w:szCs w:val="24"/>
              </w:rPr>
              <w:t>，地上</w:t>
            </w:r>
            <w:r>
              <w:rPr>
                <w:rFonts w:ascii="Times New Roman" w:hAnsi="Times New Roman" w:eastAsia="Times New Roman" w:cs="Times New Roman"/>
                <w:sz w:val="24"/>
                <w:szCs w:val="24"/>
              </w:rPr>
              <w:t>0.3m</w:t>
            </w:r>
            <w:r>
              <w:rPr>
                <w:rFonts w:ascii="宋体" w:hAnsi="宋体" w:eastAsia="宋体" w:cs="宋体"/>
                <w:sz w:val="24"/>
                <w:szCs w:val="24"/>
              </w:rPr>
              <w:t>，松木桩中心间隔</w:t>
            </w:r>
            <w:r>
              <w:rPr>
                <w:rFonts w:ascii="Times New Roman" w:hAnsi="Times New Roman" w:eastAsia="Times New Roman" w:cs="Times New Roman"/>
                <w:sz w:val="24"/>
                <w:szCs w:val="24"/>
              </w:rPr>
              <w:t>0.25m</w:t>
            </w:r>
            <w:r>
              <w:rPr>
                <w:rFonts w:ascii="宋体" w:hAnsi="宋体" w:eastAsia="宋体" w:cs="宋体"/>
                <w:sz w:val="24"/>
                <w:szCs w:val="24"/>
              </w:rPr>
              <w:t>，高</w:t>
            </w:r>
            <w:r>
              <w:rPr>
                <w:rFonts w:ascii="Times New Roman" w:hAnsi="Times New Roman" w:eastAsia="Times New Roman" w:cs="Times New Roman"/>
                <w:sz w:val="24"/>
                <w:szCs w:val="24"/>
              </w:rPr>
              <w:t>1.5m</w:t>
            </w:r>
            <w:r>
              <w:rPr>
                <w:rFonts w:ascii="宋体" w:hAnsi="宋体" w:eastAsia="宋体" w:cs="宋体"/>
                <w:sz w:val="24"/>
                <w:szCs w:val="24"/>
              </w:rPr>
              <w:t>，木桩后布设土工格栅，土工格栅高</w:t>
            </w:r>
            <w:r>
              <w:rPr>
                <w:rFonts w:ascii="Times New Roman" w:hAnsi="Times New Roman" w:eastAsia="Times New Roman" w:cs="Times New Roman"/>
                <w:sz w:val="24"/>
                <w:szCs w:val="24"/>
              </w:rPr>
              <w:t>0.5m</w:t>
            </w:r>
            <w:r>
              <w:rPr>
                <w:rFonts w:ascii="宋体" w:hAnsi="宋体" w:eastAsia="宋体" w:cs="宋体"/>
                <w:sz w:val="24"/>
                <w:szCs w:val="24"/>
              </w:rPr>
              <w:t>，土工</w:t>
            </w:r>
            <w:r>
              <w:rPr>
                <w:rFonts w:ascii="宋体" w:hAnsi="宋体" w:eastAsia="宋体" w:cs="宋体"/>
                <w:spacing w:val="-1"/>
                <w:sz w:val="24"/>
                <w:szCs w:val="24"/>
              </w:rPr>
              <w:t>格栅</w:t>
            </w:r>
            <w:r>
              <w:rPr>
                <w:rFonts w:ascii="宋体" w:hAnsi="宋体" w:eastAsia="宋体" w:cs="宋体"/>
                <w:spacing w:val="-2"/>
                <w:sz w:val="24"/>
                <w:szCs w:val="24"/>
              </w:rPr>
              <w:t>背后堆置生态袋，生态袋选用规格长</w:t>
            </w:r>
            <w:r>
              <w:rPr>
                <w:rFonts w:ascii="Times New Roman" w:hAnsi="Times New Roman" w:eastAsia="Times New Roman" w:cs="Times New Roman"/>
                <w:spacing w:val="-2"/>
                <w:sz w:val="24"/>
                <w:szCs w:val="24"/>
              </w:rPr>
              <w:t>40cm</w:t>
            </w:r>
            <w:r>
              <w:rPr>
                <w:rFonts w:ascii="宋体" w:hAnsi="宋体" w:eastAsia="宋体" w:cs="宋体"/>
                <w:spacing w:val="-2"/>
                <w:sz w:val="24"/>
                <w:szCs w:val="24"/>
              </w:rPr>
              <w:t>，宽</w:t>
            </w:r>
            <w:r>
              <w:rPr>
                <w:rFonts w:ascii="Times New Roman" w:hAnsi="Times New Roman" w:eastAsia="Times New Roman" w:cs="Times New Roman"/>
                <w:spacing w:val="-2"/>
                <w:sz w:val="24"/>
                <w:szCs w:val="24"/>
              </w:rPr>
              <w:t>30cm</w:t>
            </w:r>
            <w:r>
              <w:rPr>
                <w:rFonts w:ascii="宋体" w:hAnsi="宋体" w:eastAsia="宋体" w:cs="宋体"/>
                <w:spacing w:val="-2"/>
                <w:sz w:val="24"/>
                <w:szCs w:val="24"/>
              </w:rPr>
              <w:t>，厚</w:t>
            </w:r>
            <w:r>
              <w:rPr>
                <w:rFonts w:ascii="Times New Roman" w:hAnsi="Times New Roman" w:eastAsia="Times New Roman" w:cs="Times New Roman"/>
                <w:spacing w:val="-2"/>
                <w:sz w:val="24"/>
                <w:szCs w:val="24"/>
              </w:rPr>
              <w:t>15cm</w:t>
            </w:r>
            <w:r>
              <w:rPr>
                <w:rFonts w:ascii="宋体" w:hAnsi="宋体" w:eastAsia="宋体" w:cs="宋体"/>
                <w:spacing w:val="-2"/>
                <w:sz w:val="24"/>
                <w:szCs w:val="24"/>
              </w:rPr>
              <w:t>，袋内混有改良土</w:t>
            </w:r>
            <w:r>
              <w:rPr>
                <w:rFonts w:ascii="Times New Roman" w:hAnsi="Times New Roman" w:eastAsia="Times New Roman" w:cs="Times New Roman"/>
                <w:spacing w:val="-2"/>
                <w:sz w:val="24"/>
                <w:szCs w:val="24"/>
              </w:rPr>
              <w:t>(</w:t>
            </w:r>
            <w:r>
              <w:rPr>
                <w:rFonts w:ascii="宋体" w:hAnsi="宋体" w:eastAsia="宋体" w:cs="宋体"/>
                <w:spacing w:val="-2"/>
                <w:sz w:val="24"/>
                <w:szCs w:val="24"/>
              </w:rPr>
              <w:t>黄</w:t>
            </w:r>
            <w:r>
              <w:rPr>
                <w:rFonts w:ascii="宋体" w:hAnsi="宋体" w:eastAsia="宋体" w:cs="宋体"/>
                <w:spacing w:val="1"/>
                <w:sz w:val="24"/>
                <w:szCs w:val="24"/>
              </w:rPr>
              <w:t>沙</w:t>
            </w:r>
            <w:r>
              <w:rPr>
                <w:rFonts w:ascii="Times New Roman" w:hAnsi="Times New Roman" w:eastAsia="Times New Roman" w:cs="Times New Roman"/>
                <w:spacing w:val="1"/>
                <w:sz w:val="24"/>
                <w:szCs w:val="24"/>
              </w:rPr>
              <w:t>+</w:t>
            </w:r>
            <w:r>
              <w:rPr>
                <w:rFonts w:ascii="宋体" w:hAnsi="宋体" w:eastAsia="宋体" w:cs="宋体"/>
                <w:spacing w:val="1"/>
                <w:sz w:val="24"/>
                <w:szCs w:val="24"/>
              </w:rPr>
              <w:t>有机肥</w:t>
            </w:r>
            <w:r>
              <w:rPr>
                <w:rFonts w:ascii="Times New Roman" w:hAnsi="Times New Roman" w:eastAsia="Times New Roman" w:cs="Times New Roman"/>
                <w:spacing w:val="1"/>
                <w:sz w:val="24"/>
                <w:szCs w:val="24"/>
              </w:rPr>
              <w:t>+</w:t>
            </w:r>
            <w:r>
              <w:rPr>
                <w:rFonts w:ascii="宋体" w:hAnsi="宋体" w:eastAsia="宋体" w:cs="宋体"/>
                <w:spacing w:val="1"/>
                <w:sz w:val="24"/>
                <w:szCs w:val="24"/>
              </w:rPr>
              <w:t>土</w:t>
            </w:r>
            <w:r>
              <w:rPr>
                <w:rFonts w:ascii="Times New Roman" w:hAnsi="Times New Roman" w:eastAsia="Times New Roman" w:cs="Times New Roman"/>
                <w:spacing w:val="1"/>
                <w:sz w:val="24"/>
                <w:szCs w:val="24"/>
              </w:rPr>
              <w:t>)+</w:t>
            </w:r>
            <w:r>
              <w:rPr>
                <w:rFonts w:ascii="宋体" w:hAnsi="宋体" w:eastAsia="宋体" w:cs="宋体"/>
                <w:spacing w:val="1"/>
                <w:sz w:val="24"/>
                <w:szCs w:val="24"/>
              </w:rPr>
              <w:t>草籽</w:t>
            </w:r>
            <w:r>
              <w:rPr>
                <w:rFonts w:ascii="Times New Roman" w:hAnsi="Times New Roman" w:eastAsia="Times New Roman" w:cs="Times New Roman"/>
                <w:spacing w:val="1"/>
                <w:sz w:val="24"/>
                <w:szCs w:val="24"/>
              </w:rPr>
              <w:t>(</w:t>
            </w:r>
            <w:r>
              <w:rPr>
                <w:rFonts w:ascii="宋体" w:hAnsi="宋体" w:eastAsia="宋体" w:cs="宋体"/>
                <w:spacing w:val="1"/>
                <w:sz w:val="24"/>
                <w:szCs w:val="24"/>
              </w:rPr>
              <w:t>披碱草、早熟禾</w:t>
            </w:r>
            <w:r>
              <w:rPr>
                <w:rFonts w:ascii="Times New Roman" w:hAnsi="Times New Roman" w:eastAsia="Times New Roman" w:cs="Times New Roman"/>
                <w:spacing w:val="1"/>
                <w:sz w:val="24"/>
                <w:szCs w:val="24"/>
              </w:rPr>
              <w:t>)</w:t>
            </w:r>
            <w:r>
              <w:rPr>
                <w:rFonts w:ascii="宋体" w:hAnsi="宋体" w:eastAsia="宋体" w:cs="宋体"/>
                <w:spacing w:val="1"/>
                <w:sz w:val="24"/>
                <w:szCs w:val="24"/>
              </w:rPr>
              <w:t>，生态袋砌筑坡比从两侧延伸至设计高度，剩</w:t>
            </w:r>
            <w:r>
              <w:rPr>
                <w:rFonts w:ascii="宋体" w:hAnsi="宋体" w:eastAsia="宋体" w:cs="宋体"/>
                <w:spacing w:val="-2"/>
                <w:sz w:val="24"/>
                <w:szCs w:val="24"/>
              </w:rPr>
              <w:t>余坡面撒播种草。</w:t>
            </w:r>
          </w:p>
          <w:p w14:paraId="6379335B">
            <w:pPr>
              <w:keepNext w:val="0"/>
              <w:keepLines w:val="0"/>
              <w:pageBreakBefore w:val="0"/>
              <w:widowControl w:val="0"/>
              <w:kinsoku/>
              <w:wordWrap/>
              <w:overflowPunct/>
              <w:topLinePunct w:val="0"/>
              <w:autoSpaceDE/>
              <w:autoSpaceDN/>
              <w:bidi w:val="0"/>
              <w:adjustRightInd/>
              <w:snapToGrid/>
              <w:spacing w:line="360" w:lineRule="auto"/>
              <w:ind w:left="0" w:right="0" w:firstLine="491"/>
              <w:textAlignment w:val="auto"/>
              <w:rPr>
                <w:rFonts w:ascii="宋体" w:hAnsi="宋体" w:eastAsia="宋体" w:cs="宋体"/>
                <w:sz w:val="24"/>
                <w:szCs w:val="24"/>
              </w:rPr>
            </w:pPr>
            <w:r>
              <w:rPr>
                <w:rFonts w:ascii="宋体" w:hAnsi="宋体" w:eastAsia="宋体" w:cs="宋体"/>
                <w:sz w:val="24"/>
                <w:szCs w:val="24"/>
              </w:rPr>
              <w:t>（2）道路工程：修建生产道路0.75km，道路路基宽5m，采用原基整平压实，路面宽4m，底部铺设35cm厚砂砾石，上部铺设15cm厚红锈石，砂砾石粒径小于50mm，砂砾石压实相对密度不小于0.75。</w:t>
            </w:r>
          </w:p>
          <w:p w14:paraId="22118F82">
            <w:pPr>
              <w:keepNext w:val="0"/>
              <w:keepLines w:val="0"/>
              <w:pageBreakBefore w:val="0"/>
              <w:widowControl w:val="0"/>
              <w:kinsoku/>
              <w:wordWrap/>
              <w:overflowPunct/>
              <w:topLinePunct w:val="0"/>
              <w:autoSpaceDE/>
              <w:autoSpaceDN/>
              <w:bidi w:val="0"/>
              <w:adjustRightInd/>
              <w:snapToGrid/>
              <w:spacing w:line="360" w:lineRule="auto"/>
              <w:ind w:left="0" w:right="0" w:firstLine="490"/>
              <w:textAlignment w:val="auto"/>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w:t>
            </w:r>
            <w:r>
              <w:rPr>
                <w:rFonts w:hint="eastAsia" w:ascii="宋体" w:hAnsi="宋体" w:eastAsia="宋体" w:cs="宋体"/>
                <w:spacing w:val="2"/>
                <w:sz w:val="24"/>
                <w:szCs w:val="24"/>
              </w:rPr>
              <w:t>农田水渠提升改造</w:t>
            </w:r>
            <w:r>
              <w:rPr>
                <w:rFonts w:ascii="宋体" w:hAnsi="宋体" w:eastAsia="宋体" w:cs="宋体"/>
                <w:spacing w:val="2"/>
                <w:sz w:val="24"/>
                <w:szCs w:val="24"/>
              </w:rPr>
              <w:t>：渠道采用</w:t>
            </w:r>
            <w:r>
              <w:rPr>
                <w:rFonts w:ascii="Times New Roman" w:hAnsi="Times New Roman" w:eastAsia="Times New Roman" w:cs="Times New Roman"/>
                <w:spacing w:val="2"/>
                <w:sz w:val="24"/>
                <w:szCs w:val="24"/>
              </w:rPr>
              <w:t>C30</w:t>
            </w:r>
            <w:r>
              <w:rPr>
                <w:rFonts w:ascii="宋体" w:hAnsi="宋体" w:eastAsia="宋体" w:cs="宋体"/>
                <w:spacing w:val="2"/>
                <w:sz w:val="24"/>
                <w:szCs w:val="24"/>
              </w:rPr>
              <w:t>砼</w:t>
            </w:r>
            <w:r>
              <w:rPr>
                <w:rFonts w:ascii="Times New Roman" w:hAnsi="Times New Roman" w:eastAsia="Times New Roman" w:cs="Times New Roman"/>
                <w:spacing w:val="2"/>
                <w:sz w:val="24"/>
                <w:szCs w:val="24"/>
              </w:rPr>
              <w:t>“U”</w:t>
            </w:r>
            <w:r>
              <w:rPr>
                <w:rFonts w:ascii="宋体" w:hAnsi="宋体" w:eastAsia="宋体" w:cs="宋体"/>
                <w:spacing w:val="2"/>
                <w:sz w:val="24"/>
                <w:szCs w:val="24"/>
              </w:rPr>
              <w:t>型预制件衬砌，总长度</w:t>
            </w:r>
            <w:r>
              <w:rPr>
                <w:rFonts w:ascii="Times New Roman" w:hAnsi="Times New Roman" w:eastAsia="Times New Roman" w:cs="Times New Roman"/>
                <w:spacing w:val="2"/>
                <w:sz w:val="24"/>
                <w:szCs w:val="24"/>
              </w:rPr>
              <w:t>2400m</w:t>
            </w:r>
            <w:r>
              <w:rPr>
                <w:rFonts w:ascii="宋体" w:hAnsi="宋体" w:eastAsia="宋体" w:cs="宋体"/>
                <w:spacing w:val="2"/>
                <w:sz w:val="24"/>
                <w:szCs w:val="24"/>
              </w:rPr>
              <w:t>，</w:t>
            </w:r>
            <w:r>
              <w:rPr>
                <w:rFonts w:ascii="宋体" w:hAnsi="宋体" w:eastAsia="宋体" w:cs="宋体"/>
                <w:spacing w:val="-3"/>
                <w:sz w:val="24"/>
                <w:szCs w:val="24"/>
              </w:rPr>
              <w:t>其中：</w:t>
            </w:r>
            <w:r>
              <w:rPr>
                <w:rFonts w:ascii="Times New Roman" w:hAnsi="Times New Roman" w:eastAsia="Times New Roman" w:cs="Times New Roman"/>
                <w:spacing w:val="-3"/>
                <w:sz w:val="24"/>
                <w:szCs w:val="24"/>
              </w:rPr>
              <w:t>D60U</w:t>
            </w:r>
            <w:r>
              <w:rPr>
                <w:rFonts w:ascii="宋体" w:hAnsi="宋体" w:eastAsia="宋体" w:cs="宋体"/>
                <w:spacing w:val="-3"/>
                <w:sz w:val="24"/>
                <w:szCs w:val="24"/>
              </w:rPr>
              <w:t>型渠道长</w:t>
            </w:r>
            <w:r>
              <w:rPr>
                <w:rFonts w:ascii="Times New Roman" w:hAnsi="Times New Roman" w:eastAsia="Times New Roman" w:cs="Times New Roman"/>
                <w:spacing w:val="-3"/>
                <w:sz w:val="24"/>
                <w:szCs w:val="24"/>
              </w:rPr>
              <w:t>1400m</w:t>
            </w:r>
            <w:r>
              <w:rPr>
                <w:rFonts w:ascii="宋体" w:hAnsi="宋体" w:eastAsia="宋体" w:cs="宋体"/>
                <w:spacing w:val="-3"/>
                <w:sz w:val="24"/>
                <w:szCs w:val="24"/>
              </w:rPr>
              <w:t>，砼预制件厚</w:t>
            </w:r>
            <w:r>
              <w:rPr>
                <w:rFonts w:ascii="Times New Roman" w:hAnsi="Times New Roman" w:eastAsia="Times New Roman" w:cs="Times New Roman"/>
                <w:spacing w:val="-3"/>
                <w:sz w:val="24"/>
                <w:szCs w:val="24"/>
              </w:rPr>
              <w:t>8cm</w:t>
            </w:r>
            <w:r>
              <w:rPr>
                <w:rFonts w:ascii="宋体" w:hAnsi="宋体" w:eastAsia="宋体" w:cs="宋体"/>
                <w:spacing w:val="-3"/>
                <w:sz w:val="24"/>
                <w:szCs w:val="24"/>
              </w:rPr>
              <w:t>，渠口宽</w:t>
            </w:r>
            <w:r>
              <w:rPr>
                <w:rFonts w:ascii="Times New Roman" w:hAnsi="Times New Roman" w:eastAsia="Times New Roman" w:cs="Times New Roman"/>
                <w:spacing w:val="-3"/>
                <w:sz w:val="24"/>
                <w:szCs w:val="24"/>
              </w:rPr>
              <w:t>60cm</w:t>
            </w:r>
            <w:r>
              <w:rPr>
                <w:rFonts w:ascii="宋体" w:hAnsi="宋体" w:eastAsia="宋体" w:cs="宋体"/>
                <w:spacing w:val="-3"/>
                <w:sz w:val="24"/>
                <w:szCs w:val="24"/>
              </w:rPr>
              <w:t>，</w:t>
            </w:r>
            <w:r>
              <w:rPr>
                <w:rFonts w:ascii="宋体" w:hAnsi="宋体" w:eastAsia="宋体" w:cs="宋体"/>
                <w:spacing w:val="-4"/>
                <w:sz w:val="24"/>
                <w:szCs w:val="24"/>
              </w:rPr>
              <w:t>渠深</w:t>
            </w:r>
            <w:r>
              <w:rPr>
                <w:rFonts w:ascii="Times New Roman" w:hAnsi="Times New Roman" w:eastAsia="Times New Roman" w:cs="Times New Roman"/>
                <w:spacing w:val="-4"/>
                <w:sz w:val="24"/>
                <w:szCs w:val="24"/>
              </w:rPr>
              <w:t>50cm</w:t>
            </w:r>
            <w:r>
              <w:rPr>
                <w:rFonts w:ascii="宋体" w:hAnsi="宋体" w:eastAsia="宋体" w:cs="宋体"/>
                <w:spacing w:val="-4"/>
                <w:sz w:val="24"/>
                <w:szCs w:val="24"/>
              </w:rPr>
              <w:t>，底部及</w:t>
            </w:r>
            <w:r>
              <w:rPr>
                <w:rFonts w:ascii="宋体" w:hAnsi="宋体" w:eastAsia="宋体" w:cs="宋体"/>
                <w:spacing w:val="-3"/>
                <w:sz w:val="24"/>
                <w:szCs w:val="24"/>
              </w:rPr>
              <w:t>两侧采用</w:t>
            </w:r>
            <w:r>
              <w:rPr>
                <w:rFonts w:ascii="Times New Roman" w:hAnsi="Times New Roman" w:eastAsia="Times New Roman" w:cs="Times New Roman"/>
                <w:spacing w:val="-3"/>
                <w:sz w:val="24"/>
                <w:szCs w:val="24"/>
              </w:rPr>
              <w:t>50cm</w:t>
            </w:r>
            <w:r>
              <w:rPr>
                <w:rFonts w:ascii="宋体" w:hAnsi="宋体" w:eastAsia="宋体" w:cs="宋体"/>
                <w:spacing w:val="-3"/>
                <w:sz w:val="24"/>
                <w:szCs w:val="24"/>
              </w:rPr>
              <w:t>厚砂砾石垫层；</w:t>
            </w:r>
            <w:r>
              <w:rPr>
                <w:rFonts w:ascii="Times New Roman" w:hAnsi="Times New Roman" w:eastAsia="Times New Roman" w:cs="Times New Roman"/>
                <w:spacing w:val="-3"/>
                <w:sz w:val="24"/>
                <w:szCs w:val="24"/>
              </w:rPr>
              <w:t>D120U</w:t>
            </w:r>
            <w:r>
              <w:rPr>
                <w:rFonts w:ascii="宋体" w:hAnsi="宋体" w:eastAsia="宋体" w:cs="宋体"/>
                <w:spacing w:val="-3"/>
                <w:sz w:val="24"/>
                <w:szCs w:val="24"/>
              </w:rPr>
              <w:t>型渠道总长</w:t>
            </w:r>
            <w:r>
              <w:rPr>
                <w:rFonts w:ascii="Times New Roman" w:hAnsi="Times New Roman" w:eastAsia="Times New Roman" w:cs="Times New Roman"/>
                <w:spacing w:val="-3"/>
                <w:sz w:val="24"/>
                <w:szCs w:val="24"/>
              </w:rPr>
              <w:t>1000m</w:t>
            </w:r>
            <w:r>
              <w:rPr>
                <w:rFonts w:ascii="宋体" w:hAnsi="宋体" w:eastAsia="宋体" w:cs="宋体"/>
                <w:spacing w:val="-3"/>
                <w:sz w:val="24"/>
                <w:szCs w:val="24"/>
              </w:rPr>
              <w:t>，砼预制件厚</w:t>
            </w:r>
            <w:r>
              <w:rPr>
                <w:rFonts w:ascii="Times New Roman" w:hAnsi="Times New Roman" w:eastAsia="Times New Roman" w:cs="Times New Roman"/>
                <w:spacing w:val="-3"/>
                <w:sz w:val="24"/>
                <w:szCs w:val="24"/>
              </w:rPr>
              <w:t>8cm</w:t>
            </w:r>
            <w:r>
              <w:rPr>
                <w:rFonts w:ascii="宋体" w:hAnsi="宋体" w:eastAsia="宋体" w:cs="宋体"/>
                <w:spacing w:val="-3"/>
                <w:sz w:val="24"/>
                <w:szCs w:val="24"/>
              </w:rPr>
              <w:t>，渠口宽</w:t>
            </w:r>
            <w:r>
              <w:rPr>
                <w:rFonts w:ascii="Times New Roman" w:hAnsi="Times New Roman" w:eastAsia="Times New Roman" w:cs="Times New Roman"/>
                <w:spacing w:val="-4"/>
                <w:sz w:val="24"/>
                <w:szCs w:val="24"/>
              </w:rPr>
              <w:t>120cm</w:t>
            </w:r>
            <w:r>
              <w:rPr>
                <w:rFonts w:ascii="宋体" w:hAnsi="宋体" w:eastAsia="宋体" w:cs="宋体"/>
                <w:spacing w:val="-4"/>
                <w:sz w:val="24"/>
                <w:szCs w:val="24"/>
              </w:rPr>
              <w:t>，渠深</w:t>
            </w:r>
            <w:r>
              <w:rPr>
                <w:rFonts w:ascii="Times New Roman" w:hAnsi="Times New Roman" w:eastAsia="Times New Roman" w:cs="Times New Roman"/>
                <w:spacing w:val="-4"/>
                <w:sz w:val="24"/>
                <w:szCs w:val="24"/>
              </w:rPr>
              <w:t>80cm</w:t>
            </w:r>
            <w:r>
              <w:rPr>
                <w:rFonts w:ascii="宋体" w:hAnsi="宋体" w:eastAsia="宋体" w:cs="宋体"/>
                <w:spacing w:val="-4"/>
                <w:sz w:val="24"/>
                <w:szCs w:val="24"/>
              </w:rPr>
              <w:t>，底部及两侧采用</w:t>
            </w:r>
            <w:r>
              <w:rPr>
                <w:rFonts w:ascii="Times New Roman" w:hAnsi="Times New Roman" w:eastAsia="Times New Roman" w:cs="Times New Roman"/>
                <w:spacing w:val="-4"/>
                <w:sz w:val="24"/>
                <w:szCs w:val="24"/>
              </w:rPr>
              <w:t>50cm</w:t>
            </w:r>
            <w:r>
              <w:rPr>
                <w:rFonts w:ascii="宋体" w:hAnsi="宋体" w:eastAsia="宋体" w:cs="宋体"/>
                <w:spacing w:val="-4"/>
                <w:sz w:val="24"/>
                <w:szCs w:val="24"/>
              </w:rPr>
              <w:t>厚砂砾石垫层。</w:t>
            </w:r>
          </w:p>
          <w:p w14:paraId="66A414F0">
            <w:pPr>
              <w:keepNext w:val="0"/>
              <w:keepLines w:val="0"/>
              <w:pageBreakBefore w:val="0"/>
              <w:widowControl w:val="0"/>
              <w:kinsoku/>
              <w:wordWrap/>
              <w:overflowPunct/>
              <w:topLinePunct w:val="0"/>
              <w:autoSpaceDE/>
              <w:autoSpaceDN/>
              <w:bidi w:val="0"/>
              <w:adjustRightInd/>
              <w:snapToGrid/>
              <w:spacing w:line="352" w:lineRule="auto"/>
              <w:ind w:left="0" w:right="0" w:firstLine="491"/>
              <w:textAlignment w:val="auto"/>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w:t>
            </w:r>
            <w:r>
              <w:rPr>
                <w:rFonts w:hint="eastAsia" w:ascii="宋体" w:hAnsi="宋体" w:eastAsia="宋体" w:cs="宋体"/>
                <w:spacing w:val="2"/>
                <w:sz w:val="24"/>
                <w:szCs w:val="24"/>
              </w:rPr>
              <w:t>水保林（低效林改造）</w:t>
            </w:r>
            <w:r>
              <w:rPr>
                <w:rFonts w:ascii="宋体" w:hAnsi="宋体" w:eastAsia="宋体" w:cs="宋体"/>
                <w:spacing w:val="2"/>
                <w:sz w:val="24"/>
                <w:szCs w:val="24"/>
              </w:rPr>
              <w:t>：布设防护围栏</w:t>
            </w:r>
            <w:r>
              <w:rPr>
                <w:rFonts w:ascii="Times New Roman" w:hAnsi="Times New Roman" w:eastAsia="Times New Roman" w:cs="Times New Roman"/>
                <w:spacing w:val="2"/>
                <w:sz w:val="24"/>
                <w:szCs w:val="24"/>
              </w:rPr>
              <w:t>2000m</w:t>
            </w:r>
            <w:r>
              <w:rPr>
                <w:rFonts w:ascii="宋体" w:hAnsi="宋体" w:eastAsia="宋体" w:cs="宋体"/>
                <w:spacing w:val="2"/>
                <w:sz w:val="24"/>
                <w:szCs w:val="24"/>
              </w:rPr>
              <w:t>。围栏为采购</w:t>
            </w:r>
            <w:r>
              <w:rPr>
                <w:rFonts w:ascii="宋体" w:hAnsi="宋体" w:eastAsia="宋体" w:cs="宋体"/>
                <w:spacing w:val="1"/>
                <w:sz w:val="24"/>
                <w:szCs w:val="24"/>
              </w:rPr>
              <w:t>成品围栏，布设在水保</w:t>
            </w:r>
            <w:r>
              <w:rPr>
                <w:rFonts w:ascii="宋体" w:hAnsi="宋体" w:eastAsia="宋体" w:cs="宋体"/>
                <w:spacing w:val="7"/>
                <w:sz w:val="24"/>
                <w:szCs w:val="24"/>
              </w:rPr>
              <w:t>林</w:t>
            </w:r>
            <w:r>
              <w:rPr>
                <w:rFonts w:ascii="Times New Roman" w:hAnsi="Times New Roman" w:eastAsia="Times New Roman" w:cs="Times New Roman"/>
                <w:spacing w:val="7"/>
                <w:sz w:val="24"/>
                <w:szCs w:val="24"/>
              </w:rPr>
              <w:t>10m</w:t>
            </w:r>
            <w:r>
              <w:rPr>
                <w:rFonts w:ascii="宋体" w:hAnsi="宋体" w:eastAsia="宋体" w:cs="宋体"/>
                <w:spacing w:val="7"/>
                <w:sz w:val="24"/>
                <w:szCs w:val="24"/>
              </w:rPr>
              <w:t>以外，围栏高度</w:t>
            </w:r>
            <w:r>
              <w:rPr>
                <w:rFonts w:ascii="Times New Roman" w:hAnsi="Times New Roman" w:eastAsia="Times New Roman" w:cs="Times New Roman"/>
                <w:spacing w:val="7"/>
                <w:sz w:val="24"/>
                <w:szCs w:val="24"/>
              </w:rPr>
              <w:t>1.8m/</w:t>
            </w:r>
            <w:r>
              <w:rPr>
                <w:rFonts w:ascii="宋体" w:hAnsi="宋体" w:eastAsia="宋体" w:cs="宋体"/>
                <w:spacing w:val="7"/>
                <w:sz w:val="24"/>
                <w:szCs w:val="24"/>
              </w:rPr>
              <w:t>丝径</w:t>
            </w:r>
            <w:r>
              <w:rPr>
                <w:rFonts w:ascii="Times New Roman" w:hAnsi="Times New Roman" w:eastAsia="Times New Roman" w:cs="Times New Roman"/>
                <w:spacing w:val="7"/>
                <w:sz w:val="24"/>
                <w:szCs w:val="24"/>
              </w:rPr>
              <w:t>4.0</w:t>
            </w:r>
            <w:r>
              <w:rPr>
                <w:rFonts w:ascii="宋体" w:hAnsi="宋体" w:eastAsia="宋体" w:cs="宋体"/>
                <w:spacing w:val="7"/>
                <w:sz w:val="24"/>
                <w:szCs w:val="24"/>
              </w:rPr>
              <w:t>毫米粗，材质为低碳钢丝，片网高度为</w:t>
            </w:r>
            <w:r>
              <w:rPr>
                <w:rFonts w:ascii="Times New Roman" w:hAnsi="Times New Roman" w:eastAsia="Times New Roman" w:cs="Times New Roman"/>
                <w:spacing w:val="-9"/>
                <w:sz w:val="24"/>
                <w:szCs w:val="24"/>
              </w:rPr>
              <w:t>1650mm</w:t>
            </w:r>
            <w:r>
              <w:rPr>
                <w:rFonts w:ascii="宋体" w:hAnsi="宋体" w:eastAsia="宋体" w:cs="宋体"/>
                <w:spacing w:val="-9"/>
                <w:sz w:val="24"/>
                <w:szCs w:val="24"/>
              </w:rPr>
              <w:t>，宽度为</w:t>
            </w:r>
            <w:r>
              <w:rPr>
                <w:rFonts w:ascii="Times New Roman" w:hAnsi="Times New Roman" w:eastAsia="Times New Roman" w:cs="Times New Roman"/>
                <w:spacing w:val="-9"/>
                <w:sz w:val="24"/>
                <w:szCs w:val="24"/>
              </w:rPr>
              <w:t>2850mm</w:t>
            </w:r>
            <w:r>
              <w:rPr>
                <w:rFonts w:ascii="宋体" w:hAnsi="宋体" w:eastAsia="宋体" w:cs="宋体"/>
                <w:spacing w:val="-9"/>
                <w:sz w:val="24"/>
                <w:szCs w:val="24"/>
              </w:rPr>
              <w:t>，网格为</w:t>
            </w:r>
            <w:r>
              <w:rPr>
                <w:rFonts w:ascii="Times New Roman" w:hAnsi="Times New Roman" w:eastAsia="Times New Roman" w:cs="Times New Roman"/>
                <w:spacing w:val="-9"/>
                <w:sz w:val="24"/>
                <w:szCs w:val="24"/>
              </w:rPr>
              <w:t>150*150mm</w:t>
            </w:r>
            <w:r>
              <w:rPr>
                <w:rFonts w:ascii="宋体" w:hAnsi="宋体" w:eastAsia="宋体" w:cs="宋体"/>
                <w:spacing w:val="-9"/>
                <w:sz w:val="24"/>
                <w:szCs w:val="24"/>
              </w:rPr>
              <w:t>，钢丝直径</w:t>
            </w:r>
            <w:r>
              <w:rPr>
                <w:rFonts w:ascii="Times New Roman" w:hAnsi="Times New Roman" w:eastAsia="Times New Roman" w:cs="Times New Roman"/>
                <w:spacing w:val="-9"/>
                <w:sz w:val="24"/>
                <w:szCs w:val="24"/>
              </w:rPr>
              <w:t>4mm</w:t>
            </w:r>
            <w:r>
              <w:rPr>
                <w:rFonts w:ascii="宋体" w:hAnsi="宋体" w:eastAsia="宋体" w:cs="宋体"/>
                <w:spacing w:val="-9"/>
                <w:sz w:val="24"/>
                <w:szCs w:val="24"/>
              </w:rPr>
              <w:t>，网孔大小</w:t>
            </w:r>
            <w:r>
              <w:rPr>
                <w:rFonts w:ascii="Times New Roman" w:hAnsi="Times New Roman" w:eastAsia="Times New Roman" w:cs="Times New Roman"/>
                <w:spacing w:val="-1"/>
                <w:sz w:val="24"/>
                <w:szCs w:val="24"/>
              </w:rPr>
              <w:t>7.5cm*15cm/5cm*5cm</w:t>
            </w:r>
            <w:r>
              <w:rPr>
                <w:rFonts w:ascii="宋体" w:hAnsi="宋体" w:eastAsia="宋体" w:cs="宋体"/>
                <w:spacing w:val="-1"/>
                <w:sz w:val="24"/>
                <w:szCs w:val="24"/>
              </w:rPr>
              <w:t>。</w:t>
            </w:r>
          </w:p>
          <w:p w14:paraId="061988DF">
            <w:pPr>
              <w:spacing w:before="35" w:line="353" w:lineRule="auto"/>
              <w:ind w:left="10" w:right="2" w:firstLine="477"/>
              <w:jc w:val="both"/>
              <w:rPr>
                <w:rFonts w:ascii="宋体" w:hAnsi="宋体" w:eastAsia="宋体" w:cs="宋体"/>
                <w:sz w:val="24"/>
                <w:szCs w:val="24"/>
              </w:rPr>
            </w:pPr>
            <w:r>
              <w:rPr>
                <w:rFonts w:ascii="宋体" w:hAnsi="宋体" w:eastAsia="宋体" w:cs="宋体"/>
                <w:spacing w:val="1"/>
                <w:sz w:val="24"/>
                <w:szCs w:val="24"/>
              </w:rPr>
              <w:t>每隔</w:t>
            </w:r>
            <w:r>
              <w:rPr>
                <w:rFonts w:ascii="Times New Roman" w:hAnsi="Times New Roman" w:eastAsia="Times New Roman" w:cs="Times New Roman"/>
                <w:spacing w:val="1"/>
                <w:sz w:val="24"/>
                <w:szCs w:val="24"/>
              </w:rPr>
              <w:t>3m</w:t>
            </w:r>
            <w:r>
              <w:rPr>
                <w:rFonts w:ascii="宋体" w:hAnsi="宋体" w:eastAsia="宋体" w:cs="宋体"/>
                <w:spacing w:val="1"/>
                <w:sz w:val="24"/>
                <w:szCs w:val="24"/>
              </w:rPr>
              <w:t>设一立柱，两立柱间用网片围栏连接，围栏立柱、片网及方管框采用漫</w:t>
            </w:r>
            <w:r>
              <w:rPr>
                <w:rFonts w:ascii="宋体" w:hAnsi="宋体" w:eastAsia="宋体" w:cs="宋体"/>
                <w:spacing w:val="5"/>
                <w:sz w:val="24"/>
                <w:szCs w:val="24"/>
              </w:rPr>
              <w:t>塑处理，颜色为墨绿色，所有焊接件应焊接后漫塑；围栏基础采用</w:t>
            </w:r>
            <w:r>
              <w:rPr>
                <w:rFonts w:ascii="Times New Roman" w:hAnsi="Times New Roman" w:eastAsia="Times New Roman" w:cs="Times New Roman"/>
                <w:spacing w:val="5"/>
                <w:sz w:val="24"/>
                <w:szCs w:val="24"/>
              </w:rPr>
              <w:t>C20</w:t>
            </w:r>
            <w:r>
              <w:rPr>
                <w:rFonts w:ascii="宋体" w:hAnsi="宋体" w:eastAsia="宋体" w:cs="宋体"/>
                <w:spacing w:val="5"/>
                <w:sz w:val="24"/>
                <w:szCs w:val="24"/>
              </w:rPr>
              <w:t>砼现浇，预</w:t>
            </w:r>
            <w:r>
              <w:rPr>
                <w:rFonts w:ascii="宋体" w:hAnsi="宋体" w:eastAsia="宋体" w:cs="宋体"/>
                <w:spacing w:val="-7"/>
                <w:sz w:val="24"/>
                <w:szCs w:val="24"/>
              </w:rPr>
              <w:t>留</w:t>
            </w:r>
            <w:r>
              <w:rPr>
                <w:rFonts w:ascii="Times New Roman" w:hAnsi="Times New Roman" w:eastAsia="Times New Roman" w:cs="Times New Roman"/>
                <w:spacing w:val="-7"/>
                <w:sz w:val="24"/>
                <w:szCs w:val="24"/>
              </w:rPr>
              <w:t>100*100*350mm</w:t>
            </w:r>
            <w:r>
              <w:rPr>
                <w:rFonts w:ascii="宋体" w:hAnsi="宋体" w:eastAsia="宋体" w:cs="宋体"/>
                <w:spacing w:val="-7"/>
                <w:sz w:val="24"/>
                <w:szCs w:val="24"/>
              </w:rPr>
              <w:t>立柱埋入孔，立柱埋入深度为</w:t>
            </w:r>
            <w:r>
              <w:rPr>
                <w:rFonts w:ascii="Times New Roman" w:hAnsi="Times New Roman" w:eastAsia="Times New Roman" w:cs="Times New Roman"/>
                <w:spacing w:val="-7"/>
                <w:sz w:val="24"/>
                <w:szCs w:val="24"/>
              </w:rPr>
              <w:t>300mm</w:t>
            </w:r>
            <w:r>
              <w:rPr>
                <w:rFonts w:ascii="宋体" w:hAnsi="宋体" w:eastAsia="宋体" w:cs="宋体"/>
                <w:spacing w:val="-7"/>
                <w:sz w:val="24"/>
                <w:szCs w:val="24"/>
              </w:rPr>
              <w:t>，基础埋入深度为</w:t>
            </w:r>
            <w:r>
              <w:rPr>
                <w:rFonts w:ascii="Times New Roman" w:hAnsi="Times New Roman" w:eastAsia="Times New Roman" w:cs="Times New Roman"/>
                <w:spacing w:val="-2"/>
                <w:sz w:val="24"/>
                <w:szCs w:val="24"/>
              </w:rPr>
              <w:t>500mm</w:t>
            </w:r>
            <w:r>
              <w:rPr>
                <w:rFonts w:ascii="宋体" w:hAnsi="宋体" w:eastAsia="宋体" w:cs="宋体"/>
                <w:spacing w:val="-2"/>
                <w:sz w:val="24"/>
                <w:szCs w:val="24"/>
              </w:rPr>
              <w:t>。</w:t>
            </w:r>
            <w:r>
              <w:rPr>
                <w:rFonts w:ascii="宋体" w:hAnsi="宋体" w:eastAsia="宋体" w:cs="宋体"/>
                <w:spacing w:val="-3"/>
                <w:sz w:val="24"/>
                <w:szCs w:val="24"/>
              </w:rPr>
              <w:t>水土保持林补植补种</w:t>
            </w:r>
            <w:r>
              <w:rPr>
                <w:rFonts w:ascii="Times New Roman" w:hAnsi="Times New Roman" w:eastAsia="Times New Roman" w:cs="Times New Roman"/>
                <w:spacing w:val="-3"/>
                <w:sz w:val="24"/>
                <w:szCs w:val="24"/>
              </w:rPr>
              <w:t>12.08hm²</w:t>
            </w:r>
            <w:r>
              <w:rPr>
                <w:rFonts w:ascii="宋体" w:hAnsi="宋体" w:eastAsia="宋体" w:cs="宋体"/>
                <w:spacing w:val="-3"/>
                <w:sz w:val="24"/>
                <w:szCs w:val="24"/>
              </w:rPr>
              <w:t>,其中：栽植乔木沙枣树</w:t>
            </w:r>
            <w:r>
              <w:rPr>
                <w:rFonts w:ascii="Times New Roman" w:hAnsi="Times New Roman" w:eastAsia="Times New Roman" w:cs="Times New Roman"/>
                <w:spacing w:val="-3"/>
                <w:sz w:val="24"/>
                <w:szCs w:val="24"/>
              </w:rPr>
              <w:t>(</w:t>
            </w:r>
            <w:r>
              <w:rPr>
                <w:rFonts w:ascii="宋体" w:hAnsi="宋体" w:eastAsia="宋体" w:cs="宋体"/>
                <w:spacing w:val="-3"/>
                <w:sz w:val="24"/>
                <w:szCs w:val="24"/>
              </w:rPr>
              <w:t>苗</w:t>
            </w:r>
            <w:r>
              <w:rPr>
                <w:rFonts w:ascii="宋体" w:hAnsi="宋体" w:eastAsia="宋体" w:cs="宋体"/>
                <w:spacing w:val="-1"/>
                <w:sz w:val="24"/>
                <w:szCs w:val="24"/>
              </w:rPr>
              <w:t>高</w:t>
            </w:r>
            <w:r>
              <w:rPr>
                <w:rFonts w:ascii="Times New Roman" w:hAnsi="Times New Roman" w:eastAsia="Times New Roman" w:cs="Times New Roman"/>
                <w:spacing w:val="-1"/>
                <w:sz w:val="24"/>
                <w:szCs w:val="24"/>
              </w:rPr>
              <w:t>&gt;1.5m</w:t>
            </w:r>
            <w:r>
              <w:rPr>
                <w:rFonts w:ascii="宋体" w:hAnsi="宋体" w:eastAsia="宋体" w:cs="宋体"/>
                <w:spacing w:val="-1"/>
                <w:sz w:val="24"/>
                <w:szCs w:val="24"/>
              </w:rPr>
              <w:t>，带土球</w:t>
            </w:r>
            <w:r>
              <w:rPr>
                <w:rFonts w:ascii="Times New Roman" w:hAnsi="Times New Roman" w:eastAsia="Times New Roman" w:cs="Times New Roman"/>
                <w:spacing w:val="-1"/>
                <w:sz w:val="24"/>
                <w:szCs w:val="24"/>
              </w:rPr>
              <w:t>)3020</w:t>
            </w:r>
            <w:r>
              <w:rPr>
                <w:rFonts w:ascii="宋体" w:hAnsi="宋体" w:eastAsia="宋体" w:cs="宋体"/>
                <w:spacing w:val="-1"/>
                <w:sz w:val="24"/>
                <w:szCs w:val="24"/>
              </w:rPr>
              <w:t>株，灌</w:t>
            </w:r>
            <w:r>
              <w:rPr>
                <w:rFonts w:ascii="宋体" w:hAnsi="宋体" w:eastAsia="宋体" w:cs="宋体"/>
                <w:spacing w:val="-2"/>
                <w:sz w:val="24"/>
                <w:szCs w:val="24"/>
              </w:rPr>
              <w:t>木红柳</w:t>
            </w:r>
            <w:r>
              <w:rPr>
                <w:rFonts w:ascii="Times New Roman" w:hAnsi="Times New Roman" w:eastAsia="Times New Roman" w:cs="Times New Roman"/>
                <w:spacing w:val="-2"/>
                <w:sz w:val="24"/>
                <w:szCs w:val="24"/>
              </w:rPr>
              <w:t>(</w:t>
            </w:r>
            <w:r>
              <w:rPr>
                <w:rFonts w:ascii="宋体" w:hAnsi="宋体" w:eastAsia="宋体" w:cs="宋体"/>
                <w:spacing w:val="-2"/>
                <w:sz w:val="24"/>
                <w:szCs w:val="24"/>
              </w:rPr>
              <w:t>苗高</w:t>
            </w:r>
            <w:r>
              <w:rPr>
                <w:rFonts w:ascii="Times New Roman" w:hAnsi="Times New Roman" w:eastAsia="Times New Roman" w:cs="Times New Roman"/>
                <w:spacing w:val="-2"/>
                <w:sz w:val="24"/>
                <w:szCs w:val="24"/>
              </w:rPr>
              <w:t>≥50cm)11597</w:t>
            </w:r>
            <w:r>
              <w:rPr>
                <w:rFonts w:ascii="宋体" w:hAnsi="宋体" w:eastAsia="宋体" w:cs="宋体"/>
                <w:spacing w:val="-2"/>
                <w:sz w:val="24"/>
                <w:szCs w:val="24"/>
              </w:rPr>
              <w:t>丛。</w:t>
            </w:r>
          </w:p>
          <w:p w14:paraId="056FF7CD">
            <w:pPr>
              <w:bidi w:val="0"/>
              <w:rPr>
                <w:rFonts w:ascii="宋体" w:hAnsi="宋体" w:eastAsia="宋体" w:cs="宋体"/>
                <w:spacing w:val="-3"/>
                <w:sz w:val="24"/>
                <w:szCs w:val="24"/>
              </w:rPr>
            </w:pPr>
            <w:r>
              <w:rPr>
                <w:rFonts w:ascii="宋体" w:hAnsi="宋体" w:eastAsia="宋体" w:cs="宋体"/>
                <w:spacing w:val="1"/>
                <w:sz w:val="24"/>
                <w:szCs w:val="24"/>
              </w:rPr>
              <w:t>（</w:t>
            </w:r>
            <w:r>
              <w:rPr>
                <w:rFonts w:hint="eastAsia" w:ascii="Times New Roman" w:hAnsi="Times New Roman" w:eastAsia="宋体" w:cs="Times New Roman"/>
                <w:spacing w:val="1"/>
                <w:sz w:val="24"/>
                <w:szCs w:val="24"/>
                <w:lang w:val="en-US" w:eastAsia="zh-CN"/>
              </w:rPr>
              <w:t>5</w:t>
            </w:r>
            <w:r>
              <w:rPr>
                <w:rFonts w:ascii="宋体" w:hAnsi="宋体" w:eastAsia="宋体" w:cs="宋体"/>
                <w:spacing w:val="1"/>
                <w:sz w:val="24"/>
                <w:szCs w:val="24"/>
              </w:rPr>
              <w:t>）</w:t>
            </w:r>
            <w:r>
              <w:rPr>
                <w:rFonts w:hint="eastAsia" w:ascii="宋体" w:hAnsi="宋体" w:eastAsia="宋体" w:cs="宋体"/>
                <w:spacing w:val="1"/>
                <w:sz w:val="24"/>
                <w:szCs w:val="24"/>
                <w:lang w:val="en-US" w:eastAsia="zh-CN"/>
              </w:rPr>
              <w:t>水土保持宣传</w:t>
            </w:r>
            <w:r>
              <w:rPr>
                <w:rFonts w:ascii="宋体" w:hAnsi="宋体" w:eastAsia="宋体" w:cs="宋体"/>
                <w:spacing w:val="1"/>
                <w:sz w:val="24"/>
                <w:szCs w:val="24"/>
              </w:rPr>
              <w:t>：制作界碑</w:t>
            </w:r>
            <w:r>
              <w:rPr>
                <w:rFonts w:ascii="Times New Roman" w:hAnsi="Times New Roman" w:eastAsia="Times New Roman" w:cs="Times New Roman"/>
                <w:spacing w:val="1"/>
                <w:sz w:val="24"/>
                <w:szCs w:val="24"/>
              </w:rPr>
              <w:t>1</w:t>
            </w:r>
            <w:r>
              <w:rPr>
                <w:rFonts w:ascii="宋体" w:hAnsi="宋体" w:eastAsia="宋体" w:cs="宋体"/>
                <w:spacing w:val="1"/>
                <w:sz w:val="24"/>
                <w:szCs w:val="24"/>
              </w:rPr>
              <w:t>块，流域宣传牌</w:t>
            </w:r>
            <w:r>
              <w:rPr>
                <w:rFonts w:ascii="Times New Roman" w:hAnsi="Times New Roman" w:eastAsia="Times New Roman" w:cs="Times New Roman"/>
                <w:spacing w:val="1"/>
                <w:sz w:val="24"/>
                <w:szCs w:val="24"/>
              </w:rPr>
              <w:t>1</w:t>
            </w:r>
            <w:r>
              <w:rPr>
                <w:rFonts w:ascii="宋体" w:hAnsi="宋体" w:eastAsia="宋体" w:cs="宋体"/>
                <w:spacing w:val="1"/>
                <w:sz w:val="24"/>
                <w:szCs w:val="24"/>
              </w:rPr>
              <w:t>座，标语</w:t>
            </w:r>
            <w:r>
              <w:rPr>
                <w:rFonts w:ascii="宋体" w:hAnsi="宋体" w:eastAsia="宋体" w:cs="宋体"/>
                <w:spacing w:val="-1"/>
                <w:sz w:val="24"/>
                <w:szCs w:val="24"/>
              </w:rPr>
              <w:t>牌</w:t>
            </w:r>
            <w:r>
              <w:rPr>
                <w:rFonts w:ascii="Times New Roman" w:hAnsi="Times New Roman" w:eastAsia="Times New Roman" w:cs="Times New Roman"/>
                <w:spacing w:val="-1"/>
                <w:sz w:val="24"/>
                <w:szCs w:val="24"/>
              </w:rPr>
              <w:t>1</w:t>
            </w:r>
            <w:r>
              <w:rPr>
                <w:rFonts w:ascii="宋体" w:hAnsi="宋体" w:eastAsia="宋体" w:cs="宋体"/>
                <w:spacing w:val="-1"/>
                <w:sz w:val="24"/>
                <w:szCs w:val="24"/>
              </w:rPr>
              <w:t>块。界碑采用镀锌方钢支撑，将方钢、铁皮焊接，碑面高</w:t>
            </w:r>
            <w:r>
              <w:rPr>
                <w:rFonts w:ascii="Times New Roman" w:hAnsi="Times New Roman" w:eastAsia="Times New Roman" w:cs="Times New Roman"/>
                <w:spacing w:val="-1"/>
                <w:sz w:val="24"/>
                <w:szCs w:val="24"/>
              </w:rPr>
              <w:t>1.5m</w:t>
            </w:r>
            <w:r>
              <w:rPr>
                <w:rFonts w:ascii="宋体" w:hAnsi="宋体" w:eastAsia="宋体" w:cs="宋体"/>
                <w:spacing w:val="-1"/>
                <w:sz w:val="24"/>
                <w:szCs w:val="24"/>
              </w:rPr>
              <w:t>，长</w:t>
            </w:r>
            <w:r>
              <w:rPr>
                <w:rFonts w:ascii="Times New Roman" w:hAnsi="Times New Roman" w:eastAsia="Times New Roman" w:cs="Times New Roman"/>
                <w:spacing w:val="-1"/>
                <w:sz w:val="24"/>
                <w:szCs w:val="24"/>
              </w:rPr>
              <w:t>2.0m</w:t>
            </w:r>
            <w:r>
              <w:rPr>
                <w:rFonts w:ascii="宋体" w:hAnsi="宋体" w:eastAsia="宋体" w:cs="宋体"/>
                <w:spacing w:val="-1"/>
                <w:sz w:val="24"/>
                <w:szCs w:val="24"/>
              </w:rPr>
              <w:t>，立柱</w:t>
            </w:r>
            <w:r>
              <w:rPr>
                <w:rFonts w:ascii="宋体" w:hAnsi="宋体" w:eastAsia="宋体" w:cs="宋体"/>
                <w:spacing w:val="1"/>
                <w:sz w:val="24"/>
                <w:szCs w:val="24"/>
              </w:rPr>
              <w:t>高</w:t>
            </w:r>
            <w:r>
              <w:rPr>
                <w:rFonts w:ascii="Times New Roman" w:hAnsi="Times New Roman" w:eastAsia="Times New Roman" w:cs="Times New Roman"/>
                <w:spacing w:val="1"/>
                <w:sz w:val="24"/>
                <w:szCs w:val="24"/>
              </w:rPr>
              <w:t>2.5m</w:t>
            </w:r>
            <w:r>
              <w:rPr>
                <w:rFonts w:ascii="宋体" w:hAnsi="宋体" w:eastAsia="宋体" w:cs="宋体"/>
                <w:spacing w:val="1"/>
                <w:sz w:val="24"/>
                <w:szCs w:val="24"/>
              </w:rPr>
              <w:t>，基础埋深</w:t>
            </w:r>
            <w:r>
              <w:rPr>
                <w:rFonts w:ascii="Times New Roman" w:hAnsi="Times New Roman" w:eastAsia="Times New Roman" w:cs="Times New Roman"/>
                <w:spacing w:val="1"/>
                <w:sz w:val="24"/>
                <w:szCs w:val="24"/>
              </w:rPr>
              <w:t>0.5m</w:t>
            </w:r>
            <w:r>
              <w:rPr>
                <w:rFonts w:ascii="宋体" w:hAnsi="宋体" w:eastAsia="宋体" w:cs="宋体"/>
                <w:spacing w:val="1"/>
                <w:sz w:val="24"/>
                <w:szCs w:val="24"/>
              </w:rPr>
              <w:t>，碑面为室外写真，要求不易褪色</w:t>
            </w:r>
            <w:r>
              <w:rPr>
                <w:rFonts w:ascii="宋体" w:hAnsi="宋体" w:eastAsia="宋体" w:cs="宋体"/>
                <w:sz w:val="24"/>
                <w:szCs w:val="24"/>
              </w:rPr>
              <w:t>；流域宣传牌采用钢制结</w:t>
            </w:r>
            <w:r>
              <w:rPr>
                <w:rFonts w:ascii="宋体" w:hAnsi="宋体" w:eastAsia="宋体" w:cs="宋体"/>
                <w:spacing w:val="1"/>
                <w:sz w:val="24"/>
                <w:szCs w:val="24"/>
              </w:rPr>
              <w:t>构，牌面高</w:t>
            </w:r>
            <w:r>
              <w:rPr>
                <w:rFonts w:ascii="Times New Roman" w:hAnsi="Times New Roman" w:eastAsia="Times New Roman" w:cs="Times New Roman"/>
                <w:spacing w:val="1"/>
                <w:sz w:val="24"/>
                <w:szCs w:val="24"/>
              </w:rPr>
              <w:t>3.5m</w:t>
            </w:r>
            <w:r>
              <w:rPr>
                <w:rFonts w:ascii="宋体" w:hAnsi="宋体" w:eastAsia="宋体" w:cs="宋体"/>
                <w:spacing w:val="1"/>
                <w:sz w:val="24"/>
                <w:szCs w:val="24"/>
              </w:rPr>
              <w:t>，长</w:t>
            </w:r>
            <w:r>
              <w:rPr>
                <w:rFonts w:ascii="Times New Roman" w:hAnsi="Times New Roman" w:eastAsia="Times New Roman" w:cs="Times New Roman"/>
                <w:spacing w:val="1"/>
                <w:sz w:val="24"/>
                <w:szCs w:val="24"/>
              </w:rPr>
              <w:t>10m</w:t>
            </w:r>
            <w:r>
              <w:rPr>
                <w:rFonts w:ascii="宋体" w:hAnsi="宋体" w:eastAsia="宋体" w:cs="宋体"/>
                <w:spacing w:val="1"/>
                <w:sz w:val="24"/>
                <w:szCs w:val="24"/>
              </w:rPr>
              <w:t>，标语牌采用钢制结构，牌面高</w:t>
            </w:r>
            <w:r>
              <w:rPr>
                <w:rFonts w:ascii="Times New Roman" w:hAnsi="Times New Roman" w:eastAsia="Times New Roman" w:cs="Times New Roman"/>
                <w:spacing w:val="1"/>
                <w:sz w:val="24"/>
                <w:szCs w:val="24"/>
              </w:rPr>
              <w:t>2.5m</w:t>
            </w:r>
            <w:r>
              <w:rPr>
                <w:rFonts w:ascii="宋体" w:hAnsi="宋体" w:eastAsia="宋体" w:cs="宋体"/>
                <w:spacing w:val="1"/>
                <w:sz w:val="24"/>
                <w:szCs w:val="24"/>
              </w:rPr>
              <w:t>，长</w:t>
            </w:r>
            <w:r>
              <w:rPr>
                <w:rFonts w:ascii="Times New Roman" w:hAnsi="Times New Roman" w:eastAsia="Times New Roman" w:cs="Times New Roman"/>
                <w:spacing w:val="1"/>
                <w:sz w:val="24"/>
                <w:szCs w:val="24"/>
              </w:rPr>
              <w:t>3.0</w:t>
            </w:r>
            <w:r>
              <w:rPr>
                <w:rFonts w:ascii="Times New Roman" w:hAnsi="Times New Roman" w:eastAsia="Times New Roman" w:cs="Times New Roman"/>
                <w:sz w:val="24"/>
                <w:szCs w:val="24"/>
              </w:rPr>
              <w:t>m</w:t>
            </w:r>
            <w:r>
              <w:rPr>
                <w:rFonts w:ascii="宋体" w:hAnsi="宋体" w:eastAsia="宋体" w:cs="宋体"/>
                <w:sz w:val="24"/>
                <w:szCs w:val="24"/>
              </w:rPr>
              <w:t>，立柱高</w:t>
            </w:r>
            <w:r>
              <w:rPr>
                <w:rFonts w:ascii="Times New Roman" w:hAnsi="Times New Roman" w:eastAsia="Times New Roman" w:cs="Times New Roman"/>
                <w:spacing w:val="-2"/>
                <w:sz w:val="24"/>
                <w:szCs w:val="24"/>
              </w:rPr>
              <w:t>3.0m</w:t>
            </w:r>
            <w:r>
              <w:rPr>
                <w:rFonts w:ascii="宋体" w:hAnsi="宋体" w:eastAsia="宋体" w:cs="宋体"/>
                <w:spacing w:val="-2"/>
                <w:sz w:val="24"/>
                <w:szCs w:val="24"/>
              </w:rPr>
              <w:t>，立柱地下埋深不小于</w:t>
            </w:r>
            <w:r>
              <w:rPr>
                <w:rFonts w:ascii="Times New Roman" w:hAnsi="Times New Roman" w:eastAsia="Times New Roman" w:cs="Times New Roman"/>
                <w:spacing w:val="-2"/>
                <w:sz w:val="24"/>
                <w:szCs w:val="24"/>
              </w:rPr>
              <w:t>0.5m</w:t>
            </w:r>
            <w:r>
              <w:rPr>
                <w:rFonts w:ascii="宋体" w:hAnsi="宋体" w:eastAsia="宋体" w:cs="宋体"/>
                <w:spacing w:val="-2"/>
                <w:sz w:val="24"/>
                <w:szCs w:val="24"/>
              </w:rPr>
              <w:t>，牌面为室外</w:t>
            </w:r>
            <w:r>
              <w:rPr>
                <w:rFonts w:ascii="宋体" w:hAnsi="宋体" w:eastAsia="宋体" w:cs="宋体"/>
                <w:spacing w:val="-3"/>
                <w:sz w:val="24"/>
                <w:szCs w:val="24"/>
              </w:rPr>
              <w:t>写真，要求不易褪色。</w:t>
            </w:r>
          </w:p>
          <w:bookmarkEnd w:id="5"/>
          <w:p w14:paraId="52183581">
            <w:pPr>
              <w:bidi w:val="0"/>
              <w:ind w:left="0" w:leftChars="0" w:firstLine="0" w:firstLineChars="0"/>
              <w:jc w:val="left"/>
              <w:rPr>
                <w:rFonts w:hint="default"/>
                <w:b/>
                <w:bCs/>
                <w:highlight w:val="none"/>
                <w:lang w:val="en-US" w:eastAsia="zh-CN"/>
              </w:rPr>
            </w:pPr>
            <w:r>
              <w:rPr>
                <w:rFonts w:hint="eastAsia"/>
                <w:b/>
                <w:bCs/>
                <w:highlight w:val="none"/>
                <w:lang w:val="en-US" w:eastAsia="zh-CN"/>
              </w:rPr>
              <w:t>2.4</w:t>
            </w:r>
            <w:r>
              <w:rPr>
                <w:rFonts w:hint="default"/>
                <w:b/>
                <w:bCs/>
                <w:highlight w:val="none"/>
                <w:lang w:val="en-US" w:eastAsia="zh-CN"/>
              </w:rPr>
              <w:t>主要设备</w:t>
            </w:r>
          </w:p>
          <w:p w14:paraId="1438324E">
            <w:pPr>
              <w:bidi w:val="0"/>
              <w:jc w:val="both"/>
              <w:rPr>
                <w:rFonts w:hint="default"/>
                <w:highlight w:val="none"/>
                <w:lang w:val="en-US" w:eastAsia="zh-CN"/>
              </w:rPr>
            </w:pPr>
            <w:r>
              <w:rPr>
                <w:rFonts w:hint="default"/>
                <w:highlight w:val="none"/>
                <w:lang w:val="en-US" w:eastAsia="zh-CN"/>
              </w:rPr>
              <w:t>项目主要设备见表2</w:t>
            </w:r>
            <w:r>
              <w:rPr>
                <w:rFonts w:hint="eastAsia"/>
                <w:highlight w:val="none"/>
                <w:lang w:val="en-US" w:eastAsia="zh-CN"/>
              </w:rPr>
              <w:t>.4</w:t>
            </w:r>
            <w:r>
              <w:rPr>
                <w:rFonts w:hint="default"/>
                <w:highlight w:val="none"/>
                <w:lang w:val="en-US" w:eastAsia="zh-CN"/>
              </w:rPr>
              <w:t>-</w:t>
            </w:r>
            <w:r>
              <w:rPr>
                <w:rFonts w:hint="eastAsia"/>
                <w:highlight w:val="none"/>
                <w:lang w:val="en-US" w:eastAsia="zh-CN"/>
              </w:rPr>
              <w:t>1</w:t>
            </w:r>
            <w:r>
              <w:rPr>
                <w:rFonts w:hint="default"/>
                <w:highlight w:val="none"/>
                <w:lang w:val="en-US" w:eastAsia="zh-CN"/>
              </w:rPr>
              <w:t>。</w:t>
            </w:r>
          </w:p>
          <w:p w14:paraId="4E0A3464">
            <w:pPr>
              <w:bidi w:val="0"/>
              <w:jc w:val="center"/>
              <w:rPr>
                <w:rFonts w:hint="default"/>
                <w:highlight w:val="none"/>
                <w:lang w:val="en-US" w:eastAsia="zh-CN"/>
              </w:rPr>
            </w:pPr>
            <w:r>
              <w:rPr>
                <w:rFonts w:hint="default"/>
                <w:highlight w:val="none"/>
                <w:lang w:val="en-US" w:eastAsia="zh-CN"/>
              </w:rPr>
              <w:t>表2</w:t>
            </w:r>
            <w:r>
              <w:rPr>
                <w:rFonts w:hint="eastAsia"/>
                <w:highlight w:val="none"/>
                <w:lang w:val="en-US" w:eastAsia="zh-CN"/>
              </w:rPr>
              <w:t>.4</w:t>
            </w:r>
            <w:r>
              <w:rPr>
                <w:rFonts w:hint="default"/>
                <w:highlight w:val="none"/>
                <w:lang w:val="en-US" w:eastAsia="zh-CN"/>
              </w:rPr>
              <w:t>-</w:t>
            </w:r>
            <w:r>
              <w:rPr>
                <w:rFonts w:hint="eastAsia"/>
                <w:highlight w:val="none"/>
                <w:lang w:val="en-US" w:eastAsia="zh-CN"/>
              </w:rPr>
              <w:t>1</w:t>
            </w:r>
            <w:r>
              <w:rPr>
                <w:rFonts w:hint="default"/>
                <w:highlight w:val="none"/>
                <w:lang w:val="en-US" w:eastAsia="zh-CN"/>
              </w:rPr>
              <w:t>本项目主要设备</w:t>
            </w:r>
          </w:p>
          <w:tbl>
            <w:tblPr>
              <w:tblStyle w:val="79"/>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2583"/>
              <w:gridCol w:w="1080"/>
              <w:gridCol w:w="1048"/>
              <w:gridCol w:w="2112"/>
            </w:tblGrid>
            <w:tr w14:paraId="2981C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570" w:type="pct"/>
                  <w:tcBorders>
                    <w:top w:val="single" w:color="000000" w:sz="12" w:space="0"/>
                    <w:left w:val="nil"/>
                    <w:bottom w:val="single" w:color="auto" w:sz="4" w:space="0"/>
                    <w:right w:val="single" w:color="auto" w:sz="4" w:space="0"/>
                    <w:tl2br w:val="nil"/>
                  </w:tcBorders>
                  <w:shd w:val="clear" w:color="auto" w:fill="FFFFFF"/>
                  <w:vAlign w:val="center"/>
                </w:tcPr>
                <w:p w14:paraId="474A56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序号</w:t>
                  </w:r>
                </w:p>
              </w:tc>
              <w:tc>
                <w:tcPr>
                  <w:tcW w:w="1677" w:type="pct"/>
                  <w:tcBorders>
                    <w:top w:val="single" w:color="000000" w:sz="12" w:space="0"/>
                    <w:left w:val="single" w:color="auto" w:sz="4" w:space="0"/>
                    <w:bottom w:val="single" w:color="auto" w:sz="4" w:space="0"/>
                    <w:right w:val="single" w:color="auto" w:sz="4" w:space="0"/>
                  </w:tcBorders>
                  <w:shd w:val="clear" w:color="auto" w:fill="FFFFFF"/>
                  <w:vAlign w:val="center"/>
                </w:tcPr>
                <w:p w14:paraId="029765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名称</w:t>
                  </w:r>
                </w:p>
              </w:tc>
              <w:tc>
                <w:tcPr>
                  <w:tcW w:w="701" w:type="pct"/>
                  <w:tcBorders>
                    <w:top w:val="single" w:color="000000" w:sz="12" w:space="0"/>
                    <w:left w:val="single" w:color="auto" w:sz="4" w:space="0"/>
                    <w:bottom w:val="single" w:color="auto" w:sz="4" w:space="0"/>
                    <w:right w:val="single" w:color="auto" w:sz="4" w:space="0"/>
                  </w:tcBorders>
                  <w:shd w:val="clear" w:color="auto" w:fill="FFFFFF"/>
                  <w:vAlign w:val="center"/>
                </w:tcPr>
                <w:p w14:paraId="6E2E5B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规格</w:t>
                  </w:r>
                </w:p>
              </w:tc>
              <w:tc>
                <w:tcPr>
                  <w:tcW w:w="680" w:type="pct"/>
                  <w:tcBorders>
                    <w:top w:val="single" w:color="000000" w:sz="12" w:space="0"/>
                    <w:left w:val="single" w:color="auto" w:sz="4" w:space="0"/>
                    <w:bottom w:val="single" w:color="auto" w:sz="4" w:space="0"/>
                    <w:right w:val="single" w:color="auto" w:sz="4" w:space="0"/>
                  </w:tcBorders>
                  <w:shd w:val="clear" w:color="auto" w:fill="FFFFFF"/>
                  <w:vAlign w:val="center"/>
                </w:tcPr>
                <w:p w14:paraId="787528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单位</w:t>
                  </w:r>
                </w:p>
              </w:tc>
              <w:tc>
                <w:tcPr>
                  <w:tcW w:w="1371" w:type="pct"/>
                  <w:tcBorders>
                    <w:top w:val="single" w:color="000000" w:sz="12" w:space="0"/>
                    <w:left w:val="single" w:color="auto" w:sz="4" w:space="0"/>
                    <w:bottom w:val="single" w:color="auto" w:sz="4" w:space="0"/>
                    <w:right w:val="nil"/>
                  </w:tcBorders>
                  <w:shd w:val="clear" w:color="auto" w:fill="FFFFFF"/>
                  <w:vAlign w:val="center"/>
                </w:tcPr>
                <w:p w14:paraId="321C7B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数量</w:t>
                  </w:r>
                </w:p>
              </w:tc>
            </w:tr>
            <w:tr w14:paraId="125C9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570" w:type="pct"/>
                  <w:tcBorders>
                    <w:top w:val="single" w:color="auto" w:sz="4" w:space="0"/>
                    <w:left w:val="nil"/>
                    <w:bottom w:val="single" w:color="auto" w:sz="4" w:space="0"/>
                    <w:right w:val="single" w:color="auto" w:sz="4" w:space="0"/>
                  </w:tcBorders>
                  <w:shd w:val="clear" w:color="auto" w:fill="FFFFFF"/>
                  <w:vAlign w:val="center"/>
                </w:tcPr>
                <w:p w14:paraId="18E8CF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1</w:t>
                  </w:r>
                </w:p>
              </w:tc>
              <w:tc>
                <w:tcPr>
                  <w:tcW w:w="1677" w:type="pct"/>
                  <w:tcBorders>
                    <w:top w:val="single" w:color="auto" w:sz="4" w:space="0"/>
                    <w:left w:val="single" w:color="auto" w:sz="4" w:space="0"/>
                    <w:bottom w:val="single" w:color="auto" w:sz="4" w:space="0"/>
                    <w:right w:val="single" w:color="auto" w:sz="4" w:space="0"/>
                  </w:tcBorders>
                  <w:shd w:val="clear" w:color="auto" w:fill="FFFFFF"/>
                  <w:vAlign w:val="center"/>
                </w:tcPr>
                <w:p w14:paraId="017993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挖掘机</w:t>
                  </w:r>
                </w:p>
              </w:tc>
              <w:tc>
                <w:tcPr>
                  <w:tcW w:w="701" w:type="pct"/>
                  <w:tcBorders>
                    <w:top w:val="single" w:color="auto" w:sz="4" w:space="0"/>
                    <w:left w:val="single" w:color="auto" w:sz="4" w:space="0"/>
                    <w:bottom w:val="single" w:color="auto" w:sz="4" w:space="0"/>
                    <w:right w:val="single" w:color="auto" w:sz="4" w:space="0"/>
                  </w:tcBorders>
                  <w:shd w:val="clear" w:color="auto" w:fill="FFFFFF"/>
                  <w:vAlign w:val="center"/>
                </w:tcPr>
                <w:p w14:paraId="7767D5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eastAsia"/>
                      <w:b w:val="0"/>
                      <w:color w:val="000000"/>
                      <w:highlight w:val="none"/>
                      <w:lang w:val="en-US" w:eastAsia="zh-CN"/>
                    </w:rPr>
                    <w:t>1</w:t>
                  </w:r>
                  <w:r>
                    <w:rPr>
                      <w:rFonts w:hint="default"/>
                      <w:b w:val="0"/>
                      <w:color w:val="000000"/>
                      <w:highlight w:val="none"/>
                      <w:lang w:val="en-US" w:eastAsia="zh-CN"/>
                    </w:rPr>
                    <w:t>m</w:t>
                  </w:r>
                  <w:r>
                    <w:rPr>
                      <w:rFonts w:hint="default"/>
                      <w:b w:val="0"/>
                      <w:color w:val="000000"/>
                      <w:highlight w:val="none"/>
                      <w:vertAlign w:val="superscript"/>
                      <w:lang w:val="en-US" w:eastAsia="zh-CN"/>
                    </w:rPr>
                    <w:t>3</w:t>
                  </w:r>
                  <w:r>
                    <w:rPr>
                      <w:rFonts w:hint="default"/>
                      <w:b w:val="0"/>
                      <w:color w:val="000000"/>
                      <w:highlight w:val="none"/>
                      <w:lang w:val="en-US" w:eastAsia="zh-CN"/>
                    </w:rPr>
                    <w:t>、</w:t>
                  </w:r>
                  <w:r>
                    <w:rPr>
                      <w:rFonts w:hint="eastAsia"/>
                      <w:b w:val="0"/>
                      <w:color w:val="000000"/>
                      <w:highlight w:val="none"/>
                      <w:lang w:val="en-US" w:eastAsia="zh-CN"/>
                    </w:rPr>
                    <w:t>2</w:t>
                  </w:r>
                  <w:r>
                    <w:rPr>
                      <w:rFonts w:hint="default"/>
                      <w:b w:val="0"/>
                      <w:color w:val="000000"/>
                      <w:highlight w:val="none"/>
                      <w:lang w:val="en-US" w:eastAsia="zh-CN"/>
                    </w:rPr>
                    <w:t>m</w:t>
                  </w:r>
                  <w:r>
                    <w:rPr>
                      <w:rFonts w:hint="default"/>
                      <w:b w:val="0"/>
                      <w:color w:val="000000"/>
                      <w:highlight w:val="none"/>
                      <w:vertAlign w:val="superscript"/>
                      <w:lang w:val="en-US" w:eastAsia="zh-CN"/>
                    </w:rPr>
                    <w:t>3</w:t>
                  </w:r>
                </w:p>
              </w:tc>
              <w:tc>
                <w:tcPr>
                  <w:tcW w:w="680" w:type="pct"/>
                  <w:tcBorders>
                    <w:top w:val="single" w:color="auto" w:sz="4" w:space="0"/>
                    <w:left w:val="single" w:color="auto" w:sz="4" w:space="0"/>
                    <w:bottom w:val="single" w:color="auto" w:sz="4" w:space="0"/>
                    <w:right w:val="single" w:color="auto" w:sz="4" w:space="0"/>
                  </w:tcBorders>
                  <w:shd w:val="clear" w:color="auto" w:fill="FFFFFF"/>
                  <w:vAlign w:val="center"/>
                </w:tcPr>
                <w:p w14:paraId="1E059D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台</w:t>
                  </w:r>
                </w:p>
              </w:tc>
              <w:tc>
                <w:tcPr>
                  <w:tcW w:w="1371" w:type="pct"/>
                  <w:tcBorders>
                    <w:top w:val="single" w:color="auto" w:sz="4" w:space="0"/>
                    <w:left w:val="single" w:color="auto" w:sz="4" w:space="0"/>
                    <w:bottom w:val="single" w:color="auto" w:sz="4" w:space="0"/>
                    <w:right w:val="nil"/>
                  </w:tcBorders>
                  <w:shd w:val="clear" w:color="auto" w:fill="FFFFFF"/>
                  <w:vAlign w:val="center"/>
                </w:tcPr>
                <w:p w14:paraId="34C397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eastAsia"/>
                      <w:b w:val="0"/>
                      <w:color w:val="000000"/>
                      <w:highlight w:val="none"/>
                      <w:lang w:val="en-US" w:eastAsia="zh-CN"/>
                    </w:rPr>
                    <w:t>5</w:t>
                  </w:r>
                </w:p>
              </w:tc>
            </w:tr>
            <w:tr w14:paraId="340C0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570" w:type="pct"/>
                  <w:tcBorders>
                    <w:top w:val="single" w:color="auto" w:sz="4" w:space="0"/>
                    <w:left w:val="nil"/>
                    <w:bottom w:val="single" w:color="auto" w:sz="4" w:space="0"/>
                    <w:right w:val="single" w:color="auto" w:sz="4" w:space="0"/>
                  </w:tcBorders>
                  <w:shd w:val="clear" w:color="auto" w:fill="FFFFFF"/>
                  <w:vAlign w:val="center"/>
                </w:tcPr>
                <w:p w14:paraId="3D963E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2</w:t>
                  </w:r>
                </w:p>
              </w:tc>
              <w:tc>
                <w:tcPr>
                  <w:tcW w:w="1677" w:type="pct"/>
                  <w:tcBorders>
                    <w:top w:val="single" w:color="auto" w:sz="4" w:space="0"/>
                    <w:left w:val="single" w:color="auto" w:sz="4" w:space="0"/>
                    <w:bottom w:val="single" w:color="auto" w:sz="4" w:space="0"/>
                    <w:right w:val="single" w:color="auto" w:sz="4" w:space="0"/>
                  </w:tcBorders>
                  <w:shd w:val="clear" w:color="auto" w:fill="FFFFFF"/>
                  <w:vAlign w:val="center"/>
                </w:tcPr>
                <w:p w14:paraId="3C7DFF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推土机</w:t>
                  </w:r>
                </w:p>
              </w:tc>
              <w:tc>
                <w:tcPr>
                  <w:tcW w:w="701" w:type="pct"/>
                  <w:tcBorders>
                    <w:top w:val="single" w:color="auto" w:sz="4" w:space="0"/>
                    <w:left w:val="single" w:color="auto" w:sz="4" w:space="0"/>
                    <w:bottom w:val="single" w:color="auto" w:sz="4" w:space="0"/>
                    <w:right w:val="single" w:color="auto" w:sz="4" w:space="0"/>
                  </w:tcBorders>
                  <w:shd w:val="clear" w:color="auto" w:fill="FFFFFF"/>
                  <w:vAlign w:val="center"/>
                </w:tcPr>
                <w:p w14:paraId="48BD68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eastAsia"/>
                      <w:b w:val="0"/>
                      <w:color w:val="000000"/>
                      <w:highlight w:val="none"/>
                      <w:lang w:val="en-US" w:eastAsia="zh-CN"/>
                    </w:rPr>
                    <w:t>59</w:t>
                  </w:r>
                  <w:r>
                    <w:rPr>
                      <w:rFonts w:hint="default"/>
                      <w:b w:val="0"/>
                      <w:color w:val="000000"/>
                      <w:highlight w:val="none"/>
                      <w:lang w:val="en-US" w:eastAsia="zh-CN"/>
                    </w:rPr>
                    <w:t>kw</w:t>
                  </w:r>
                </w:p>
              </w:tc>
              <w:tc>
                <w:tcPr>
                  <w:tcW w:w="680" w:type="pct"/>
                  <w:tcBorders>
                    <w:top w:val="single" w:color="auto" w:sz="4" w:space="0"/>
                    <w:left w:val="single" w:color="auto" w:sz="4" w:space="0"/>
                    <w:bottom w:val="single" w:color="auto" w:sz="4" w:space="0"/>
                    <w:right w:val="single" w:color="auto" w:sz="4" w:space="0"/>
                  </w:tcBorders>
                  <w:shd w:val="clear" w:color="auto" w:fill="FFFFFF"/>
                  <w:vAlign w:val="center"/>
                </w:tcPr>
                <w:p w14:paraId="78E989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台</w:t>
                  </w:r>
                </w:p>
              </w:tc>
              <w:tc>
                <w:tcPr>
                  <w:tcW w:w="1371" w:type="pct"/>
                  <w:tcBorders>
                    <w:top w:val="single" w:color="auto" w:sz="4" w:space="0"/>
                    <w:left w:val="single" w:color="auto" w:sz="4" w:space="0"/>
                    <w:bottom w:val="single" w:color="auto" w:sz="4" w:space="0"/>
                    <w:right w:val="nil"/>
                  </w:tcBorders>
                  <w:shd w:val="clear" w:color="auto" w:fill="FFFFFF"/>
                  <w:vAlign w:val="center"/>
                </w:tcPr>
                <w:p w14:paraId="6A94E2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eastAsia"/>
                      <w:b w:val="0"/>
                      <w:color w:val="000000"/>
                      <w:highlight w:val="none"/>
                      <w:lang w:val="en-US" w:eastAsia="zh-CN"/>
                    </w:rPr>
                    <w:t>3</w:t>
                  </w:r>
                </w:p>
              </w:tc>
            </w:tr>
            <w:tr w14:paraId="39FAE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570" w:type="pct"/>
                  <w:tcBorders>
                    <w:top w:val="single" w:color="auto" w:sz="4" w:space="0"/>
                    <w:left w:val="nil"/>
                    <w:bottom w:val="single" w:color="auto" w:sz="4" w:space="0"/>
                    <w:right w:val="single" w:color="auto" w:sz="4" w:space="0"/>
                  </w:tcBorders>
                  <w:shd w:val="clear" w:color="auto" w:fill="FFFFFF"/>
                  <w:vAlign w:val="center"/>
                </w:tcPr>
                <w:p w14:paraId="2DD457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3</w:t>
                  </w:r>
                </w:p>
              </w:tc>
              <w:tc>
                <w:tcPr>
                  <w:tcW w:w="1677" w:type="pct"/>
                  <w:tcBorders>
                    <w:top w:val="single" w:color="auto" w:sz="4" w:space="0"/>
                    <w:left w:val="single" w:color="auto" w:sz="4" w:space="0"/>
                    <w:bottom w:val="single" w:color="auto" w:sz="4" w:space="0"/>
                    <w:right w:val="single" w:color="auto" w:sz="4" w:space="0"/>
                  </w:tcBorders>
                  <w:shd w:val="clear" w:color="auto" w:fill="FFFFFF"/>
                  <w:vAlign w:val="center"/>
                </w:tcPr>
                <w:p w14:paraId="6070B4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自卸汽车</w:t>
                  </w:r>
                </w:p>
              </w:tc>
              <w:tc>
                <w:tcPr>
                  <w:tcW w:w="701" w:type="pct"/>
                  <w:tcBorders>
                    <w:top w:val="single" w:color="auto" w:sz="4" w:space="0"/>
                    <w:left w:val="single" w:color="auto" w:sz="4" w:space="0"/>
                    <w:bottom w:val="single" w:color="auto" w:sz="4" w:space="0"/>
                    <w:right w:val="single" w:color="auto" w:sz="4" w:space="0"/>
                  </w:tcBorders>
                  <w:shd w:val="clear" w:color="auto" w:fill="FFFFFF"/>
                  <w:vAlign w:val="center"/>
                </w:tcPr>
                <w:p w14:paraId="091235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10t、20t</w:t>
                  </w:r>
                </w:p>
              </w:tc>
              <w:tc>
                <w:tcPr>
                  <w:tcW w:w="680" w:type="pct"/>
                  <w:tcBorders>
                    <w:top w:val="single" w:color="auto" w:sz="4" w:space="0"/>
                    <w:left w:val="single" w:color="auto" w:sz="4" w:space="0"/>
                    <w:bottom w:val="single" w:color="auto" w:sz="4" w:space="0"/>
                    <w:right w:val="single" w:color="auto" w:sz="4" w:space="0"/>
                  </w:tcBorders>
                  <w:shd w:val="clear" w:color="auto" w:fill="FFFFFF"/>
                  <w:vAlign w:val="center"/>
                </w:tcPr>
                <w:p w14:paraId="2D3FDF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辆</w:t>
                  </w:r>
                </w:p>
              </w:tc>
              <w:tc>
                <w:tcPr>
                  <w:tcW w:w="1371" w:type="pct"/>
                  <w:tcBorders>
                    <w:top w:val="single" w:color="auto" w:sz="4" w:space="0"/>
                    <w:left w:val="single" w:color="auto" w:sz="4" w:space="0"/>
                    <w:bottom w:val="single" w:color="auto" w:sz="4" w:space="0"/>
                    <w:right w:val="nil"/>
                  </w:tcBorders>
                  <w:shd w:val="clear" w:color="auto" w:fill="FFFFFF"/>
                  <w:vAlign w:val="center"/>
                </w:tcPr>
                <w:p w14:paraId="639C3E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eastAsia"/>
                      <w:b w:val="0"/>
                      <w:color w:val="000000"/>
                      <w:highlight w:val="none"/>
                      <w:lang w:val="en-US" w:eastAsia="zh-CN"/>
                    </w:rPr>
                    <w:t>5</w:t>
                  </w:r>
                </w:p>
              </w:tc>
            </w:tr>
            <w:tr w14:paraId="72ABB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70" w:type="pct"/>
                  <w:tcBorders>
                    <w:top w:val="single" w:color="auto" w:sz="4" w:space="0"/>
                    <w:left w:val="nil"/>
                    <w:bottom w:val="single" w:color="auto" w:sz="4" w:space="0"/>
                    <w:right w:val="single" w:color="auto" w:sz="4" w:space="0"/>
                  </w:tcBorders>
                  <w:shd w:val="clear" w:color="auto" w:fill="FFFFFF"/>
                  <w:vAlign w:val="center"/>
                </w:tcPr>
                <w:p w14:paraId="4B01FB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4</w:t>
                  </w:r>
                </w:p>
              </w:tc>
              <w:tc>
                <w:tcPr>
                  <w:tcW w:w="1677" w:type="pct"/>
                  <w:tcBorders>
                    <w:top w:val="single" w:color="auto" w:sz="4" w:space="0"/>
                    <w:left w:val="single" w:color="auto" w:sz="4" w:space="0"/>
                    <w:bottom w:val="single" w:color="auto" w:sz="4" w:space="0"/>
                    <w:right w:val="single" w:color="auto" w:sz="4" w:space="0"/>
                  </w:tcBorders>
                  <w:shd w:val="clear" w:color="auto" w:fill="FFFFFF"/>
                  <w:vAlign w:val="center"/>
                </w:tcPr>
                <w:p w14:paraId="5DDE6C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农用拖拉机</w:t>
                  </w:r>
                </w:p>
              </w:tc>
              <w:tc>
                <w:tcPr>
                  <w:tcW w:w="701" w:type="pct"/>
                  <w:tcBorders>
                    <w:top w:val="single" w:color="auto" w:sz="4" w:space="0"/>
                    <w:left w:val="single" w:color="auto" w:sz="4" w:space="0"/>
                    <w:bottom w:val="single" w:color="auto" w:sz="4" w:space="0"/>
                    <w:right w:val="single" w:color="auto" w:sz="4" w:space="0"/>
                  </w:tcBorders>
                  <w:shd w:val="clear" w:color="auto" w:fill="FFFFFF"/>
                  <w:vAlign w:val="center"/>
                </w:tcPr>
                <w:p w14:paraId="5372CE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自卸</w:t>
                  </w:r>
                </w:p>
              </w:tc>
              <w:tc>
                <w:tcPr>
                  <w:tcW w:w="680" w:type="pct"/>
                  <w:tcBorders>
                    <w:top w:val="single" w:color="auto" w:sz="4" w:space="0"/>
                    <w:left w:val="single" w:color="auto" w:sz="4" w:space="0"/>
                    <w:bottom w:val="single" w:color="auto" w:sz="4" w:space="0"/>
                    <w:right w:val="single" w:color="auto" w:sz="4" w:space="0"/>
                  </w:tcBorders>
                  <w:shd w:val="clear" w:color="auto" w:fill="FFFFFF"/>
                  <w:vAlign w:val="center"/>
                </w:tcPr>
                <w:p w14:paraId="17FD20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辆</w:t>
                  </w:r>
                </w:p>
              </w:tc>
              <w:tc>
                <w:tcPr>
                  <w:tcW w:w="1371" w:type="pct"/>
                  <w:tcBorders>
                    <w:top w:val="single" w:color="auto" w:sz="4" w:space="0"/>
                    <w:left w:val="single" w:color="auto" w:sz="4" w:space="0"/>
                    <w:bottom w:val="single" w:color="auto" w:sz="4" w:space="0"/>
                    <w:right w:val="nil"/>
                  </w:tcBorders>
                  <w:shd w:val="clear" w:color="auto" w:fill="FFFFFF"/>
                  <w:vAlign w:val="center"/>
                </w:tcPr>
                <w:p w14:paraId="2BC214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5</w:t>
                  </w:r>
                </w:p>
              </w:tc>
            </w:tr>
            <w:tr w14:paraId="0D101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70" w:type="pct"/>
                  <w:tcBorders>
                    <w:top w:val="single" w:color="auto" w:sz="4" w:space="0"/>
                    <w:left w:val="nil"/>
                    <w:bottom w:val="single" w:color="auto" w:sz="4" w:space="0"/>
                    <w:right w:val="single" w:color="auto" w:sz="4" w:space="0"/>
                  </w:tcBorders>
                  <w:shd w:val="clear" w:color="auto" w:fill="FFFFFF"/>
                  <w:vAlign w:val="center"/>
                </w:tcPr>
                <w:p w14:paraId="616E0B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default"/>
                      <w:b w:val="0"/>
                      <w:color w:val="000000"/>
                      <w:highlight w:val="none"/>
                      <w:lang w:val="en-US" w:eastAsia="zh-CN"/>
                    </w:rPr>
                    <w:t>5</w:t>
                  </w:r>
                </w:p>
              </w:tc>
              <w:tc>
                <w:tcPr>
                  <w:tcW w:w="1677" w:type="pct"/>
                  <w:tcBorders>
                    <w:top w:val="single" w:color="auto" w:sz="4" w:space="0"/>
                    <w:left w:val="single" w:color="auto" w:sz="4" w:space="0"/>
                    <w:bottom w:val="single" w:color="auto" w:sz="4" w:space="0"/>
                    <w:right w:val="single" w:color="auto" w:sz="4" w:space="0"/>
                  </w:tcBorders>
                  <w:shd w:val="clear" w:color="auto" w:fill="FFFFFF"/>
                  <w:vAlign w:val="center"/>
                </w:tcPr>
                <w:p w14:paraId="30742F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载重汽车</w:t>
                  </w:r>
                </w:p>
              </w:tc>
              <w:tc>
                <w:tcPr>
                  <w:tcW w:w="701" w:type="pct"/>
                  <w:tcBorders>
                    <w:top w:val="single" w:color="auto" w:sz="4" w:space="0"/>
                    <w:left w:val="single" w:color="auto" w:sz="4" w:space="0"/>
                    <w:bottom w:val="single" w:color="auto" w:sz="4" w:space="0"/>
                    <w:right w:val="single" w:color="auto" w:sz="4" w:space="0"/>
                  </w:tcBorders>
                  <w:shd w:val="clear" w:color="auto" w:fill="FFFFFF"/>
                  <w:vAlign w:val="center"/>
                </w:tcPr>
                <w:p w14:paraId="4069D0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p>
              </w:tc>
              <w:tc>
                <w:tcPr>
                  <w:tcW w:w="680" w:type="pct"/>
                  <w:tcBorders>
                    <w:top w:val="single" w:color="auto" w:sz="4" w:space="0"/>
                    <w:left w:val="single" w:color="auto" w:sz="4" w:space="0"/>
                    <w:bottom w:val="single" w:color="auto" w:sz="4" w:space="0"/>
                    <w:right w:val="single" w:color="auto" w:sz="4" w:space="0"/>
                  </w:tcBorders>
                  <w:shd w:val="clear" w:color="auto" w:fill="FFFFFF"/>
                  <w:vAlign w:val="center"/>
                </w:tcPr>
                <w:p w14:paraId="6A75BF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台</w:t>
                  </w:r>
                </w:p>
              </w:tc>
              <w:tc>
                <w:tcPr>
                  <w:tcW w:w="1371" w:type="pct"/>
                  <w:tcBorders>
                    <w:top w:val="single" w:color="auto" w:sz="4" w:space="0"/>
                    <w:left w:val="single" w:color="auto" w:sz="4" w:space="0"/>
                    <w:bottom w:val="single" w:color="auto" w:sz="4" w:space="0"/>
                    <w:right w:val="nil"/>
                  </w:tcBorders>
                  <w:shd w:val="clear" w:color="auto" w:fill="FFFFFF"/>
                  <w:vAlign w:val="center"/>
                </w:tcPr>
                <w:p w14:paraId="79B3F2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4</w:t>
                  </w:r>
                </w:p>
              </w:tc>
            </w:tr>
            <w:tr w14:paraId="57686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70" w:type="pct"/>
                  <w:tcBorders>
                    <w:top w:val="single" w:color="auto" w:sz="4" w:space="0"/>
                    <w:left w:val="nil"/>
                    <w:bottom w:val="single" w:color="000000" w:sz="12" w:space="0"/>
                    <w:right w:val="single" w:color="auto" w:sz="4" w:space="0"/>
                  </w:tcBorders>
                  <w:shd w:val="clear" w:color="auto" w:fill="FFFFFF"/>
                  <w:vAlign w:val="center"/>
                </w:tcPr>
                <w:p w14:paraId="2804E7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lang w:val="en-US" w:eastAsia="zh-CN"/>
                    </w:rPr>
                  </w:pPr>
                  <w:r>
                    <w:rPr>
                      <w:rFonts w:hint="eastAsia"/>
                      <w:b w:val="0"/>
                      <w:color w:val="000000"/>
                      <w:highlight w:val="none"/>
                      <w:lang w:val="en-US" w:eastAsia="zh-CN"/>
                    </w:rPr>
                    <w:t>6</w:t>
                  </w:r>
                </w:p>
              </w:tc>
              <w:tc>
                <w:tcPr>
                  <w:tcW w:w="1677" w:type="pct"/>
                  <w:tcBorders>
                    <w:top w:val="single" w:color="auto" w:sz="4" w:space="0"/>
                    <w:left w:val="single" w:color="auto" w:sz="4" w:space="0"/>
                    <w:bottom w:val="single" w:color="000000" w:sz="12" w:space="0"/>
                    <w:right w:val="single" w:color="auto" w:sz="4" w:space="0"/>
                  </w:tcBorders>
                  <w:shd w:val="clear" w:color="auto" w:fill="FFFFFF"/>
                  <w:vAlign w:val="center"/>
                </w:tcPr>
                <w:p w14:paraId="07D683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洒水车</w:t>
                  </w:r>
                </w:p>
              </w:tc>
              <w:tc>
                <w:tcPr>
                  <w:tcW w:w="701" w:type="pct"/>
                  <w:tcBorders>
                    <w:top w:val="single" w:color="auto" w:sz="4" w:space="0"/>
                    <w:left w:val="single" w:color="auto" w:sz="4" w:space="0"/>
                    <w:bottom w:val="single" w:color="000000" w:sz="12" w:space="0"/>
                    <w:right w:val="single" w:color="auto" w:sz="4" w:space="0"/>
                  </w:tcBorders>
                  <w:shd w:val="clear" w:color="auto" w:fill="FFFFFF"/>
                  <w:vAlign w:val="center"/>
                </w:tcPr>
                <w:p w14:paraId="1C7CC9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p>
              </w:tc>
              <w:tc>
                <w:tcPr>
                  <w:tcW w:w="680" w:type="pct"/>
                  <w:tcBorders>
                    <w:top w:val="single" w:color="auto" w:sz="4" w:space="0"/>
                    <w:left w:val="single" w:color="auto" w:sz="4" w:space="0"/>
                    <w:bottom w:val="single" w:color="000000" w:sz="12" w:space="0"/>
                    <w:right w:val="single" w:color="auto" w:sz="4" w:space="0"/>
                  </w:tcBorders>
                  <w:shd w:val="clear" w:color="auto" w:fill="FFFFFF"/>
                  <w:vAlign w:val="center"/>
                </w:tcPr>
                <w:p w14:paraId="573F66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台</w:t>
                  </w:r>
                </w:p>
              </w:tc>
              <w:tc>
                <w:tcPr>
                  <w:tcW w:w="1371" w:type="pct"/>
                  <w:tcBorders>
                    <w:top w:val="single" w:color="auto" w:sz="4" w:space="0"/>
                    <w:left w:val="single" w:color="auto" w:sz="4" w:space="0"/>
                    <w:bottom w:val="single" w:color="000000" w:sz="12" w:space="0"/>
                    <w:right w:val="nil"/>
                  </w:tcBorders>
                  <w:shd w:val="clear" w:color="auto" w:fill="FFFFFF"/>
                  <w:vAlign w:val="center"/>
                </w:tcPr>
                <w:p w14:paraId="2558A3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2</w:t>
                  </w:r>
                </w:p>
              </w:tc>
            </w:tr>
          </w:tbl>
          <w:p w14:paraId="242A0133">
            <w:pPr>
              <w:bidi w:val="0"/>
              <w:ind w:left="0" w:leftChars="0" w:firstLine="0" w:firstLineChars="0"/>
              <w:rPr>
                <w:rFonts w:hint="default"/>
                <w:b/>
                <w:bCs/>
                <w:highlight w:val="none"/>
                <w:lang w:val="en-US" w:eastAsia="zh-CN"/>
              </w:rPr>
            </w:pPr>
            <w:r>
              <w:rPr>
                <w:rFonts w:hint="eastAsia"/>
                <w:b/>
                <w:bCs/>
                <w:highlight w:val="none"/>
                <w:lang w:val="en-US" w:eastAsia="zh-CN"/>
              </w:rPr>
              <w:t xml:space="preserve">2.5 </w:t>
            </w:r>
            <w:r>
              <w:rPr>
                <w:rFonts w:hint="default"/>
                <w:b/>
                <w:bCs/>
                <w:highlight w:val="none"/>
                <w:lang w:val="en-US" w:eastAsia="zh-CN"/>
              </w:rPr>
              <w:t>原辅材料消耗</w:t>
            </w:r>
          </w:p>
          <w:p w14:paraId="00A91E65">
            <w:pPr>
              <w:bidi w:val="0"/>
              <w:jc w:val="center"/>
              <w:rPr>
                <w:rFonts w:hint="default"/>
                <w:highlight w:val="none"/>
                <w:lang w:val="en-US" w:eastAsia="zh-CN"/>
              </w:rPr>
            </w:pPr>
            <w:r>
              <w:rPr>
                <w:rFonts w:hint="default"/>
                <w:highlight w:val="none"/>
                <w:lang w:val="en-US" w:eastAsia="zh-CN"/>
              </w:rPr>
              <w:t>表2-</w:t>
            </w:r>
            <w:r>
              <w:rPr>
                <w:rFonts w:hint="eastAsia"/>
                <w:highlight w:val="none"/>
                <w:lang w:val="en-US" w:eastAsia="zh-CN"/>
              </w:rPr>
              <w:t>4</w:t>
            </w:r>
            <w:r>
              <w:rPr>
                <w:rFonts w:hint="default"/>
                <w:highlight w:val="none"/>
                <w:lang w:val="en-US" w:eastAsia="zh-CN"/>
              </w:rPr>
              <w:t>原辅材料消耗</w:t>
            </w:r>
          </w:p>
          <w:tbl>
            <w:tblPr>
              <w:tblStyle w:val="27"/>
              <w:tblW w:w="499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336"/>
              <w:gridCol w:w="867"/>
              <w:gridCol w:w="947"/>
              <w:gridCol w:w="975"/>
              <w:gridCol w:w="819"/>
              <w:gridCol w:w="824"/>
              <w:gridCol w:w="1476"/>
            </w:tblGrid>
            <w:tr w14:paraId="4152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9" w:type="pct"/>
                  <w:tcBorders>
                    <w:top w:val="single" w:color="000000" w:sz="12" w:space="0"/>
                    <w:left w:val="nil"/>
                    <w:tl2br w:val="nil"/>
                  </w:tcBorders>
                  <w:shd w:val="clear" w:color="auto" w:fill="FFFFFF"/>
                  <w:noWrap w:val="0"/>
                  <w:vAlign w:val="center"/>
                </w:tcPr>
                <w:p w14:paraId="6CA428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rPr>
                  </w:pPr>
                  <w:r>
                    <w:rPr>
                      <w:rFonts w:hint="default"/>
                      <w:b w:val="0"/>
                      <w:color w:val="000000"/>
                      <w:highlight w:val="none"/>
                    </w:rPr>
                    <w:t>序号</w:t>
                  </w:r>
                </w:p>
              </w:tc>
              <w:tc>
                <w:tcPr>
                  <w:tcW w:w="868" w:type="pct"/>
                  <w:tcBorders>
                    <w:top w:val="single" w:color="000000" w:sz="12" w:space="0"/>
                  </w:tcBorders>
                  <w:shd w:val="clear" w:color="auto" w:fill="FFFFFF"/>
                  <w:noWrap w:val="0"/>
                  <w:vAlign w:val="center"/>
                </w:tcPr>
                <w:p w14:paraId="1B6A44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rPr>
                  </w:pPr>
                  <w:r>
                    <w:rPr>
                      <w:rFonts w:hint="default"/>
                      <w:b w:val="0"/>
                      <w:color w:val="000000"/>
                      <w:highlight w:val="none"/>
                    </w:rPr>
                    <w:t>名称</w:t>
                  </w:r>
                </w:p>
              </w:tc>
              <w:tc>
                <w:tcPr>
                  <w:tcW w:w="563" w:type="pct"/>
                  <w:tcBorders>
                    <w:top w:val="single" w:color="000000" w:sz="12" w:space="0"/>
                  </w:tcBorders>
                  <w:shd w:val="clear" w:color="auto" w:fill="FFFFFF"/>
                  <w:noWrap w:val="0"/>
                  <w:vAlign w:val="center"/>
                </w:tcPr>
                <w:p w14:paraId="1DB351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rPr>
                  </w:pPr>
                  <w:r>
                    <w:rPr>
                      <w:rFonts w:hint="default"/>
                      <w:b w:val="0"/>
                      <w:color w:val="000000"/>
                      <w:highlight w:val="none"/>
                    </w:rPr>
                    <w:t>单位</w:t>
                  </w:r>
                </w:p>
              </w:tc>
              <w:tc>
                <w:tcPr>
                  <w:tcW w:w="615" w:type="pct"/>
                  <w:tcBorders>
                    <w:top w:val="single" w:color="000000" w:sz="12" w:space="0"/>
                  </w:tcBorders>
                  <w:shd w:val="clear" w:color="auto" w:fill="FFFFFF"/>
                  <w:noWrap w:val="0"/>
                  <w:vAlign w:val="center"/>
                </w:tcPr>
                <w:p w14:paraId="5AF565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rPr>
                  </w:pPr>
                  <w:r>
                    <w:rPr>
                      <w:rFonts w:hint="default"/>
                      <w:b w:val="0"/>
                      <w:color w:val="000000"/>
                      <w:highlight w:val="none"/>
                    </w:rPr>
                    <w:t>用量</w:t>
                  </w:r>
                </w:p>
              </w:tc>
              <w:tc>
                <w:tcPr>
                  <w:tcW w:w="633" w:type="pct"/>
                  <w:tcBorders>
                    <w:top w:val="single" w:color="000000" w:sz="12" w:space="0"/>
                  </w:tcBorders>
                  <w:shd w:val="clear" w:color="auto" w:fill="FFFFFF"/>
                  <w:noWrap w:val="0"/>
                  <w:vAlign w:val="center"/>
                </w:tcPr>
                <w:p w14:paraId="0F5C2A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rPr>
                  </w:pPr>
                  <w:r>
                    <w:rPr>
                      <w:rFonts w:hint="default"/>
                      <w:b w:val="0"/>
                      <w:color w:val="000000"/>
                      <w:highlight w:val="none"/>
                    </w:rPr>
                    <w:t>最大储存量</w:t>
                  </w:r>
                </w:p>
              </w:tc>
              <w:tc>
                <w:tcPr>
                  <w:tcW w:w="532" w:type="pct"/>
                  <w:tcBorders>
                    <w:top w:val="single" w:color="000000" w:sz="12" w:space="0"/>
                  </w:tcBorders>
                  <w:shd w:val="clear" w:color="auto" w:fill="FFFFFF"/>
                  <w:noWrap w:val="0"/>
                  <w:vAlign w:val="center"/>
                </w:tcPr>
                <w:p w14:paraId="797A72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rPr>
                  </w:pPr>
                  <w:r>
                    <w:rPr>
                      <w:rFonts w:hint="default"/>
                      <w:b w:val="0"/>
                      <w:color w:val="000000"/>
                      <w:highlight w:val="none"/>
                    </w:rPr>
                    <w:t>储存形式</w:t>
                  </w:r>
                </w:p>
              </w:tc>
              <w:tc>
                <w:tcPr>
                  <w:tcW w:w="535" w:type="pct"/>
                  <w:tcBorders>
                    <w:top w:val="single" w:color="000000" w:sz="12" w:space="0"/>
                  </w:tcBorders>
                  <w:shd w:val="clear" w:color="auto" w:fill="FFFFFF"/>
                  <w:noWrap w:val="0"/>
                  <w:vAlign w:val="center"/>
                </w:tcPr>
                <w:p w14:paraId="373150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rPr>
                  </w:pPr>
                  <w:r>
                    <w:rPr>
                      <w:rFonts w:hint="default"/>
                      <w:b w:val="0"/>
                      <w:color w:val="000000"/>
                      <w:highlight w:val="none"/>
                    </w:rPr>
                    <w:t>场区储存位置</w:t>
                  </w:r>
                </w:p>
              </w:tc>
              <w:tc>
                <w:tcPr>
                  <w:tcW w:w="959" w:type="pct"/>
                  <w:tcBorders>
                    <w:top w:val="single" w:color="000000" w:sz="12" w:space="0"/>
                    <w:right w:val="nil"/>
                  </w:tcBorders>
                  <w:shd w:val="clear" w:color="auto" w:fill="FFFFFF"/>
                  <w:noWrap w:val="0"/>
                  <w:vAlign w:val="center"/>
                </w:tcPr>
                <w:p w14:paraId="12959B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rPr>
                  </w:pPr>
                  <w:r>
                    <w:rPr>
                      <w:rFonts w:hint="default"/>
                      <w:b w:val="0"/>
                      <w:color w:val="000000"/>
                      <w:highlight w:val="none"/>
                    </w:rPr>
                    <w:t>来源及运输方式</w:t>
                  </w:r>
                </w:p>
              </w:tc>
            </w:tr>
            <w:tr w14:paraId="7326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tcBorders>
                    <w:left w:val="nil"/>
                  </w:tcBorders>
                  <w:shd w:val="clear" w:color="auto" w:fill="FFFFFF"/>
                  <w:noWrap w:val="0"/>
                  <w:vAlign w:val="center"/>
                </w:tcPr>
                <w:p w14:paraId="06D86B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rPr>
                  </w:pPr>
                  <w:r>
                    <w:rPr>
                      <w:rFonts w:hint="default"/>
                      <w:b w:val="0"/>
                      <w:color w:val="000000"/>
                      <w:highlight w:val="none"/>
                    </w:rPr>
                    <w:t>1</w:t>
                  </w:r>
                </w:p>
              </w:tc>
              <w:tc>
                <w:tcPr>
                  <w:tcW w:w="868" w:type="pct"/>
                  <w:shd w:val="clear" w:color="auto" w:fill="FFFFFF"/>
                  <w:noWrap w:val="0"/>
                  <w:vAlign w:val="center"/>
                </w:tcPr>
                <w:p w14:paraId="744587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砂砾石</w:t>
                  </w:r>
                </w:p>
              </w:tc>
              <w:tc>
                <w:tcPr>
                  <w:tcW w:w="563" w:type="pct"/>
                  <w:shd w:val="clear" w:color="auto" w:fill="FFFFFF"/>
                  <w:noWrap w:val="0"/>
                  <w:vAlign w:val="center"/>
                </w:tcPr>
                <w:p w14:paraId="4A128B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m</w:t>
                  </w:r>
                  <w:r>
                    <w:rPr>
                      <w:rFonts w:hint="default"/>
                      <w:b w:val="0"/>
                      <w:color w:val="000000"/>
                      <w:highlight w:val="none"/>
                      <w:vertAlign w:val="superscript"/>
                      <w:lang w:val="en-US" w:eastAsia="zh-CN"/>
                    </w:rPr>
                    <w:t>3</w:t>
                  </w:r>
                </w:p>
              </w:tc>
              <w:tc>
                <w:tcPr>
                  <w:tcW w:w="615" w:type="pct"/>
                  <w:shd w:val="clear" w:color="auto" w:fill="FFFFFF"/>
                  <w:noWrap w:val="0"/>
                  <w:vAlign w:val="center"/>
                </w:tcPr>
                <w:p w14:paraId="15D034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2108</w:t>
                  </w:r>
                </w:p>
              </w:tc>
              <w:tc>
                <w:tcPr>
                  <w:tcW w:w="633" w:type="pct"/>
                  <w:shd w:val="clear" w:color="auto" w:fill="FFFFFF"/>
                  <w:noWrap w:val="0"/>
                  <w:vAlign w:val="center"/>
                </w:tcPr>
                <w:p w14:paraId="607BA6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w:t>
                  </w:r>
                </w:p>
              </w:tc>
              <w:tc>
                <w:tcPr>
                  <w:tcW w:w="532" w:type="pct"/>
                  <w:shd w:val="clear" w:color="auto" w:fill="FFFFFF"/>
                  <w:noWrap w:val="0"/>
                  <w:vAlign w:val="center"/>
                </w:tcPr>
                <w:p w14:paraId="069821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w:t>
                  </w:r>
                </w:p>
              </w:tc>
              <w:tc>
                <w:tcPr>
                  <w:tcW w:w="535" w:type="pct"/>
                  <w:shd w:val="clear" w:color="auto" w:fill="FFFFFF"/>
                  <w:noWrap w:val="0"/>
                  <w:vAlign w:val="center"/>
                </w:tcPr>
                <w:p w14:paraId="61B7A4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w:t>
                  </w:r>
                </w:p>
              </w:tc>
              <w:tc>
                <w:tcPr>
                  <w:tcW w:w="959" w:type="pct"/>
                  <w:tcBorders>
                    <w:right w:val="nil"/>
                  </w:tcBorders>
                  <w:shd w:val="clear" w:color="auto" w:fill="FFFFFF"/>
                  <w:noWrap w:val="0"/>
                  <w:vAlign w:val="center"/>
                </w:tcPr>
                <w:p w14:paraId="116683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外购</w:t>
                  </w:r>
                </w:p>
              </w:tc>
            </w:tr>
            <w:tr w14:paraId="07F2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tcBorders>
                    <w:left w:val="nil"/>
                  </w:tcBorders>
                  <w:shd w:val="clear" w:color="auto" w:fill="FFFFFF"/>
                  <w:noWrap w:val="0"/>
                  <w:vAlign w:val="center"/>
                </w:tcPr>
                <w:p w14:paraId="456535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color w:val="000000"/>
                      <w:highlight w:val="none"/>
                    </w:rPr>
                  </w:pPr>
                  <w:r>
                    <w:rPr>
                      <w:rFonts w:hint="default"/>
                      <w:b w:val="0"/>
                      <w:color w:val="000000"/>
                      <w:highlight w:val="none"/>
                    </w:rPr>
                    <w:t>2</w:t>
                  </w:r>
                </w:p>
              </w:tc>
              <w:tc>
                <w:tcPr>
                  <w:tcW w:w="868" w:type="pct"/>
                  <w:shd w:val="clear" w:color="auto" w:fill="FFFFFF"/>
                  <w:noWrap w:val="0"/>
                  <w:vAlign w:val="center"/>
                </w:tcPr>
                <w:p w14:paraId="219CD0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生态袋</w:t>
                  </w:r>
                </w:p>
              </w:tc>
              <w:tc>
                <w:tcPr>
                  <w:tcW w:w="563" w:type="pct"/>
                  <w:shd w:val="clear" w:color="auto" w:fill="FFFFFF"/>
                  <w:noWrap w:val="0"/>
                  <w:vAlign w:val="center"/>
                </w:tcPr>
                <w:p w14:paraId="5580B6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个</w:t>
                  </w:r>
                </w:p>
              </w:tc>
              <w:tc>
                <w:tcPr>
                  <w:tcW w:w="615" w:type="pct"/>
                  <w:shd w:val="clear" w:color="auto" w:fill="FFFFFF"/>
                  <w:noWrap w:val="0"/>
                  <w:vAlign w:val="center"/>
                </w:tcPr>
                <w:p w14:paraId="163D7D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b w:val="0"/>
                      <w:color w:val="000000"/>
                      <w:highlight w:val="none"/>
                      <w:lang w:val="en-US" w:eastAsia="zh-CN"/>
                    </w:rPr>
                    <w:t>5000</w:t>
                  </w:r>
                </w:p>
              </w:tc>
              <w:tc>
                <w:tcPr>
                  <w:tcW w:w="633" w:type="pct"/>
                  <w:shd w:val="clear" w:color="auto" w:fill="FFFFFF"/>
                  <w:noWrap w:val="0"/>
                  <w:vAlign w:val="center"/>
                </w:tcPr>
                <w:p w14:paraId="6C8A26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w:t>
                  </w:r>
                </w:p>
              </w:tc>
              <w:tc>
                <w:tcPr>
                  <w:tcW w:w="532" w:type="pct"/>
                  <w:shd w:val="clear" w:color="auto" w:fill="FFFFFF"/>
                  <w:noWrap w:val="0"/>
                  <w:vAlign w:val="center"/>
                </w:tcPr>
                <w:p w14:paraId="4F021C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w:t>
                  </w:r>
                </w:p>
              </w:tc>
              <w:tc>
                <w:tcPr>
                  <w:tcW w:w="535" w:type="pct"/>
                  <w:shd w:val="clear" w:color="auto" w:fill="FFFFFF"/>
                  <w:noWrap w:val="0"/>
                  <w:vAlign w:val="center"/>
                </w:tcPr>
                <w:p w14:paraId="3A9982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w:t>
                  </w:r>
                </w:p>
              </w:tc>
              <w:tc>
                <w:tcPr>
                  <w:tcW w:w="959" w:type="pct"/>
                  <w:tcBorders>
                    <w:right w:val="nil"/>
                  </w:tcBorders>
                  <w:shd w:val="clear" w:color="auto" w:fill="FFFFFF"/>
                  <w:noWrap w:val="0"/>
                  <w:vAlign w:val="center"/>
                </w:tcPr>
                <w:p w14:paraId="1E3F7F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b w:val="0"/>
                      <w:color w:val="000000"/>
                      <w:highlight w:val="none"/>
                      <w:lang w:val="en-US" w:eastAsia="zh-CN"/>
                    </w:rPr>
                    <w:t>外购</w:t>
                  </w:r>
                </w:p>
              </w:tc>
            </w:tr>
          </w:tbl>
          <w:p w14:paraId="43BB5F6C">
            <w:pPr>
              <w:bidi w:val="0"/>
              <w:ind w:left="0" w:leftChars="0" w:firstLine="0" w:firstLineChars="0"/>
              <w:rPr>
                <w:rFonts w:hint="default"/>
                <w:highlight w:val="none"/>
                <w:lang w:val="en-US" w:eastAsia="zh-CN"/>
              </w:rPr>
            </w:pPr>
            <w:r>
              <w:rPr>
                <w:rFonts w:hint="eastAsia"/>
                <w:highlight w:val="none"/>
                <w:lang w:val="en-US" w:eastAsia="zh-CN"/>
              </w:rPr>
              <w:t>2.6</w:t>
            </w:r>
            <w:r>
              <w:rPr>
                <w:rFonts w:hint="default"/>
                <w:highlight w:val="none"/>
                <w:lang w:val="en-US" w:eastAsia="zh-CN"/>
              </w:rPr>
              <w:t>生产组织和人员编制</w:t>
            </w:r>
          </w:p>
          <w:p w14:paraId="70CFBB45">
            <w:pPr>
              <w:bidi w:val="0"/>
              <w:rPr>
                <w:rFonts w:hint="default"/>
                <w:highlight w:val="none"/>
                <w:lang w:val="en-US" w:eastAsia="zh-CN"/>
              </w:rPr>
            </w:pPr>
            <w:r>
              <w:rPr>
                <w:rFonts w:hint="default"/>
                <w:highlight w:val="none"/>
                <w:lang w:val="en-US" w:eastAsia="zh-CN"/>
              </w:rPr>
              <w:t>本项目总施工时间</w:t>
            </w:r>
            <w:r>
              <w:rPr>
                <w:rFonts w:hint="eastAsia"/>
                <w:highlight w:val="none"/>
                <w:lang w:val="en-US" w:eastAsia="zh-CN"/>
              </w:rPr>
              <w:t>9个月</w:t>
            </w:r>
            <w:r>
              <w:rPr>
                <w:rFonts w:hint="default"/>
                <w:highlight w:val="none"/>
                <w:lang w:val="en-US" w:eastAsia="zh-CN"/>
              </w:rPr>
              <w:t>，</w:t>
            </w:r>
            <w:r>
              <w:rPr>
                <w:rFonts w:hint="default"/>
                <w:highlight w:val="none"/>
              </w:rPr>
              <w:t>作业人员</w:t>
            </w:r>
            <w:r>
              <w:rPr>
                <w:rFonts w:hint="eastAsia"/>
                <w:highlight w:val="none"/>
                <w:lang w:val="en-US" w:eastAsia="zh-CN"/>
              </w:rPr>
              <w:t>5</w:t>
            </w:r>
            <w:r>
              <w:rPr>
                <w:rFonts w:hint="default"/>
                <w:highlight w:val="none"/>
              </w:rPr>
              <w:t>0名。</w:t>
            </w:r>
            <w:r>
              <w:rPr>
                <w:rFonts w:hint="eastAsia"/>
                <w:highlight w:val="none"/>
                <w:lang w:val="en-US" w:eastAsia="zh-CN"/>
              </w:rPr>
              <w:t>每天工作8h。</w:t>
            </w:r>
          </w:p>
          <w:p w14:paraId="2EDE793D">
            <w:pPr>
              <w:bidi w:val="0"/>
              <w:ind w:left="0" w:leftChars="0" w:firstLine="0" w:firstLineChars="0"/>
              <w:rPr>
                <w:rFonts w:hint="default"/>
                <w:highlight w:val="none"/>
                <w:lang w:val="en-US" w:eastAsia="zh-CN"/>
              </w:rPr>
            </w:pPr>
            <w:r>
              <w:rPr>
                <w:rFonts w:hint="eastAsia"/>
                <w:highlight w:val="none"/>
                <w:lang w:val="en-US" w:eastAsia="zh-CN"/>
              </w:rPr>
              <w:t xml:space="preserve">2.7 </w:t>
            </w:r>
            <w:r>
              <w:rPr>
                <w:rFonts w:hint="default"/>
                <w:highlight w:val="none"/>
                <w:lang w:val="en-US" w:eastAsia="zh-CN"/>
              </w:rPr>
              <w:t>项目占地</w:t>
            </w:r>
            <w:r>
              <w:rPr>
                <w:rFonts w:hint="eastAsia"/>
                <w:highlight w:val="none"/>
                <w:lang w:val="en-US" w:eastAsia="zh-CN"/>
              </w:rPr>
              <w:t>及土石方平衡</w:t>
            </w:r>
          </w:p>
          <w:p w14:paraId="41A96AFA">
            <w:pPr>
              <w:bidi w:val="0"/>
              <w:rPr>
                <w:rFonts w:hint="default"/>
                <w:highlight w:val="none"/>
              </w:rPr>
            </w:pPr>
            <w:r>
              <w:rPr>
                <w:rFonts w:hint="default"/>
                <w:highlight w:val="none"/>
              </w:rPr>
              <w:t>本工程共占地</w:t>
            </w:r>
            <w:r>
              <w:rPr>
                <w:rFonts w:hint="eastAsia"/>
                <w:highlight w:val="none"/>
                <w:lang w:val="en-US" w:eastAsia="zh-CN"/>
              </w:rPr>
              <w:t>17.457hm²，</w:t>
            </w:r>
            <w:r>
              <w:rPr>
                <w:rFonts w:hint="default"/>
                <w:highlight w:val="none"/>
              </w:rPr>
              <w:t>占地</w:t>
            </w:r>
            <w:r>
              <w:rPr>
                <w:rFonts w:hint="eastAsia"/>
                <w:highlight w:val="none"/>
                <w:lang w:val="en-US" w:eastAsia="zh-CN"/>
              </w:rPr>
              <w:t>主要</w:t>
            </w:r>
            <w:r>
              <w:rPr>
                <w:rFonts w:hint="default"/>
                <w:highlight w:val="none"/>
              </w:rPr>
              <w:t>包括</w:t>
            </w:r>
            <w:r>
              <w:rPr>
                <w:rFonts w:hint="eastAsia"/>
                <w:highlight w:val="none"/>
                <w:lang w:val="en-US" w:eastAsia="zh-CN"/>
              </w:rPr>
              <w:t>阴沟及护坡周边5m范围</w:t>
            </w:r>
            <w:r>
              <w:rPr>
                <w:rFonts w:hint="default"/>
                <w:highlight w:val="none"/>
              </w:rPr>
              <w:t>、</w:t>
            </w:r>
            <w:r>
              <w:rPr>
                <w:rFonts w:hint="eastAsia"/>
                <w:highlight w:val="none"/>
                <w:lang w:val="en-US" w:eastAsia="zh-CN"/>
              </w:rPr>
              <w:t>道路区、</w:t>
            </w:r>
            <w:bookmarkStart w:id="6" w:name="OLE_LINK29"/>
            <w:r>
              <w:rPr>
                <w:rFonts w:hint="eastAsia"/>
                <w:highlight w:val="none"/>
                <w:lang w:val="en-US" w:eastAsia="zh-CN"/>
              </w:rPr>
              <w:t>农田水渠周边范围，低效林改造区</w:t>
            </w:r>
            <w:r>
              <w:rPr>
                <w:rFonts w:hint="default"/>
                <w:highlight w:val="none"/>
              </w:rPr>
              <w:t>，</w:t>
            </w:r>
            <w:bookmarkEnd w:id="6"/>
            <w:r>
              <w:rPr>
                <w:rFonts w:hint="default"/>
                <w:highlight w:val="none"/>
              </w:rPr>
              <w:t>占地类型为</w:t>
            </w:r>
            <w:r>
              <w:rPr>
                <w:rFonts w:hint="eastAsia"/>
                <w:highlight w:val="none"/>
                <w:lang w:val="en-US" w:eastAsia="zh-CN"/>
              </w:rPr>
              <w:t>沼泽草地，其次为沟渠</w:t>
            </w:r>
            <w:r>
              <w:rPr>
                <w:rFonts w:hint="default"/>
                <w:highlight w:val="none"/>
              </w:rPr>
              <w:t>。工程占地内无电力、通讯和供水等专项设施。</w:t>
            </w:r>
          </w:p>
          <w:p w14:paraId="415DAE7B">
            <w:pPr>
              <w:bidi w:val="0"/>
              <w:jc w:val="center"/>
              <w:rPr>
                <w:rFonts w:hint="default" w:eastAsia="宋体"/>
                <w:highlight w:val="none"/>
                <w:lang w:val="en-US" w:eastAsia="zh-CN"/>
              </w:rPr>
            </w:pPr>
            <w:r>
              <w:rPr>
                <w:rFonts w:hint="default"/>
                <w:highlight w:val="none"/>
              </w:rPr>
              <w:t>表</w:t>
            </w:r>
            <w:r>
              <w:rPr>
                <w:rFonts w:hint="default"/>
                <w:highlight w:val="none"/>
                <w:lang w:val="en-US" w:eastAsia="zh-CN"/>
              </w:rPr>
              <w:t>2-</w:t>
            </w:r>
            <w:r>
              <w:rPr>
                <w:rFonts w:hint="eastAsia"/>
                <w:highlight w:val="none"/>
                <w:lang w:val="en-US" w:eastAsia="zh-CN"/>
              </w:rPr>
              <w:t>5</w:t>
            </w:r>
            <w:r>
              <w:rPr>
                <w:rFonts w:hint="default"/>
                <w:highlight w:val="none"/>
              </w:rPr>
              <w:t>项目工程占地一览表</w:t>
            </w:r>
            <w:r>
              <w:rPr>
                <w:rFonts w:hint="eastAsia"/>
                <w:highlight w:val="none"/>
                <w:lang w:val="en-US" w:eastAsia="zh-CN"/>
              </w:rPr>
              <w:t xml:space="preserve"> 单位:hm</w:t>
            </w:r>
            <w:r>
              <w:rPr>
                <w:rFonts w:hint="eastAsia"/>
                <w:highlight w:val="none"/>
                <w:vertAlign w:val="superscript"/>
                <w:lang w:val="en-US" w:eastAsia="zh-CN"/>
              </w:rPr>
              <w:t>2</w:t>
            </w:r>
          </w:p>
          <w:tbl>
            <w:tblPr>
              <w:tblStyle w:val="27"/>
              <w:tblW w:w="496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62"/>
              <w:gridCol w:w="1136"/>
              <w:gridCol w:w="2540"/>
              <w:gridCol w:w="1064"/>
              <w:gridCol w:w="1336"/>
              <w:gridCol w:w="1102"/>
            </w:tblGrid>
            <w:tr w14:paraId="1A29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303" w:type="pct"/>
                  <w:tcBorders>
                    <w:top w:val="single" w:color="000000" w:sz="12" w:space="0"/>
                    <w:left w:val="nil"/>
                    <w:bottom w:val="single" w:color="auto" w:sz="4" w:space="0"/>
                    <w:right w:val="single" w:color="auto" w:sz="4" w:space="0"/>
                    <w:tl2br w:val="nil"/>
                  </w:tcBorders>
                  <w:shd w:val="clear" w:color="auto" w:fill="FFFFFF"/>
                  <w:vAlign w:val="center"/>
                </w:tcPr>
                <w:p w14:paraId="778BA6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rPr>
                  </w:pPr>
                  <w:r>
                    <w:rPr>
                      <w:rFonts w:hint="default" w:ascii="Times New Roman" w:hAnsi="Times New Roman" w:cs="Times New Roman"/>
                      <w:b w:val="0"/>
                      <w:color w:val="000000"/>
                      <w:highlight w:val="none"/>
                    </w:rPr>
                    <w:t>序号</w:t>
                  </w:r>
                </w:p>
              </w:tc>
              <w:tc>
                <w:tcPr>
                  <w:tcW w:w="743" w:type="pct"/>
                  <w:tcBorders>
                    <w:top w:val="single" w:color="000000" w:sz="12" w:space="0"/>
                    <w:left w:val="single" w:color="auto" w:sz="4" w:space="0"/>
                    <w:bottom w:val="single" w:color="auto" w:sz="4" w:space="0"/>
                    <w:right w:val="single" w:color="auto" w:sz="4" w:space="0"/>
                  </w:tcBorders>
                  <w:shd w:val="clear" w:color="auto" w:fill="FFFFFF"/>
                  <w:vAlign w:val="center"/>
                </w:tcPr>
                <w:p w14:paraId="63FEA4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rPr>
                  </w:pPr>
                  <w:r>
                    <w:rPr>
                      <w:rFonts w:hint="default" w:ascii="Times New Roman" w:hAnsi="Times New Roman" w:cs="Times New Roman"/>
                      <w:b w:val="0"/>
                      <w:color w:val="000000"/>
                      <w:highlight w:val="none"/>
                    </w:rPr>
                    <w:t>工程内容</w:t>
                  </w:r>
                </w:p>
              </w:tc>
              <w:tc>
                <w:tcPr>
                  <w:tcW w:w="1661" w:type="pct"/>
                  <w:tcBorders>
                    <w:top w:val="single" w:color="000000" w:sz="12" w:space="0"/>
                    <w:left w:val="single" w:color="auto" w:sz="4" w:space="0"/>
                    <w:bottom w:val="single" w:color="auto" w:sz="4" w:space="0"/>
                    <w:right w:val="single" w:color="auto" w:sz="4" w:space="0"/>
                  </w:tcBorders>
                  <w:shd w:val="clear" w:color="auto" w:fill="FFFFFF"/>
                  <w:vAlign w:val="center"/>
                </w:tcPr>
                <w:p w14:paraId="14BE55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rPr>
                  </w:pPr>
                  <w:r>
                    <w:rPr>
                      <w:rFonts w:hint="default" w:ascii="Times New Roman" w:hAnsi="Times New Roman" w:cs="Times New Roman"/>
                      <w:b w:val="0"/>
                      <w:color w:val="000000"/>
                      <w:highlight w:val="none"/>
                    </w:rPr>
                    <w:t>占地情况</w:t>
                  </w:r>
                </w:p>
              </w:tc>
              <w:tc>
                <w:tcPr>
                  <w:tcW w:w="696" w:type="pct"/>
                  <w:tcBorders>
                    <w:top w:val="single" w:color="000000" w:sz="12" w:space="0"/>
                    <w:left w:val="single" w:color="auto" w:sz="4" w:space="0"/>
                    <w:bottom w:val="single" w:color="auto" w:sz="4" w:space="0"/>
                    <w:right w:val="single" w:color="auto" w:sz="4" w:space="0"/>
                  </w:tcBorders>
                  <w:shd w:val="clear" w:color="auto" w:fill="FFFFFF"/>
                  <w:vAlign w:val="center"/>
                </w:tcPr>
                <w:p w14:paraId="5A1081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rPr>
                  </w:pPr>
                  <w:r>
                    <w:rPr>
                      <w:rFonts w:hint="default" w:ascii="Times New Roman" w:hAnsi="Times New Roman" w:cs="Times New Roman"/>
                      <w:b w:val="0"/>
                      <w:color w:val="000000"/>
                      <w:highlight w:val="none"/>
                    </w:rPr>
                    <w:t>占地面积</w:t>
                  </w:r>
                </w:p>
              </w:tc>
              <w:tc>
                <w:tcPr>
                  <w:tcW w:w="874" w:type="pct"/>
                  <w:tcBorders>
                    <w:top w:val="single" w:color="000000" w:sz="12" w:space="0"/>
                    <w:left w:val="single" w:color="auto" w:sz="4" w:space="0"/>
                    <w:bottom w:val="single" w:color="auto" w:sz="4" w:space="0"/>
                    <w:right w:val="single" w:color="auto" w:sz="4" w:space="0"/>
                  </w:tcBorders>
                  <w:shd w:val="clear" w:color="auto" w:fill="FFFFFF"/>
                  <w:vAlign w:val="center"/>
                </w:tcPr>
                <w:p w14:paraId="5514E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rPr>
                  </w:pPr>
                  <w:r>
                    <w:rPr>
                      <w:rFonts w:hint="default" w:ascii="Times New Roman" w:hAnsi="Times New Roman" w:cs="Times New Roman"/>
                      <w:b w:val="0"/>
                      <w:color w:val="000000"/>
                      <w:highlight w:val="none"/>
                    </w:rPr>
                    <w:t>占地类型</w:t>
                  </w:r>
                </w:p>
              </w:tc>
              <w:tc>
                <w:tcPr>
                  <w:tcW w:w="721" w:type="pct"/>
                  <w:tcBorders>
                    <w:top w:val="single" w:color="000000" w:sz="12" w:space="0"/>
                    <w:left w:val="single" w:color="auto" w:sz="4" w:space="0"/>
                    <w:bottom w:val="single" w:color="auto" w:sz="4" w:space="0"/>
                    <w:right w:val="nil"/>
                  </w:tcBorders>
                  <w:shd w:val="clear" w:color="auto" w:fill="FFFFFF"/>
                  <w:vAlign w:val="center"/>
                </w:tcPr>
                <w:p w14:paraId="475B93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rPr>
                  </w:pPr>
                  <w:r>
                    <w:rPr>
                      <w:rFonts w:hint="default" w:ascii="Times New Roman" w:hAnsi="Times New Roman" w:cs="Times New Roman"/>
                      <w:b w:val="0"/>
                      <w:color w:val="000000"/>
                      <w:highlight w:val="none"/>
                    </w:rPr>
                    <w:t>占地性质</w:t>
                  </w:r>
                </w:p>
              </w:tc>
            </w:tr>
            <w:tr w14:paraId="52A2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303" w:type="pct"/>
                  <w:vMerge w:val="restart"/>
                  <w:tcBorders>
                    <w:top w:val="single" w:color="auto" w:sz="4" w:space="0"/>
                    <w:left w:val="nil"/>
                    <w:right w:val="single" w:color="auto" w:sz="4" w:space="0"/>
                  </w:tcBorders>
                  <w:shd w:val="clear" w:color="auto" w:fill="FFFFFF"/>
                  <w:vAlign w:val="center"/>
                </w:tcPr>
                <w:p w14:paraId="69F4E2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bookmarkStart w:id="7" w:name="OLE_LINK32" w:colFirst="4" w:colLast="5"/>
                  <w:bookmarkStart w:id="8" w:name="OLE_LINK21" w:colFirst="1" w:colLast="1"/>
                  <w:r>
                    <w:rPr>
                      <w:rFonts w:hint="default" w:ascii="Times New Roman" w:hAnsi="Times New Roman" w:cs="Times New Roman"/>
                      <w:b w:val="0"/>
                      <w:color w:val="000000"/>
                      <w:highlight w:val="none"/>
                      <w:lang w:val="en-US" w:eastAsia="zh-CN"/>
                    </w:rPr>
                    <w:t>1</w:t>
                  </w:r>
                </w:p>
              </w:tc>
              <w:tc>
                <w:tcPr>
                  <w:tcW w:w="743"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D1B89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sz w:val="21"/>
                      <w:szCs w:val="21"/>
                      <w:highlight w:val="none"/>
                      <w:lang w:val="en-US" w:eastAsia="zh-CN"/>
                    </w:rPr>
                    <w:t>阴沟治理</w:t>
                  </w:r>
                </w:p>
              </w:tc>
              <w:tc>
                <w:tcPr>
                  <w:tcW w:w="1661" w:type="pct"/>
                  <w:tcBorders>
                    <w:top w:val="single" w:color="auto" w:sz="4" w:space="0"/>
                    <w:left w:val="single" w:color="auto" w:sz="4" w:space="0"/>
                    <w:bottom w:val="single" w:color="auto" w:sz="4" w:space="0"/>
                    <w:right w:val="single" w:color="auto" w:sz="4" w:space="0"/>
                  </w:tcBorders>
                  <w:shd w:val="clear" w:color="auto" w:fill="FFFFFF"/>
                  <w:vAlign w:val="center"/>
                </w:tcPr>
                <w:p w14:paraId="673A54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b w:val="0"/>
                      <w:color w:val="000000"/>
                      <w:highlight w:val="none"/>
                      <w:lang w:val="en-US" w:eastAsia="zh-CN"/>
                    </w:rPr>
                    <w:t>沟渠及生态护坡</w:t>
                  </w:r>
                </w:p>
              </w:tc>
              <w:tc>
                <w:tcPr>
                  <w:tcW w:w="696" w:type="pct"/>
                  <w:tcBorders>
                    <w:top w:val="single" w:color="auto" w:sz="4" w:space="0"/>
                    <w:left w:val="single" w:color="auto" w:sz="4" w:space="0"/>
                    <w:bottom w:val="single" w:color="auto" w:sz="4" w:space="0"/>
                    <w:right w:val="single" w:color="auto" w:sz="4" w:space="0"/>
                  </w:tcBorders>
                  <w:shd w:val="clear" w:color="auto" w:fill="FFFFFF"/>
                  <w:vAlign w:val="center"/>
                </w:tcPr>
                <w:p w14:paraId="3B0C5C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2"/>
                      <w:sz w:val="22"/>
                      <w:szCs w:val="22"/>
                      <w:highlight w:val="none"/>
                      <w:u w:val="none"/>
                      <w:lang w:val="en-US" w:eastAsia="zh-CN" w:bidi="ar-SA"/>
                    </w:rPr>
                  </w:pPr>
                  <w:r>
                    <w:rPr>
                      <w:rFonts w:hint="eastAsia" w:cs="Times New Roman"/>
                      <w:b w:val="0"/>
                      <w:i w:val="0"/>
                      <w:iCs w:val="0"/>
                      <w:color w:val="000000"/>
                      <w:kern w:val="0"/>
                      <w:sz w:val="22"/>
                      <w:szCs w:val="22"/>
                      <w:highlight w:val="none"/>
                      <w:u w:val="none"/>
                      <w:lang w:val="en-US" w:eastAsia="zh-CN" w:bidi="ar"/>
                    </w:rPr>
                    <w:t>1.47</w:t>
                  </w:r>
                </w:p>
              </w:tc>
              <w:tc>
                <w:tcPr>
                  <w:tcW w:w="874" w:type="pct"/>
                  <w:tcBorders>
                    <w:top w:val="single" w:color="auto" w:sz="4" w:space="0"/>
                    <w:left w:val="single" w:color="auto" w:sz="4" w:space="0"/>
                    <w:bottom w:val="single" w:color="auto" w:sz="4" w:space="0"/>
                    <w:right w:val="single" w:color="auto" w:sz="4" w:space="0"/>
                  </w:tcBorders>
                  <w:shd w:val="clear" w:color="auto" w:fill="FFFFFF"/>
                  <w:vAlign w:val="center"/>
                </w:tcPr>
                <w:p w14:paraId="193DB8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00"/>
                      <w:highlight w:val="none"/>
                      <w:lang w:val="en-US" w:eastAsia="zh-CN"/>
                    </w:rPr>
                  </w:pPr>
                  <w:r>
                    <w:rPr>
                      <w:rFonts w:hint="eastAsia" w:cs="Times New Roman"/>
                      <w:b w:val="0"/>
                      <w:color w:val="000000"/>
                      <w:highlight w:val="none"/>
                      <w:lang w:val="en-US" w:eastAsia="zh-CN"/>
                    </w:rPr>
                    <w:t>沟渠</w:t>
                  </w:r>
                </w:p>
              </w:tc>
              <w:tc>
                <w:tcPr>
                  <w:tcW w:w="721" w:type="pct"/>
                  <w:tcBorders>
                    <w:top w:val="single" w:color="auto" w:sz="4" w:space="0"/>
                    <w:left w:val="single" w:color="auto" w:sz="4" w:space="0"/>
                    <w:bottom w:val="single" w:color="auto" w:sz="4" w:space="0"/>
                    <w:right w:val="nil"/>
                  </w:tcBorders>
                  <w:shd w:val="clear" w:color="auto" w:fill="FFFFFF"/>
                  <w:vAlign w:val="center"/>
                </w:tcPr>
                <w:p w14:paraId="0FDA6D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default" w:ascii="Times New Roman" w:hAnsi="Times New Roman" w:cs="Times New Roman"/>
                      <w:b w:val="0"/>
                      <w:color w:val="000000"/>
                      <w:highlight w:val="none"/>
                      <w:lang w:val="en-US" w:eastAsia="zh-CN"/>
                    </w:rPr>
                    <w:t>永久占地</w:t>
                  </w:r>
                </w:p>
              </w:tc>
            </w:tr>
            <w:bookmarkEnd w:id="7"/>
            <w:tr w14:paraId="4F06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0" w:hRule="atLeast"/>
              </w:trPr>
              <w:tc>
                <w:tcPr>
                  <w:tcW w:w="303" w:type="pct"/>
                  <w:vMerge w:val="continue"/>
                  <w:tcBorders>
                    <w:left w:val="nil"/>
                    <w:bottom w:val="single" w:color="auto" w:sz="4" w:space="0"/>
                    <w:right w:val="single" w:color="auto" w:sz="4" w:space="0"/>
                  </w:tcBorders>
                  <w:shd w:val="clear" w:color="auto" w:fill="FFFFFF"/>
                  <w:vAlign w:val="center"/>
                </w:tcPr>
                <w:p w14:paraId="1FAF38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p>
              </w:tc>
              <w:tc>
                <w:tcPr>
                  <w:tcW w:w="74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06827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p>
              </w:tc>
              <w:tc>
                <w:tcPr>
                  <w:tcW w:w="1661" w:type="pct"/>
                  <w:tcBorders>
                    <w:top w:val="single" w:color="auto" w:sz="4" w:space="0"/>
                    <w:left w:val="single" w:color="auto" w:sz="4" w:space="0"/>
                    <w:bottom w:val="single" w:color="auto" w:sz="4" w:space="0"/>
                    <w:right w:val="single" w:color="auto" w:sz="4" w:space="0"/>
                  </w:tcBorders>
                  <w:shd w:val="clear" w:color="auto" w:fill="FFFFFF"/>
                  <w:vAlign w:val="center"/>
                </w:tcPr>
                <w:p w14:paraId="633576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default" w:ascii="Times New Roman" w:hAnsi="Times New Roman" w:cs="Times New Roman"/>
                      <w:b w:val="0"/>
                      <w:color w:val="000000"/>
                      <w:highlight w:val="none"/>
                      <w:lang w:val="en-US" w:eastAsia="zh-CN"/>
                    </w:rPr>
                    <w:t>工程基础开挖临时堆存</w:t>
                  </w:r>
                </w:p>
              </w:tc>
              <w:tc>
                <w:tcPr>
                  <w:tcW w:w="696" w:type="pct"/>
                  <w:tcBorders>
                    <w:top w:val="single" w:color="auto" w:sz="4" w:space="0"/>
                    <w:left w:val="single" w:color="auto" w:sz="4" w:space="0"/>
                    <w:bottom w:val="single" w:color="auto" w:sz="4" w:space="0"/>
                    <w:right w:val="single" w:color="auto" w:sz="4" w:space="0"/>
                  </w:tcBorders>
                  <w:shd w:val="clear" w:color="auto" w:fill="FFFFFF"/>
                  <w:vAlign w:val="center"/>
                </w:tcPr>
                <w:p w14:paraId="53FEF2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2"/>
                      <w:sz w:val="22"/>
                      <w:szCs w:val="22"/>
                      <w:highlight w:val="none"/>
                      <w:u w:val="none"/>
                      <w:lang w:val="en-US" w:eastAsia="zh-CN" w:bidi="ar-SA"/>
                    </w:rPr>
                  </w:pPr>
                  <w:r>
                    <w:rPr>
                      <w:rFonts w:hint="eastAsia" w:cs="Times New Roman"/>
                      <w:b w:val="0"/>
                      <w:i w:val="0"/>
                      <w:iCs w:val="0"/>
                      <w:color w:val="000000"/>
                      <w:kern w:val="0"/>
                      <w:sz w:val="22"/>
                      <w:szCs w:val="22"/>
                      <w:highlight w:val="none"/>
                      <w:u w:val="none"/>
                      <w:lang w:val="en-US" w:eastAsia="zh-CN" w:bidi="ar"/>
                    </w:rPr>
                    <w:t>2.7</w:t>
                  </w:r>
                </w:p>
              </w:tc>
              <w:tc>
                <w:tcPr>
                  <w:tcW w:w="874" w:type="pct"/>
                  <w:tcBorders>
                    <w:top w:val="single" w:color="auto" w:sz="4" w:space="0"/>
                    <w:left w:val="single" w:color="auto" w:sz="4" w:space="0"/>
                    <w:bottom w:val="single" w:color="auto" w:sz="4" w:space="0"/>
                    <w:right w:val="single" w:color="auto" w:sz="4" w:space="0"/>
                  </w:tcBorders>
                  <w:shd w:val="clear" w:color="auto" w:fill="FFFFFF"/>
                  <w:vAlign w:val="center"/>
                </w:tcPr>
                <w:p w14:paraId="2B46B1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cs="Times New Roman"/>
                      <w:b w:val="0"/>
                      <w:color w:val="000000"/>
                      <w:highlight w:val="none"/>
                      <w:lang w:val="en-US" w:eastAsia="zh-CN"/>
                    </w:rPr>
                    <w:t>沼泽草地</w:t>
                  </w:r>
                </w:p>
              </w:tc>
              <w:tc>
                <w:tcPr>
                  <w:tcW w:w="721" w:type="pct"/>
                  <w:tcBorders>
                    <w:top w:val="single" w:color="auto" w:sz="4" w:space="0"/>
                    <w:left w:val="single" w:color="auto" w:sz="4" w:space="0"/>
                    <w:bottom w:val="single" w:color="auto" w:sz="4" w:space="0"/>
                    <w:right w:val="nil"/>
                  </w:tcBorders>
                  <w:shd w:val="clear" w:color="auto" w:fill="FFFFFF"/>
                  <w:vAlign w:val="center"/>
                </w:tcPr>
                <w:p w14:paraId="16D13E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ascii="Times New Roman" w:hAnsi="Times New Roman" w:cs="Times New Roman"/>
                      <w:b w:val="0"/>
                      <w:color w:val="000000"/>
                      <w:highlight w:val="none"/>
                      <w:lang w:val="en-US" w:eastAsia="zh-CN"/>
                    </w:rPr>
                    <w:t>临时占地</w:t>
                  </w:r>
                </w:p>
              </w:tc>
            </w:tr>
            <w:tr w14:paraId="3910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303" w:type="pct"/>
                  <w:vMerge w:val="restart"/>
                  <w:tcBorders>
                    <w:top w:val="single" w:color="auto" w:sz="4" w:space="0"/>
                    <w:left w:val="nil"/>
                    <w:right w:val="single" w:color="auto" w:sz="4" w:space="0"/>
                  </w:tcBorders>
                  <w:shd w:val="clear" w:color="auto" w:fill="FFFFFF"/>
                  <w:vAlign w:val="center"/>
                </w:tcPr>
                <w:p w14:paraId="4F6EC5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default" w:ascii="Times New Roman" w:hAnsi="Times New Roman" w:cs="Times New Roman"/>
                      <w:b w:val="0"/>
                      <w:color w:val="000000"/>
                      <w:highlight w:val="none"/>
                      <w:lang w:val="en-US" w:eastAsia="zh-CN"/>
                    </w:rPr>
                    <w:t>2</w:t>
                  </w:r>
                </w:p>
              </w:tc>
              <w:tc>
                <w:tcPr>
                  <w:tcW w:w="743"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63519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sz w:val="21"/>
                      <w:szCs w:val="21"/>
                      <w:highlight w:val="none"/>
                      <w:lang w:val="en-US" w:eastAsia="zh-CN"/>
                    </w:rPr>
                    <w:t>道路工程</w:t>
                  </w:r>
                </w:p>
              </w:tc>
              <w:tc>
                <w:tcPr>
                  <w:tcW w:w="1661" w:type="pct"/>
                  <w:tcBorders>
                    <w:top w:val="single" w:color="auto" w:sz="4" w:space="0"/>
                    <w:left w:val="single" w:color="auto" w:sz="4" w:space="0"/>
                    <w:bottom w:val="single" w:color="auto" w:sz="4" w:space="0"/>
                    <w:right w:val="single" w:color="auto" w:sz="4" w:space="0"/>
                  </w:tcBorders>
                  <w:shd w:val="clear" w:color="auto" w:fill="FFFFFF"/>
                  <w:vAlign w:val="center"/>
                </w:tcPr>
                <w:p w14:paraId="475988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b w:val="0"/>
                      <w:color w:val="000000"/>
                      <w:highlight w:val="none"/>
                      <w:lang w:val="en-US" w:eastAsia="zh-CN"/>
                    </w:rPr>
                    <w:t>沙化路堆存</w:t>
                  </w:r>
                </w:p>
              </w:tc>
              <w:tc>
                <w:tcPr>
                  <w:tcW w:w="696" w:type="pct"/>
                  <w:tcBorders>
                    <w:top w:val="single" w:color="auto" w:sz="4" w:space="0"/>
                    <w:left w:val="single" w:color="auto" w:sz="4" w:space="0"/>
                    <w:bottom w:val="single" w:color="auto" w:sz="4" w:space="0"/>
                    <w:right w:val="single" w:color="auto" w:sz="4" w:space="0"/>
                  </w:tcBorders>
                  <w:shd w:val="clear" w:color="auto" w:fill="FFFFFF"/>
                  <w:vAlign w:val="center"/>
                </w:tcPr>
                <w:p w14:paraId="2A44D0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2"/>
                      <w:sz w:val="22"/>
                      <w:szCs w:val="22"/>
                      <w:highlight w:val="none"/>
                      <w:u w:val="none"/>
                      <w:lang w:val="en-US" w:eastAsia="zh-CN" w:bidi="ar-SA"/>
                    </w:rPr>
                  </w:pPr>
                  <w:r>
                    <w:rPr>
                      <w:rFonts w:hint="eastAsia" w:cs="Times New Roman"/>
                      <w:b w:val="0"/>
                      <w:i w:val="0"/>
                      <w:iCs w:val="0"/>
                      <w:color w:val="000000"/>
                      <w:kern w:val="0"/>
                      <w:sz w:val="22"/>
                      <w:szCs w:val="22"/>
                      <w:highlight w:val="none"/>
                      <w:u w:val="none"/>
                      <w:lang w:val="en-US" w:eastAsia="zh-CN" w:bidi="ar"/>
                    </w:rPr>
                    <w:t>0.375</w:t>
                  </w:r>
                </w:p>
              </w:tc>
              <w:tc>
                <w:tcPr>
                  <w:tcW w:w="874" w:type="pct"/>
                  <w:tcBorders>
                    <w:top w:val="single" w:color="auto" w:sz="4" w:space="0"/>
                    <w:left w:val="single" w:color="auto" w:sz="4" w:space="0"/>
                    <w:bottom w:val="single" w:color="auto" w:sz="4" w:space="0"/>
                    <w:right w:val="single" w:color="auto" w:sz="4" w:space="0"/>
                  </w:tcBorders>
                  <w:shd w:val="clear" w:color="auto" w:fill="FFFFFF"/>
                  <w:vAlign w:val="center"/>
                </w:tcPr>
                <w:p w14:paraId="278D13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cs="Times New Roman"/>
                      <w:b w:val="0"/>
                      <w:color w:val="000000"/>
                      <w:highlight w:val="none"/>
                      <w:lang w:val="en-US" w:eastAsia="zh-CN"/>
                    </w:rPr>
                    <w:t>农村道路</w:t>
                  </w:r>
                </w:p>
              </w:tc>
              <w:tc>
                <w:tcPr>
                  <w:tcW w:w="721" w:type="pct"/>
                  <w:tcBorders>
                    <w:top w:val="single" w:color="auto" w:sz="4" w:space="0"/>
                    <w:left w:val="single" w:color="auto" w:sz="4" w:space="0"/>
                    <w:bottom w:val="single" w:color="auto" w:sz="4" w:space="0"/>
                    <w:right w:val="nil"/>
                  </w:tcBorders>
                  <w:shd w:val="clear" w:color="auto" w:fill="FFFFFF"/>
                  <w:vAlign w:val="center"/>
                </w:tcPr>
                <w:p w14:paraId="1E1459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ascii="Times New Roman" w:hAnsi="Times New Roman" w:cs="Times New Roman"/>
                      <w:b w:val="0"/>
                      <w:color w:val="000000"/>
                      <w:highlight w:val="none"/>
                      <w:lang w:val="en-US" w:eastAsia="zh-CN"/>
                    </w:rPr>
                    <w:t>永久占地</w:t>
                  </w:r>
                </w:p>
              </w:tc>
            </w:tr>
            <w:tr w14:paraId="404E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303" w:type="pct"/>
                  <w:vMerge w:val="continue"/>
                  <w:tcBorders>
                    <w:left w:val="nil"/>
                    <w:bottom w:val="single" w:color="auto" w:sz="4" w:space="0"/>
                    <w:right w:val="single" w:color="auto" w:sz="4" w:space="0"/>
                  </w:tcBorders>
                  <w:shd w:val="clear" w:color="auto" w:fill="FFFFFF"/>
                  <w:vAlign w:val="center"/>
                </w:tcPr>
                <w:p w14:paraId="02CA8A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p>
              </w:tc>
              <w:tc>
                <w:tcPr>
                  <w:tcW w:w="74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6254E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p>
              </w:tc>
              <w:tc>
                <w:tcPr>
                  <w:tcW w:w="1661" w:type="pct"/>
                  <w:tcBorders>
                    <w:top w:val="single" w:color="auto" w:sz="4" w:space="0"/>
                    <w:left w:val="single" w:color="auto" w:sz="4" w:space="0"/>
                    <w:bottom w:val="single" w:color="auto" w:sz="4" w:space="0"/>
                    <w:right w:val="single" w:color="auto" w:sz="4" w:space="0"/>
                  </w:tcBorders>
                  <w:shd w:val="clear" w:color="auto" w:fill="FFFFFF"/>
                  <w:vAlign w:val="center"/>
                </w:tcPr>
                <w:p w14:paraId="7716E5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b w:val="0"/>
                      <w:color w:val="000000"/>
                      <w:highlight w:val="none"/>
                      <w:lang w:val="en-US" w:eastAsia="zh-CN"/>
                    </w:rPr>
                    <w:t>道路周边临时堆存</w:t>
                  </w:r>
                </w:p>
              </w:tc>
              <w:tc>
                <w:tcPr>
                  <w:tcW w:w="696" w:type="pct"/>
                  <w:tcBorders>
                    <w:top w:val="single" w:color="auto" w:sz="4" w:space="0"/>
                    <w:left w:val="single" w:color="auto" w:sz="4" w:space="0"/>
                    <w:bottom w:val="single" w:color="auto" w:sz="4" w:space="0"/>
                    <w:right w:val="single" w:color="auto" w:sz="4" w:space="0"/>
                  </w:tcBorders>
                  <w:shd w:val="clear" w:color="auto" w:fill="FFFFFF"/>
                  <w:vAlign w:val="center"/>
                </w:tcPr>
                <w:p w14:paraId="00F85A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2"/>
                      <w:sz w:val="22"/>
                      <w:szCs w:val="22"/>
                      <w:highlight w:val="none"/>
                      <w:u w:val="none"/>
                      <w:lang w:val="en-US" w:eastAsia="zh-CN" w:bidi="ar-SA"/>
                    </w:rPr>
                  </w:pPr>
                  <w:r>
                    <w:rPr>
                      <w:rFonts w:hint="eastAsia" w:cs="Times New Roman"/>
                      <w:b w:val="0"/>
                      <w:i w:val="0"/>
                      <w:iCs w:val="0"/>
                      <w:color w:val="000000"/>
                      <w:kern w:val="0"/>
                      <w:sz w:val="22"/>
                      <w:szCs w:val="22"/>
                      <w:highlight w:val="none"/>
                      <w:u w:val="none"/>
                      <w:lang w:val="en-US" w:eastAsia="zh-CN" w:bidi="ar"/>
                    </w:rPr>
                    <w:t>0.150</w:t>
                  </w:r>
                </w:p>
              </w:tc>
              <w:tc>
                <w:tcPr>
                  <w:tcW w:w="874" w:type="pct"/>
                  <w:tcBorders>
                    <w:top w:val="single" w:color="auto" w:sz="4" w:space="0"/>
                    <w:left w:val="single" w:color="auto" w:sz="4" w:space="0"/>
                    <w:bottom w:val="single" w:color="auto" w:sz="4" w:space="0"/>
                    <w:right w:val="single" w:color="auto" w:sz="4" w:space="0"/>
                  </w:tcBorders>
                  <w:shd w:val="clear" w:color="auto" w:fill="FFFFFF"/>
                  <w:vAlign w:val="center"/>
                </w:tcPr>
                <w:p w14:paraId="2A4239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cs="Times New Roman"/>
                      <w:b w:val="0"/>
                      <w:color w:val="000000"/>
                      <w:highlight w:val="none"/>
                      <w:lang w:val="en-US" w:eastAsia="zh-CN"/>
                    </w:rPr>
                    <w:t>沼泽草地</w:t>
                  </w:r>
                </w:p>
              </w:tc>
              <w:tc>
                <w:tcPr>
                  <w:tcW w:w="721" w:type="pct"/>
                  <w:tcBorders>
                    <w:top w:val="single" w:color="auto" w:sz="4" w:space="0"/>
                    <w:left w:val="single" w:color="auto" w:sz="4" w:space="0"/>
                    <w:bottom w:val="single" w:color="auto" w:sz="4" w:space="0"/>
                    <w:right w:val="nil"/>
                  </w:tcBorders>
                  <w:shd w:val="clear" w:color="auto" w:fill="FFFFFF"/>
                  <w:vAlign w:val="center"/>
                </w:tcPr>
                <w:p w14:paraId="3F54A4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ascii="Times New Roman" w:hAnsi="Times New Roman" w:cs="Times New Roman"/>
                      <w:b w:val="0"/>
                      <w:color w:val="000000"/>
                      <w:highlight w:val="none"/>
                      <w:lang w:val="en-US" w:eastAsia="zh-CN"/>
                    </w:rPr>
                    <w:t>临时占地</w:t>
                  </w:r>
                </w:p>
              </w:tc>
            </w:tr>
            <w:tr w14:paraId="19E8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303" w:type="pct"/>
                  <w:tcBorders>
                    <w:top w:val="single" w:color="auto" w:sz="4" w:space="0"/>
                    <w:left w:val="nil"/>
                    <w:right w:val="single" w:color="auto" w:sz="4" w:space="0"/>
                  </w:tcBorders>
                  <w:shd w:val="clear" w:color="auto" w:fill="FFFFFF"/>
                  <w:vAlign w:val="center"/>
                </w:tcPr>
                <w:p w14:paraId="338665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default" w:ascii="Times New Roman" w:hAnsi="Times New Roman" w:cs="Times New Roman"/>
                      <w:b w:val="0"/>
                      <w:color w:val="000000"/>
                      <w:highlight w:val="none"/>
                      <w:lang w:val="en-US" w:eastAsia="zh-CN"/>
                    </w:rPr>
                    <w:t>3</w:t>
                  </w:r>
                </w:p>
              </w:tc>
              <w:tc>
                <w:tcPr>
                  <w:tcW w:w="743" w:type="pct"/>
                  <w:tcBorders>
                    <w:top w:val="single" w:color="auto" w:sz="4" w:space="0"/>
                    <w:left w:val="single" w:color="auto" w:sz="4" w:space="0"/>
                    <w:bottom w:val="single" w:color="auto" w:sz="4" w:space="0"/>
                    <w:right w:val="single" w:color="auto" w:sz="4" w:space="0"/>
                  </w:tcBorders>
                  <w:shd w:val="clear" w:color="auto" w:fill="FFFFFF"/>
                  <w:vAlign w:val="center"/>
                </w:tcPr>
                <w:p w14:paraId="35DE46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sz w:val="21"/>
                      <w:szCs w:val="21"/>
                      <w:highlight w:val="none"/>
                      <w:lang w:val="en-US" w:eastAsia="zh-CN"/>
                    </w:rPr>
                    <w:t>水保林（低效林改造）</w:t>
                  </w:r>
                </w:p>
              </w:tc>
              <w:tc>
                <w:tcPr>
                  <w:tcW w:w="1661" w:type="pct"/>
                  <w:tcBorders>
                    <w:top w:val="single" w:color="auto" w:sz="4" w:space="0"/>
                    <w:left w:val="single" w:color="auto" w:sz="4" w:space="0"/>
                    <w:bottom w:val="single" w:color="auto" w:sz="4" w:space="0"/>
                    <w:right w:val="single" w:color="auto" w:sz="4" w:space="0"/>
                  </w:tcBorders>
                  <w:shd w:val="clear" w:color="auto" w:fill="FFFFFF"/>
                  <w:vAlign w:val="center"/>
                </w:tcPr>
                <w:p w14:paraId="10F1B0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cs="Times New Roman"/>
                      <w:b w:val="0"/>
                      <w:color w:val="000000"/>
                      <w:kern w:val="2"/>
                      <w:sz w:val="24"/>
                      <w:szCs w:val="24"/>
                      <w:highlight w:val="none"/>
                      <w:lang w:val="en-US" w:eastAsia="zh-CN" w:bidi="ar-SA"/>
                    </w:rPr>
                    <w:t>低效林种植</w:t>
                  </w:r>
                </w:p>
              </w:tc>
              <w:tc>
                <w:tcPr>
                  <w:tcW w:w="696" w:type="pct"/>
                  <w:tcBorders>
                    <w:top w:val="single" w:color="auto" w:sz="4" w:space="0"/>
                    <w:left w:val="single" w:color="auto" w:sz="4" w:space="0"/>
                    <w:bottom w:val="single" w:color="auto" w:sz="4" w:space="0"/>
                    <w:right w:val="single" w:color="auto" w:sz="4" w:space="0"/>
                  </w:tcBorders>
                  <w:shd w:val="clear" w:color="auto" w:fill="FFFFFF"/>
                  <w:vAlign w:val="center"/>
                </w:tcPr>
                <w:p w14:paraId="53B9E6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2"/>
                      <w:sz w:val="24"/>
                      <w:szCs w:val="24"/>
                      <w:highlight w:val="none"/>
                      <w:lang w:val="en-US" w:eastAsia="zh-CN" w:bidi="ar-SA"/>
                    </w:rPr>
                  </w:pPr>
                  <w:r>
                    <w:rPr>
                      <w:rFonts w:hint="eastAsia" w:cs="Times New Roman"/>
                      <w:b w:val="0"/>
                      <w:i w:val="0"/>
                      <w:iCs w:val="0"/>
                      <w:color w:val="000000"/>
                      <w:kern w:val="0"/>
                      <w:sz w:val="22"/>
                      <w:szCs w:val="22"/>
                      <w:highlight w:val="none"/>
                      <w:u w:val="none"/>
                      <w:lang w:val="en-US" w:eastAsia="zh-CN" w:bidi="ar"/>
                    </w:rPr>
                    <w:t>12</w:t>
                  </w:r>
                  <w:r>
                    <w:rPr>
                      <w:rFonts w:hint="default" w:ascii="Times New Roman" w:hAnsi="Times New Roman" w:eastAsia="宋体" w:cs="Times New Roman"/>
                      <w:b w:val="0"/>
                      <w:i w:val="0"/>
                      <w:iCs w:val="0"/>
                      <w:color w:val="000000"/>
                      <w:kern w:val="0"/>
                      <w:sz w:val="22"/>
                      <w:szCs w:val="22"/>
                      <w:highlight w:val="none"/>
                      <w:u w:val="none"/>
                      <w:lang w:val="en-US" w:eastAsia="zh-CN" w:bidi="ar"/>
                    </w:rPr>
                    <w:t>.</w:t>
                  </w:r>
                  <w:r>
                    <w:rPr>
                      <w:rFonts w:hint="eastAsia" w:cs="Times New Roman"/>
                      <w:b w:val="0"/>
                      <w:i w:val="0"/>
                      <w:iCs w:val="0"/>
                      <w:color w:val="000000"/>
                      <w:kern w:val="0"/>
                      <w:sz w:val="22"/>
                      <w:szCs w:val="22"/>
                      <w:highlight w:val="none"/>
                      <w:u w:val="none"/>
                      <w:lang w:val="en-US" w:eastAsia="zh-CN" w:bidi="ar"/>
                    </w:rPr>
                    <w:t>0</w:t>
                  </w:r>
                  <w:r>
                    <w:rPr>
                      <w:rFonts w:hint="default" w:ascii="Times New Roman" w:hAnsi="Times New Roman" w:eastAsia="宋体" w:cs="Times New Roman"/>
                      <w:b w:val="0"/>
                      <w:i w:val="0"/>
                      <w:iCs w:val="0"/>
                      <w:color w:val="000000"/>
                      <w:kern w:val="0"/>
                      <w:sz w:val="22"/>
                      <w:szCs w:val="22"/>
                      <w:highlight w:val="none"/>
                      <w:u w:val="none"/>
                      <w:lang w:val="en-US" w:eastAsia="zh-CN" w:bidi="ar"/>
                    </w:rPr>
                    <w:t>8</w:t>
                  </w:r>
                </w:p>
              </w:tc>
              <w:tc>
                <w:tcPr>
                  <w:tcW w:w="874" w:type="pct"/>
                  <w:tcBorders>
                    <w:top w:val="single" w:color="auto" w:sz="4" w:space="0"/>
                    <w:left w:val="single" w:color="auto" w:sz="4" w:space="0"/>
                    <w:bottom w:val="single" w:color="auto" w:sz="4" w:space="0"/>
                    <w:right w:val="single" w:color="auto" w:sz="4" w:space="0"/>
                  </w:tcBorders>
                  <w:shd w:val="clear" w:color="auto" w:fill="FFFFFF"/>
                  <w:vAlign w:val="center"/>
                </w:tcPr>
                <w:p w14:paraId="35711E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cs="Times New Roman"/>
                      <w:b w:val="0"/>
                      <w:color w:val="000000"/>
                      <w:highlight w:val="none"/>
                      <w:lang w:val="en-US" w:eastAsia="zh-CN"/>
                    </w:rPr>
                    <w:t>沼泽草地</w:t>
                  </w:r>
                </w:p>
              </w:tc>
              <w:tc>
                <w:tcPr>
                  <w:tcW w:w="721" w:type="pct"/>
                  <w:tcBorders>
                    <w:top w:val="single" w:color="auto" w:sz="4" w:space="0"/>
                    <w:left w:val="single" w:color="auto" w:sz="4" w:space="0"/>
                    <w:bottom w:val="single" w:color="auto" w:sz="4" w:space="0"/>
                    <w:right w:val="nil"/>
                  </w:tcBorders>
                  <w:shd w:val="clear" w:color="auto" w:fill="FFFFFF"/>
                  <w:vAlign w:val="center"/>
                </w:tcPr>
                <w:p w14:paraId="30BB7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cs="Times New Roman"/>
                      <w:b w:val="0"/>
                      <w:color w:val="000000"/>
                      <w:highlight w:val="none"/>
                      <w:lang w:val="en-US" w:eastAsia="zh-CN"/>
                    </w:rPr>
                    <w:t>永久</w:t>
                  </w:r>
                  <w:r>
                    <w:rPr>
                      <w:rFonts w:hint="default" w:ascii="Times New Roman" w:hAnsi="Times New Roman" w:cs="Times New Roman"/>
                      <w:b w:val="0"/>
                      <w:color w:val="000000"/>
                      <w:highlight w:val="none"/>
                      <w:lang w:val="en-US" w:eastAsia="zh-CN"/>
                    </w:rPr>
                    <w:t>占地</w:t>
                  </w:r>
                </w:p>
              </w:tc>
            </w:tr>
            <w:bookmarkEnd w:id="8"/>
            <w:tr w14:paraId="60A8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303" w:type="pct"/>
                  <w:vMerge w:val="restart"/>
                  <w:tcBorders>
                    <w:top w:val="single" w:color="auto" w:sz="4" w:space="0"/>
                    <w:left w:val="nil"/>
                    <w:right w:val="single" w:color="auto" w:sz="4" w:space="0"/>
                  </w:tcBorders>
                  <w:shd w:val="clear" w:color="auto" w:fill="FFFFFF"/>
                  <w:vAlign w:val="center"/>
                </w:tcPr>
                <w:p w14:paraId="03ECA0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bookmarkStart w:id="9" w:name="OLE_LINK33" w:colFirst="5" w:colLast="5"/>
                  <w:r>
                    <w:rPr>
                      <w:rFonts w:hint="eastAsia" w:cs="Times New Roman"/>
                      <w:b w:val="0"/>
                      <w:color w:val="000000"/>
                      <w:highlight w:val="none"/>
                      <w:lang w:val="en-US" w:eastAsia="zh-CN"/>
                    </w:rPr>
                    <w:t>4</w:t>
                  </w:r>
                </w:p>
              </w:tc>
              <w:tc>
                <w:tcPr>
                  <w:tcW w:w="743" w:type="pct"/>
                  <w:vMerge w:val="restart"/>
                  <w:tcBorders>
                    <w:top w:val="single" w:color="auto" w:sz="4" w:space="0"/>
                    <w:left w:val="single" w:color="auto" w:sz="4" w:space="0"/>
                    <w:right w:val="single" w:color="auto" w:sz="4" w:space="0"/>
                  </w:tcBorders>
                  <w:shd w:val="clear" w:color="auto" w:fill="FFFFFF"/>
                  <w:vAlign w:val="center"/>
                </w:tcPr>
                <w:p w14:paraId="38F0A3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default"/>
                      <w:sz w:val="21"/>
                      <w:szCs w:val="21"/>
                      <w:highlight w:val="none"/>
                      <w:lang w:val="en-US" w:eastAsia="zh-CN"/>
                    </w:rPr>
                    <w:t>农田水渠提升改造</w:t>
                  </w:r>
                </w:p>
              </w:tc>
              <w:tc>
                <w:tcPr>
                  <w:tcW w:w="1661" w:type="pct"/>
                  <w:tcBorders>
                    <w:top w:val="single" w:color="auto" w:sz="4" w:space="0"/>
                    <w:left w:val="single" w:color="auto" w:sz="4" w:space="0"/>
                    <w:bottom w:val="single" w:color="auto" w:sz="4" w:space="0"/>
                    <w:right w:val="single" w:color="auto" w:sz="4" w:space="0"/>
                  </w:tcBorders>
                  <w:shd w:val="clear" w:color="auto" w:fill="FFFFFF"/>
                  <w:vAlign w:val="center"/>
                </w:tcPr>
                <w:p w14:paraId="4DE108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b w:val="0"/>
                      <w:color w:val="000000"/>
                      <w:highlight w:val="none"/>
                      <w:lang w:val="en-US" w:eastAsia="zh-CN"/>
                    </w:rPr>
                    <w:t>沟渠及边坡</w:t>
                  </w:r>
                </w:p>
              </w:tc>
              <w:tc>
                <w:tcPr>
                  <w:tcW w:w="696" w:type="pct"/>
                  <w:tcBorders>
                    <w:top w:val="single" w:color="auto" w:sz="4" w:space="0"/>
                    <w:left w:val="single" w:color="auto" w:sz="4" w:space="0"/>
                    <w:bottom w:val="single" w:color="auto" w:sz="4" w:space="0"/>
                    <w:right w:val="single" w:color="auto" w:sz="4" w:space="0"/>
                  </w:tcBorders>
                  <w:shd w:val="clear" w:color="auto" w:fill="FFFFFF"/>
                  <w:vAlign w:val="center"/>
                </w:tcPr>
                <w:p w14:paraId="14C166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default" w:ascii="Times New Roman" w:hAnsi="Times New Roman" w:cs="Times New Roman"/>
                      <w:b w:val="0"/>
                      <w:color w:val="000000"/>
                      <w:highlight w:val="none"/>
                      <w:lang w:val="en-US" w:eastAsia="zh-CN"/>
                    </w:rPr>
                    <w:t>0.</w:t>
                  </w:r>
                  <w:r>
                    <w:rPr>
                      <w:rFonts w:hint="eastAsia" w:cs="Times New Roman"/>
                      <w:b w:val="0"/>
                      <w:color w:val="000000"/>
                      <w:highlight w:val="none"/>
                      <w:lang w:val="en-US" w:eastAsia="zh-CN"/>
                    </w:rPr>
                    <w:t>2</w:t>
                  </w:r>
                </w:p>
              </w:tc>
              <w:tc>
                <w:tcPr>
                  <w:tcW w:w="874" w:type="pct"/>
                  <w:tcBorders>
                    <w:top w:val="single" w:color="auto" w:sz="4" w:space="0"/>
                    <w:left w:val="single" w:color="auto" w:sz="4" w:space="0"/>
                    <w:bottom w:val="single" w:color="auto" w:sz="4" w:space="0"/>
                    <w:right w:val="single" w:color="auto" w:sz="4" w:space="0"/>
                  </w:tcBorders>
                  <w:shd w:val="clear" w:color="auto" w:fill="FFFFFF"/>
                  <w:vAlign w:val="center"/>
                </w:tcPr>
                <w:p w14:paraId="027D98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b w:val="0"/>
                      <w:color w:val="000000"/>
                      <w:highlight w:val="none"/>
                      <w:lang w:val="en-US" w:eastAsia="zh-CN"/>
                    </w:rPr>
                    <w:t>沟渠</w:t>
                  </w:r>
                </w:p>
              </w:tc>
              <w:tc>
                <w:tcPr>
                  <w:tcW w:w="721" w:type="pct"/>
                  <w:tcBorders>
                    <w:top w:val="single" w:color="auto" w:sz="4" w:space="0"/>
                    <w:left w:val="single" w:color="auto" w:sz="4" w:space="0"/>
                    <w:bottom w:val="single" w:color="auto" w:sz="4" w:space="0"/>
                    <w:right w:val="nil"/>
                  </w:tcBorders>
                  <w:shd w:val="clear" w:color="auto" w:fill="FFFFFF"/>
                  <w:vAlign w:val="center"/>
                </w:tcPr>
                <w:p w14:paraId="68D18B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default" w:ascii="Times New Roman" w:hAnsi="Times New Roman" w:cs="Times New Roman"/>
                      <w:b w:val="0"/>
                      <w:color w:val="000000"/>
                      <w:highlight w:val="none"/>
                      <w:lang w:val="en-US" w:eastAsia="zh-CN"/>
                    </w:rPr>
                    <w:t>永久占地</w:t>
                  </w:r>
                </w:p>
              </w:tc>
            </w:tr>
            <w:tr w14:paraId="24E4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303" w:type="pct"/>
                  <w:vMerge w:val="continue"/>
                  <w:tcBorders>
                    <w:left w:val="nil"/>
                    <w:bottom w:val="single" w:color="auto" w:sz="4" w:space="0"/>
                    <w:right w:val="single" w:color="auto" w:sz="4" w:space="0"/>
                  </w:tcBorders>
                  <w:shd w:val="clear" w:color="auto" w:fill="FFFFFF"/>
                  <w:vAlign w:val="center"/>
                </w:tcPr>
                <w:p w14:paraId="0F9BCC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p>
              </w:tc>
              <w:tc>
                <w:tcPr>
                  <w:tcW w:w="743" w:type="pct"/>
                  <w:vMerge w:val="continue"/>
                  <w:tcBorders>
                    <w:left w:val="single" w:color="auto" w:sz="4" w:space="0"/>
                    <w:bottom w:val="single" w:color="auto" w:sz="4" w:space="0"/>
                    <w:right w:val="single" w:color="auto" w:sz="4" w:space="0"/>
                  </w:tcBorders>
                  <w:shd w:val="clear" w:color="auto" w:fill="FFFFFF"/>
                  <w:vAlign w:val="center"/>
                </w:tcPr>
                <w:p w14:paraId="60A8CB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highlight w:val="none"/>
                      <w:lang w:val="en-US" w:eastAsia="zh-CN"/>
                    </w:rPr>
                  </w:pPr>
                </w:p>
              </w:tc>
              <w:tc>
                <w:tcPr>
                  <w:tcW w:w="1661" w:type="pct"/>
                  <w:tcBorders>
                    <w:top w:val="single" w:color="auto" w:sz="4" w:space="0"/>
                    <w:left w:val="single" w:color="auto" w:sz="4" w:space="0"/>
                    <w:bottom w:val="single" w:color="auto" w:sz="4" w:space="0"/>
                    <w:right w:val="single" w:color="auto" w:sz="4" w:space="0"/>
                  </w:tcBorders>
                  <w:shd w:val="clear" w:color="auto" w:fill="FFFFFF"/>
                  <w:vAlign w:val="center"/>
                </w:tcPr>
                <w:p w14:paraId="1A2264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default" w:ascii="Times New Roman" w:hAnsi="Times New Roman" w:cs="Times New Roman"/>
                      <w:b w:val="0"/>
                      <w:color w:val="000000"/>
                      <w:highlight w:val="none"/>
                      <w:lang w:val="en-US" w:eastAsia="zh-CN"/>
                    </w:rPr>
                    <w:t>工程基础开挖临时堆存</w:t>
                  </w:r>
                </w:p>
              </w:tc>
              <w:tc>
                <w:tcPr>
                  <w:tcW w:w="696" w:type="pct"/>
                  <w:tcBorders>
                    <w:top w:val="single" w:color="auto" w:sz="4" w:space="0"/>
                    <w:left w:val="single" w:color="auto" w:sz="4" w:space="0"/>
                    <w:bottom w:val="single" w:color="auto" w:sz="4" w:space="0"/>
                    <w:right w:val="single" w:color="auto" w:sz="4" w:space="0"/>
                  </w:tcBorders>
                  <w:shd w:val="clear" w:color="auto" w:fill="FFFFFF"/>
                  <w:vAlign w:val="center"/>
                </w:tcPr>
                <w:p w14:paraId="71FEEA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b w:val="0"/>
                      <w:color w:val="000000"/>
                      <w:highlight w:val="none"/>
                      <w:lang w:val="en-US" w:eastAsia="zh-CN"/>
                    </w:rPr>
                    <w:t>0.48</w:t>
                  </w:r>
                </w:p>
              </w:tc>
              <w:tc>
                <w:tcPr>
                  <w:tcW w:w="874" w:type="pct"/>
                  <w:tcBorders>
                    <w:top w:val="single" w:color="auto" w:sz="4" w:space="0"/>
                    <w:left w:val="single" w:color="auto" w:sz="4" w:space="0"/>
                    <w:bottom w:val="single" w:color="auto" w:sz="4" w:space="0"/>
                    <w:right w:val="single" w:color="auto" w:sz="4" w:space="0"/>
                  </w:tcBorders>
                  <w:shd w:val="clear" w:color="auto" w:fill="FFFFFF"/>
                  <w:vAlign w:val="center"/>
                </w:tcPr>
                <w:p w14:paraId="783827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cs="Times New Roman"/>
                      <w:b w:val="0"/>
                      <w:color w:val="000000"/>
                      <w:highlight w:val="none"/>
                      <w:lang w:val="en-US" w:eastAsia="zh-CN"/>
                    </w:rPr>
                    <w:t>沼泽草地</w:t>
                  </w:r>
                </w:p>
              </w:tc>
              <w:tc>
                <w:tcPr>
                  <w:tcW w:w="721" w:type="pct"/>
                  <w:tcBorders>
                    <w:top w:val="single" w:color="auto" w:sz="4" w:space="0"/>
                    <w:left w:val="single" w:color="auto" w:sz="4" w:space="0"/>
                    <w:bottom w:val="single" w:color="auto" w:sz="4" w:space="0"/>
                    <w:right w:val="nil"/>
                  </w:tcBorders>
                  <w:shd w:val="clear" w:color="auto" w:fill="FFFFFF"/>
                  <w:vAlign w:val="center"/>
                </w:tcPr>
                <w:p w14:paraId="69FE05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ascii="Times New Roman" w:hAnsi="Times New Roman" w:cs="Times New Roman"/>
                      <w:b w:val="0"/>
                      <w:color w:val="000000"/>
                      <w:highlight w:val="none"/>
                      <w:lang w:val="en-US" w:eastAsia="zh-CN"/>
                    </w:rPr>
                    <w:t>临时占地</w:t>
                  </w:r>
                </w:p>
              </w:tc>
            </w:tr>
            <w:tr w14:paraId="4356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303" w:type="pct"/>
                  <w:tcBorders>
                    <w:top w:val="single" w:color="auto" w:sz="4" w:space="0"/>
                    <w:left w:val="nil"/>
                    <w:right w:val="single" w:color="auto" w:sz="4" w:space="0"/>
                  </w:tcBorders>
                  <w:shd w:val="clear" w:color="auto" w:fill="FFFFFF"/>
                  <w:vAlign w:val="center"/>
                </w:tcPr>
                <w:p w14:paraId="519E7B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b w:val="0"/>
                      <w:color w:val="000000"/>
                      <w:highlight w:val="none"/>
                      <w:lang w:val="en-US" w:eastAsia="zh-CN"/>
                    </w:rPr>
                    <w:t>5</w:t>
                  </w:r>
                </w:p>
              </w:tc>
              <w:tc>
                <w:tcPr>
                  <w:tcW w:w="743" w:type="pct"/>
                  <w:tcBorders>
                    <w:top w:val="single" w:color="auto" w:sz="4" w:space="0"/>
                    <w:left w:val="single" w:color="auto" w:sz="4" w:space="0"/>
                    <w:right w:val="single" w:color="auto" w:sz="4" w:space="0"/>
                  </w:tcBorders>
                  <w:shd w:val="clear" w:color="auto" w:fill="FFFFFF"/>
                  <w:vAlign w:val="center"/>
                </w:tcPr>
                <w:p w14:paraId="7FACFD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rPr>
                  </w:pPr>
                  <w:r>
                    <w:rPr>
                      <w:rFonts w:hint="eastAsia" w:ascii="宋体" w:hAnsi="宋体" w:cs="宋体"/>
                      <w:spacing w:val="-3"/>
                      <w:sz w:val="21"/>
                      <w:szCs w:val="21"/>
                      <w:highlight w:val="none"/>
                      <w:lang w:val="en-US" w:eastAsia="zh-CN"/>
                    </w:rPr>
                    <w:t>（封禁管理）</w:t>
                  </w:r>
                  <w:r>
                    <w:rPr>
                      <w:rFonts w:ascii="宋体" w:hAnsi="宋体" w:eastAsia="宋体" w:cs="宋体"/>
                      <w:spacing w:val="-3"/>
                      <w:sz w:val="21"/>
                      <w:szCs w:val="21"/>
                      <w:highlight w:val="none"/>
                    </w:rPr>
                    <w:t>水土保持宣传</w:t>
                  </w:r>
                </w:p>
              </w:tc>
              <w:tc>
                <w:tcPr>
                  <w:tcW w:w="1661" w:type="pct"/>
                  <w:tcBorders>
                    <w:top w:val="single" w:color="auto" w:sz="4" w:space="0"/>
                    <w:left w:val="single" w:color="auto" w:sz="4" w:space="0"/>
                    <w:bottom w:val="single" w:color="auto" w:sz="4" w:space="0"/>
                    <w:right w:val="single" w:color="auto" w:sz="4" w:space="0"/>
                  </w:tcBorders>
                  <w:shd w:val="clear" w:color="auto" w:fill="FFFFFF"/>
                  <w:vAlign w:val="center"/>
                </w:tcPr>
                <w:p w14:paraId="6461DF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default"/>
                      <w:highlight w:val="none"/>
                      <w:lang w:val="en-US" w:eastAsia="zh-CN"/>
                    </w:rPr>
                    <w:t>封禁治理</w:t>
                  </w:r>
                  <w:r>
                    <w:rPr>
                      <w:rFonts w:hint="eastAsia"/>
                      <w:highlight w:val="none"/>
                      <w:lang w:val="en-US" w:eastAsia="zh-CN"/>
                    </w:rPr>
                    <w:t>（仅标识牌占地）</w:t>
                  </w:r>
                </w:p>
              </w:tc>
              <w:tc>
                <w:tcPr>
                  <w:tcW w:w="696" w:type="pct"/>
                  <w:tcBorders>
                    <w:top w:val="single" w:color="auto" w:sz="4" w:space="0"/>
                    <w:left w:val="single" w:color="auto" w:sz="4" w:space="0"/>
                    <w:bottom w:val="single" w:color="auto" w:sz="4" w:space="0"/>
                    <w:right w:val="single" w:color="auto" w:sz="4" w:space="0"/>
                  </w:tcBorders>
                  <w:shd w:val="clear" w:color="auto" w:fill="FFFFFF"/>
                  <w:vAlign w:val="center"/>
                </w:tcPr>
                <w:p w14:paraId="35C802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b w:val="0"/>
                      <w:color w:val="000000"/>
                      <w:highlight w:val="none"/>
                      <w:lang w:val="en-US" w:eastAsia="zh-CN"/>
                    </w:rPr>
                    <w:t>0.002</w:t>
                  </w:r>
                </w:p>
              </w:tc>
              <w:tc>
                <w:tcPr>
                  <w:tcW w:w="874" w:type="pct"/>
                  <w:tcBorders>
                    <w:top w:val="single" w:color="auto" w:sz="4" w:space="0"/>
                    <w:left w:val="single" w:color="auto" w:sz="4" w:space="0"/>
                    <w:bottom w:val="single" w:color="auto" w:sz="4" w:space="0"/>
                    <w:right w:val="single" w:color="auto" w:sz="4" w:space="0"/>
                  </w:tcBorders>
                  <w:shd w:val="clear" w:color="auto" w:fill="FFFFFF"/>
                  <w:vAlign w:val="center"/>
                </w:tcPr>
                <w:p w14:paraId="3D27BE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eastAsia" w:cs="Times New Roman"/>
                      <w:b w:val="0"/>
                      <w:color w:val="000000"/>
                      <w:highlight w:val="none"/>
                      <w:lang w:val="en-US" w:eastAsia="zh-CN"/>
                    </w:rPr>
                    <w:t>沼泽草地</w:t>
                  </w:r>
                </w:p>
              </w:tc>
              <w:tc>
                <w:tcPr>
                  <w:tcW w:w="721" w:type="pct"/>
                  <w:tcBorders>
                    <w:top w:val="single" w:color="auto" w:sz="4" w:space="0"/>
                    <w:left w:val="single" w:color="auto" w:sz="4" w:space="0"/>
                    <w:bottom w:val="single" w:color="auto" w:sz="4" w:space="0"/>
                    <w:right w:val="nil"/>
                  </w:tcBorders>
                  <w:shd w:val="clear" w:color="auto" w:fill="FFFFFF"/>
                  <w:vAlign w:val="center"/>
                </w:tcPr>
                <w:p w14:paraId="76A241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4"/>
                      <w:szCs w:val="24"/>
                      <w:highlight w:val="none"/>
                      <w:lang w:val="en-US" w:eastAsia="zh-CN" w:bidi="ar-SA"/>
                    </w:rPr>
                  </w:pPr>
                  <w:r>
                    <w:rPr>
                      <w:rFonts w:hint="default" w:ascii="Times New Roman" w:hAnsi="Times New Roman" w:cs="Times New Roman"/>
                      <w:b w:val="0"/>
                      <w:color w:val="000000"/>
                      <w:highlight w:val="none"/>
                      <w:lang w:val="en-US" w:eastAsia="zh-CN"/>
                    </w:rPr>
                    <w:t>临时占地</w:t>
                  </w:r>
                </w:p>
              </w:tc>
            </w:tr>
            <w:bookmarkEnd w:id="9"/>
            <w:tr w14:paraId="0031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2708" w:type="pct"/>
                  <w:gridSpan w:val="3"/>
                  <w:tcBorders>
                    <w:top w:val="single" w:color="auto" w:sz="4" w:space="0"/>
                    <w:left w:val="nil"/>
                    <w:bottom w:val="single" w:color="000000" w:sz="12" w:space="0"/>
                    <w:right w:val="single" w:color="auto" w:sz="4" w:space="0"/>
                  </w:tcBorders>
                  <w:shd w:val="clear" w:color="auto" w:fill="FFFFFF"/>
                  <w:vAlign w:val="center"/>
                </w:tcPr>
                <w:p w14:paraId="63118D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default" w:ascii="Times New Roman" w:hAnsi="Times New Roman" w:cs="Times New Roman"/>
                      <w:b w:val="0"/>
                      <w:color w:val="000000"/>
                      <w:highlight w:val="none"/>
                      <w:lang w:val="en-US" w:eastAsia="zh-CN"/>
                    </w:rPr>
                    <w:t>合计</w:t>
                  </w:r>
                </w:p>
              </w:tc>
              <w:tc>
                <w:tcPr>
                  <w:tcW w:w="696" w:type="pct"/>
                  <w:tcBorders>
                    <w:top w:val="single" w:color="auto" w:sz="4" w:space="0"/>
                    <w:left w:val="single" w:color="auto" w:sz="4" w:space="0"/>
                    <w:bottom w:val="single" w:color="000000" w:sz="12" w:space="0"/>
                    <w:right w:val="single" w:color="auto" w:sz="4" w:space="0"/>
                  </w:tcBorders>
                  <w:shd w:val="clear" w:color="auto" w:fill="FFFFFF"/>
                  <w:vAlign w:val="center"/>
                </w:tcPr>
                <w:p w14:paraId="2880EC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lang w:val="en-US" w:eastAsia="zh-CN"/>
                    </w:rPr>
                  </w:pPr>
                  <w:r>
                    <w:rPr>
                      <w:rFonts w:hint="eastAsia" w:cs="Times New Roman"/>
                      <w:b w:val="0"/>
                      <w:color w:val="000000"/>
                      <w:highlight w:val="none"/>
                      <w:lang w:val="en-US" w:eastAsia="zh-CN"/>
                    </w:rPr>
                    <w:t>17.457</w:t>
                  </w:r>
                </w:p>
              </w:tc>
              <w:tc>
                <w:tcPr>
                  <w:tcW w:w="874" w:type="pct"/>
                  <w:tcBorders>
                    <w:top w:val="single" w:color="auto" w:sz="4" w:space="0"/>
                    <w:left w:val="single" w:color="auto" w:sz="4" w:space="0"/>
                    <w:bottom w:val="single" w:color="000000" w:sz="12" w:space="0"/>
                    <w:right w:val="single" w:color="auto" w:sz="4" w:space="0"/>
                  </w:tcBorders>
                  <w:shd w:val="clear" w:color="auto" w:fill="FFFFFF"/>
                  <w:vAlign w:val="center"/>
                </w:tcPr>
                <w:p w14:paraId="31256E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rPr>
                  </w:pPr>
                  <w:r>
                    <w:rPr>
                      <w:rFonts w:hint="default" w:ascii="Times New Roman" w:hAnsi="Times New Roman" w:cs="Times New Roman"/>
                      <w:b w:val="0"/>
                      <w:color w:val="000000"/>
                      <w:highlight w:val="none"/>
                      <w:lang w:val="en-US" w:eastAsia="zh-CN"/>
                    </w:rPr>
                    <w:t>/</w:t>
                  </w:r>
                </w:p>
              </w:tc>
              <w:tc>
                <w:tcPr>
                  <w:tcW w:w="721" w:type="pct"/>
                  <w:tcBorders>
                    <w:top w:val="single" w:color="auto" w:sz="4" w:space="0"/>
                    <w:left w:val="single" w:color="auto" w:sz="4" w:space="0"/>
                    <w:bottom w:val="single" w:color="000000" w:sz="12" w:space="0"/>
                    <w:right w:val="nil"/>
                  </w:tcBorders>
                  <w:shd w:val="clear" w:color="auto" w:fill="FFFFFF"/>
                  <w:vAlign w:val="center"/>
                </w:tcPr>
                <w:p w14:paraId="6D8ECF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highlight w:val="none"/>
                    </w:rPr>
                  </w:pPr>
                  <w:r>
                    <w:rPr>
                      <w:rFonts w:hint="default" w:ascii="Times New Roman" w:hAnsi="Times New Roman" w:cs="Times New Roman"/>
                      <w:b w:val="0"/>
                      <w:color w:val="000000"/>
                      <w:highlight w:val="none"/>
                      <w:lang w:val="en-US" w:eastAsia="zh-CN"/>
                    </w:rPr>
                    <w:t>/</w:t>
                  </w:r>
                </w:p>
              </w:tc>
            </w:tr>
          </w:tbl>
          <w:p w14:paraId="69545CA4">
            <w:pPr>
              <w:bidi w:val="0"/>
              <w:jc w:val="both"/>
              <w:rPr>
                <w:rFonts w:hint="default"/>
                <w:highlight w:val="none"/>
                <w:lang w:val="en-US" w:eastAsia="zh-CN"/>
              </w:rPr>
            </w:pPr>
            <w:r>
              <w:rPr>
                <w:rFonts w:hint="default"/>
                <w:highlight w:val="none"/>
                <w:lang w:val="en-US" w:eastAsia="zh-CN"/>
              </w:rPr>
              <w:t>本工程土石方挖填总量约2.54万m³，其中：砂砾石开挖（含清淤、路基平整、沟槽开挖等）约1.10万m³，砂砾石回填及夯填约1.44万m³（含外购砂石料0.35万m³）。主要施工工艺包括：阴沟清淤疏浚、岸坡削坡回填、木桩+生态袋护岸铺设、道路砂砾石垫层铺筑、农田水渠U型预制件衬砌及树穴开挖等。施工期间施工单位应采取土源统一调配，严禁随意破坏植被及排放污水等人为破坏自然生态环境；同时应按照移挖作填的原则，优先利用清淤及开挖土方进行岸坡回填和场地平整。本项目所需砂砾石垫层等填料均从合法料场外购，开挖土方全部内部消纳，不设置取弃土场。</w:t>
            </w:r>
          </w:p>
          <w:p w14:paraId="18291001">
            <w:pPr>
              <w:bidi w:val="0"/>
              <w:jc w:val="center"/>
              <w:rPr>
                <w:rFonts w:hint="default"/>
                <w:highlight w:val="none"/>
                <w:vertAlign w:val="superscript"/>
                <w:lang w:val="en-US" w:eastAsia="zh-CN"/>
              </w:rPr>
            </w:pPr>
            <w:r>
              <w:rPr>
                <w:rFonts w:hint="default"/>
                <w:highlight w:val="none"/>
                <w:lang w:val="en-US" w:eastAsia="zh-CN"/>
              </w:rPr>
              <w:t>表2-</w:t>
            </w:r>
            <w:r>
              <w:rPr>
                <w:rFonts w:hint="eastAsia"/>
                <w:highlight w:val="none"/>
                <w:lang w:val="en-US" w:eastAsia="zh-CN"/>
              </w:rPr>
              <w:t>6</w:t>
            </w:r>
            <w:r>
              <w:rPr>
                <w:rFonts w:hint="default"/>
                <w:highlight w:val="none"/>
                <w:lang w:val="en-US" w:eastAsia="zh-CN"/>
              </w:rPr>
              <w:t>工程土石方平衡一览表单位：</w:t>
            </w:r>
            <w:r>
              <w:rPr>
                <w:rFonts w:hint="eastAsia"/>
                <w:highlight w:val="none"/>
                <w:lang w:val="en-US" w:eastAsia="zh-CN"/>
              </w:rPr>
              <w:t>万</w:t>
            </w:r>
            <w:r>
              <w:rPr>
                <w:rFonts w:hint="default"/>
                <w:highlight w:val="none"/>
                <w:lang w:val="en-US" w:eastAsia="zh-CN"/>
              </w:rPr>
              <w:t>m</w:t>
            </w:r>
            <w:r>
              <w:rPr>
                <w:rFonts w:hint="default"/>
                <w:highlight w:val="none"/>
                <w:vertAlign w:val="superscript"/>
                <w:lang w:val="en-US" w:eastAsia="zh-CN"/>
              </w:rPr>
              <w:t>3</w:t>
            </w:r>
          </w:p>
          <w:tbl>
            <w:tblPr>
              <w:tblStyle w:val="27"/>
              <w:tblW w:w="7709" w:type="dxa"/>
              <w:tblInd w:w="-17"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13"/>
              <w:gridCol w:w="945"/>
              <w:gridCol w:w="696"/>
              <w:gridCol w:w="740"/>
              <w:gridCol w:w="861"/>
              <w:gridCol w:w="414"/>
              <w:gridCol w:w="908"/>
              <w:gridCol w:w="437"/>
              <w:gridCol w:w="790"/>
              <w:gridCol w:w="672"/>
              <w:gridCol w:w="833"/>
            </w:tblGrid>
            <w:tr w14:paraId="6F38E1B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13" w:type="dxa"/>
                  <w:vMerge w:val="restart"/>
                  <w:tcBorders>
                    <w:top w:val="single" w:color="000000" w:sz="12" w:space="0"/>
                    <w:left w:val="nil"/>
                    <w:tl2br w:val="nil"/>
                  </w:tcBorders>
                  <w:shd w:val="clear" w:color="auto" w:fill="FFFFFF"/>
                  <w:noWrap/>
                  <w:vAlign w:val="center"/>
                </w:tcPr>
                <w:p w14:paraId="1E2106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编号</w:t>
                  </w:r>
                </w:p>
              </w:tc>
              <w:tc>
                <w:tcPr>
                  <w:tcW w:w="945" w:type="dxa"/>
                  <w:vMerge w:val="restart"/>
                  <w:tcBorders>
                    <w:top w:val="single" w:color="000000" w:sz="12" w:space="0"/>
                  </w:tcBorders>
                  <w:shd w:val="clear" w:color="auto" w:fill="FFFFFF"/>
                  <w:noWrap/>
                  <w:vAlign w:val="center"/>
                </w:tcPr>
                <w:p w14:paraId="3F17F5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工程项目</w:t>
                  </w:r>
                </w:p>
              </w:tc>
              <w:tc>
                <w:tcPr>
                  <w:tcW w:w="696" w:type="dxa"/>
                  <w:tcBorders>
                    <w:top w:val="single" w:color="000000" w:sz="12" w:space="0"/>
                  </w:tcBorders>
                  <w:shd w:val="clear" w:color="auto" w:fill="FFFFFF"/>
                  <w:noWrap/>
                  <w:vAlign w:val="center"/>
                </w:tcPr>
                <w:p w14:paraId="3C987C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挖方</w:t>
                  </w:r>
                </w:p>
              </w:tc>
              <w:tc>
                <w:tcPr>
                  <w:tcW w:w="740" w:type="dxa"/>
                  <w:tcBorders>
                    <w:top w:val="single" w:color="000000" w:sz="12" w:space="0"/>
                  </w:tcBorders>
                  <w:shd w:val="clear" w:color="auto" w:fill="FFFFFF"/>
                  <w:noWrap/>
                  <w:vAlign w:val="center"/>
                </w:tcPr>
                <w:p w14:paraId="016B44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填方</w:t>
                  </w:r>
                </w:p>
              </w:tc>
              <w:tc>
                <w:tcPr>
                  <w:tcW w:w="1275" w:type="dxa"/>
                  <w:gridSpan w:val="2"/>
                  <w:tcBorders>
                    <w:top w:val="single" w:color="000000" w:sz="12" w:space="0"/>
                  </w:tcBorders>
                  <w:shd w:val="clear" w:color="auto" w:fill="FFFFFF"/>
                  <w:noWrap/>
                  <w:vAlign w:val="center"/>
                </w:tcPr>
                <w:p w14:paraId="4938C9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调入</w:t>
                  </w:r>
                </w:p>
              </w:tc>
              <w:tc>
                <w:tcPr>
                  <w:tcW w:w="1345" w:type="dxa"/>
                  <w:gridSpan w:val="2"/>
                  <w:tcBorders>
                    <w:top w:val="single" w:color="000000" w:sz="12" w:space="0"/>
                  </w:tcBorders>
                  <w:shd w:val="clear" w:color="auto" w:fill="FFFFFF"/>
                  <w:noWrap/>
                  <w:vAlign w:val="center"/>
                </w:tcPr>
                <w:p w14:paraId="01C3D1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调出</w:t>
                  </w:r>
                </w:p>
              </w:tc>
              <w:tc>
                <w:tcPr>
                  <w:tcW w:w="790" w:type="dxa"/>
                  <w:tcBorders>
                    <w:top w:val="single" w:color="000000" w:sz="12" w:space="0"/>
                  </w:tcBorders>
                  <w:shd w:val="clear" w:color="auto" w:fill="FFFFFF"/>
                  <w:vAlign w:val="center"/>
                </w:tcPr>
                <w:p w14:paraId="1907BE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借方</w:t>
                  </w:r>
                </w:p>
              </w:tc>
              <w:tc>
                <w:tcPr>
                  <w:tcW w:w="672" w:type="dxa"/>
                  <w:tcBorders>
                    <w:top w:val="single" w:color="000000" w:sz="12" w:space="0"/>
                  </w:tcBorders>
                  <w:shd w:val="clear" w:color="auto" w:fill="FFFFFF"/>
                  <w:vAlign w:val="center"/>
                </w:tcPr>
                <w:p w14:paraId="712AB0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弃方</w:t>
                  </w:r>
                </w:p>
              </w:tc>
              <w:tc>
                <w:tcPr>
                  <w:tcW w:w="833" w:type="dxa"/>
                  <w:vMerge w:val="restart"/>
                  <w:tcBorders>
                    <w:top w:val="single" w:color="000000" w:sz="12" w:space="0"/>
                    <w:right w:val="nil"/>
                  </w:tcBorders>
                  <w:shd w:val="clear" w:color="auto" w:fill="FFFFFF"/>
                  <w:noWrap/>
                  <w:vAlign w:val="center"/>
                </w:tcPr>
                <w:p w14:paraId="4BB0A668">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default" w:ascii="Times New Roman" w:hAnsi="Times New Roman" w:eastAsia="宋体" w:cs="Times New Roman"/>
                      <w:b w:val="0"/>
                      <w:i w:val="0"/>
                      <w:iCs w:val="0"/>
                      <w:color w:val="000000"/>
                      <w:sz w:val="21"/>
                      <w:szCs w:val="21"/>
                      <w:highlight w:val="none"/>
                      <w:u w:val="none"/>
                      <w:lang w:val="en-US" w:eastAsia="zh-CN"/>
                    </w:rPr>
                  </w:pPr>
                  <w:r>
                    <w:rPr>
                      <w:rFonts w:hint="default" w:ascii="Times New Roman" w:hAnsi="Times New Roman" w:eastAsia="宋体" w:cs="Times New Roman"/>
                      <w:b w:val="0"/>
                      <w:i w:val="0"/>
                      <w:iCs w:val="0"/>
                      <w:color w:val="000000"/>
                      <w:sz w:val="21"/>
                      <w:szCs w:val="21"/>
                      <w:highlight w:val="none"/>
                      <w:u w:val="none"/>
                      <w:lang w:val="en-US" w:eastAsia="zh-CN"/>
                    </w:rPr>
                    <w:t>备注（m</w:t>
                  </w:r>
                  <w:r>
                    <w:rPr>
                      <w:rFonts w:hint="default" w:ascii="Times New Roman" w:hAnsi="Times New Roman" w:eastAsia="宋体" w:cs="Times New Roman"/>
                      <w:b w:val="0"/>
                      <w:i w:val="0"/>
                      <w:iCs w:val="0"/>
                      <w:color w:val="000000"/>
                      <w:sz w:val="21"/>
                      <w:szCs w:val="21"/>
                      <w:highlight w:val="none"/>
                      <w:u w:val="none"/>
                      <w:vertAlign w:val="superscript"/>
                      <w:lang w:val="en-US" w:eastAsia="zh-CN"/>
                    </w:rPr>
                    <w:t>3</w:t>
                  </w:r>
                  <w:r>
                    <w:rPr>
                      <w:rFonts w:hint="default" w:ascii="Times New Roman" w:hAnsi="Times New Roman" w:eastAsia="宋体" w:cs="Times New Roman"/>
                      <w:b w:val="0"/>
                      <w:i w:val="0"/>
                      <w:iCs w:val="0"/>
                      <w:color w:val="000000"/>
                      <w:sz w:val="21"/>
                      <w:szCs w:val="21"/>
                      <w:highlight w:val="none"/>
                      <w:u w:val="none"/>
                      <w:lang w:val="en-US" w:eastAsia="zh-CN"/>
                    </w:rPr>
                    <w:t>）</w:t>
                  </w:r>
                </w:p>
              </w:tc>
            </w:tr>
            <w:tr w14:paraId="63BCCCF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13" w:type="dxa"/>
                  <w:vMerge w:val="continue"/>
                  <w:tcBorders>
                    <w:left w:val="nil"/>
                  </w:tcBorders>
                  <w:shd w:val="clear" w:color="auto" w:fill="FFFFFF"/>
                  <w:noWrap/>
                  <w:vAlign w:val="center"/>
                </w:tcPr>
                <w:p w14:paraId="1AD253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945" w:type="dxa"/>
                  <w:vMerge w:val="continue"/>
                  <w:shd w:val="clear" w:color="auto" w:fill="FFFFFF"/>
                  <w:noWrap/>
                  <w:vAlign w:val="center"/>
                </w:tcPr>
                <w:p w14:paraId="0E15C5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696" w:type="dxa"/>
                  <w:shd w:val="clear" w:color="auto" w:fill="FFFFFF"/>
                  <w:noWrap/>
                  <w:vAlign w:val="center"/>
                </w:tcPr>
                <w:p w14:paraId="77E23F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（万m</w:t>
                  </w:r>
                  <w:r>
                    <w:rPr>
                      <w:rFonts w:hint="default" w:ascii="Times New Roman" w:hAnsi="Times New Roman" w:eastAsia="宋体" w:cs="Times New Roman"/>
                      <w:b w:val="0"/>
                      <w:i w:val="0"/>
                      <w:iCs w:val="0"/>
                      <w:color w:val="000000"/>
                      <w:kern w:val="0"/>
                      <w:sz w:val="21"/>
                      <w:szCs w:val="21"/>
                      <w:highlight w:val="none"/>
                      <w:u w:val="none"/>
                      <w:vertAlign w:val="superscript"/>
                      <w:lang w:val="en-US" w:eastAsia="zh-CN" w:bidi="ar"/>
                    </w:rPr>
                    <w:t>3</w:t>
                  </w:r>
                  <w:r>
                    <w:rPr>
                      <w:rFonts w:hint="default" w:ascii="Times New Roman" w:hAnsi="Times New Roman" w:eastAsia="宋体" w:cs="Times New Roman"/>
                      <w:b w:val="0"/>
                      <w:i w:val="0"/>
                      <w:iCs w:val="0"/>
                      <w:color w:val="000000"/>
                      <w:kern w:val="0"/>
                      <w:sz w:val="21"/>
                      <w:szCs w:val="21"/>
                      <w:highlight w:val="none"/>
                      <w:u w:val="none"/>
                      <w:lang w:val="en-US" w:eastAsia="zh-CN" w:bidi="ar"/>
                    </w:rPr>
                    <w:t>）</w:t>
                  </w:r>
                </w:p>
              </w:tc>
              <w:tc>
                <w:tcPr>
                  <w:tcW w:w="740" w:type="dxa"/>
                  <w:shd w:val="clear" w:color="auto" w:fill="FFFFFF"/>
                  <w:noWrap/>
                  <w:vAlign w:val="center"/>
                </w:tcPr>
                <w:p w14:paraId="5EC48A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（万m</w:t>
                  </w:r>
                  <w:r>
                    <w:rPr>
                      <w:rFonts w:hint="default" w:ascii="Times New Roman" w:hAnsi="Times New Roman" w:eastAsia="宋体" w:cs="Times New Roman"/>
                      <w:b w:val="0"/>
                      <w:i w:val="0"/>
                      <w:iCs w:val="0"/>
                      <w:color w:val="000000"/>
                      <w:kern w:val="0"/>
                      <w:sz w:val="21"/>
                      <w:szCs w:val="21"/>
                      <w:highlight w:val="none"/>
                      <w:u w:val="none"/>
                      <w:vertAlign w:val="superscript"/>
                      <w:lang w:val="en-US" w:eastAsia="zh-CN" w:bidi="ar"/>
                    </w:rPr>
                    <w:t>3</w:t>
                  </w:r>
                  <w:r>
                    <w:rPr>
                      <w:rFonts w:hint="default" w:ascii="Times New Roman" w:hAnsi="Times New Roman" w:eastAsia="宋体" w:cs="Times New Roman"/>
                      <w:b w:val="0"/>
                      <w:i w:val="0"/>
                      <w:iCs w:val="0"/>
                      <w:color w:val="000000"/>
                      <w:kern w:val="0"/>
                      <w:sz w:val="21"/>
                      <w:szCs w:val="21"/>
                      <w:highlight w:val="none"/>
                      <w:u w:val="none"/>
                      <w:lang w:val="en-US" w:eastAsia="zh-CN" w:bidi="ar"/>
                    </w:rPr>
                    <w:t>）</w:t>
                  </w:r>
                </w:p>
              </w:tc>
              <w:tc>
                <w:tcPr>
                  <w:tcW w:w="861" w:type="dxa"/>
                  <w:shd w:val="clear" w:color="auto" w:fill="FFFFFF"/>
                  <w:noWrap/>
                  <w:vAlign w:val="center"/>
                </w:tcPr>
                <w:p w14:paraId="524172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（万m</w:t>
                  </w:r>
                  <w:r>
                    <w:rPr>
                      <w:rFonts w:hint="default" w:ascii="Times New Roman" w:hAnsi="Times New Roman" w:eastAsia="宋体" w:cs="Times New Roman"/>
                      <w:b w:val="0"/>
                      <w:i w:val="0"/>
                      <w:iCs w:val="0"/>
                      <w:color w:val="000000"/>
                      <w:kern w:val="0"/>
                      <w:sz w:val="21"/>
                      <w:szCs w:val="21"/>
                      <w:highlight w:val="none"/>
                      <w:u w:val="none"/>
                      <w:vertAlign w:val="superscript"/>
                      <w:lang w:val="en-US" w:eastAsia="zh-CN" w:bidi="ar"/>
                    </w:rPr>
                    <w:t>3</w:t>
                  </w:r>
                  <w:r>
                    <w:rPr>
                      <w:rFonts w:hint="default" w:ascii="Times New Roman" w:hAnsi="Times New Roman" w:eastAsia="宋体" w:cs="Times New Roman"/>
                      <w:b w:val="0"/>
                      <w:i w:val="0"/>
                      <w:iCs w:val="0"/>
                      <w:color w:val="000000"/>
                      <w:kern w:val="0"/>
                      <w:sz w:val="21"/>
                      <w:szCs w:val="21"/>
                      <w:highlight w:val="none"/>
                      <w:u w:val="none"/>
                      <w:lang w:val="en-US" w:eastAsia="zh-CN" w:bidi="ar"/>
                    </w:rPr>
                    <w:t>）</w:t>
                  </w:r>
                </w:p>
              </w:tc>
              <w:tc>
                <w:tcPr>
                  <w:tcW w:w="414" w:type="dxa"/>
                  <w:shd w:val="clear" w:color="auto" w:fill="FFFFFF"/>
                  <w:noWrap/>
                  <w:vAlign w:val="center"/>
                </w:tcPr>
                <w:p w14:paraId="03B942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来源</w:t>
                  </w:r>
                </w:p>
              </w:tc>
              <w:tc>
                <w:tcPr>
                  <w:tcW w:w="908" w:type="dxa"/>
                  <w:shd w:val="clear" w:color="auto" w:fill="FFFFFF"/>
                  <w:noWrap/>
                  <w:vAlign w:val="center"/>
                </w:tcPr>
                <w:p w14:paraId="7C286E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（万m</w:t>
                  </w:r>
                  <w:r>
                    <w:rPr>
                      <w:rFonts w:hint="default" w:ascii="Times New Roman" w:hAnsi="Times New Roman" w:eastAsia="宋体" w:cs="Times New Roman"/>
                      <w:b w:val="0"/>
                      <w:i w:val="0"/>
                      <w:iCs w:val="0"/>
                      <w:color w:val="000000"/>
                      <w:kern w:val="0"/>
                      <w:sz w:val="21"/>
                      <w:szCs w:val="21"/>
                      <w:highlight w:val="none"/>
                      <w:u w:val="none"/>
                      <w:vertAlign w:val="superscript"/>
                      <w:lang w:val="en-US" w:eastAsia="zh-CN" w:bidi="ar"/>
                    </w:rPr>
                    <w:t>3</w:t>
                  </w:r>
                  <w:r>
                    <w:rPr>
                      <w:rFonts w:hint="default" w:ascii="Times New Roman" w:hAnsi="Times New Roman" w:eastAsia="宋体" w:cs="Times New Roman"/>
                      <w:b w:val="0"/>
                      <w:i w:val="0"/>
                      <w:iCs w:val="0"/>
                      <w:color w:val="000000"/>
                      <w:kern w:val="0"/>
                      <w:sz w:val="21"/>
                      <w:szCs w:val="21"/>
                      <w:highlight w:val="none"/>
                      <w:u w:val="none"/>
                      <w:lang w:val="en-US" w:eastAsia="zh-CN" w:bidi="ar"/>
                    </w:rPr>
                    <w:t>）</w:t>
                  </w:r>
                </w:p>
              </w:tc>
              <w:tc>
                <w:tcPr>
                  <w:tcW w:w="437" w:type="dxa"/>
                  <w:shd w:val="clear" w:color="auto" w:fill="FFFFFF"/>
                  <w:noWrap/>
                  <w:vAlign w:val="center"/>
                </w:tcPr>
                <w:p w14:paraId="03A851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去向</w:t>
                  </w:r>
                </w:p>
              </w:tc>
              <w:tc>
                <w:tcPr>
                  <w:tcW w:w="790" w:type="dxa"/>
                  <w:shd w:val="clear" w:color="auto" w:fill="FFFFFF"/>
                  <w:noWrap/>
                  <w:vAlign w:val="center"/>
                </w:tcPr>
                <w:p w14:paraId="439A89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（万m</w:t>
                  </w:r>
                  <w:r>
                    <w:rPr>
                      <w:rFonts w:hint="default" w:ascii="Times New Roman" w:hAnsi="Times New Roman" w:eastAsia="宋体" w:cs="Times New Roman"/>
                      <w:b w:val="0"/>
                      <w:i w:val="0"/>
                      <w:iCs w:val="0"/>
                      <w:color w:val="000000"/>
                      <w:kern w:val="0"/>
                      <w:sz w:val="21"/>
                      <w:szCs w:val="21"/>
                      <w:highlight w:val="none"/>
                      <w:u w:val="none"/>
                      <w:vertAlign w:val="superscript"/>
                      <w:lang w:val="en-US" w:eastAsia="zh-CN" w:bidi="ar"/>
                    </w:rPr>
                    <w:t>3</w:t>
                  </w:r>
                  <w:r>
                    <w:rPr>
                      <w:rFonts w:hint="default" w:ascii="Times New Roman" w:hAnsi="Times New Roman" w:eastAsia="宋体" w:cs="Times New Roman"/>
                      <w:b w:val="0"/>
                      <w:i w:val="0"/>
                      <w:iCs w:val="0"/>
                      <w:color w:val="000000"/>
                      <w:kern w:val="0"/>
                      <w:sz w:val="21"/>
                      <w:szCs w:val="21"/>
                      <w:highlight w:val="none"/>
                      <w:u w:val="none"/>
                      <w:lang w:val="en-US" w:eastAsia="zh-CN" w:bidi="ar"/>
                    </w:rPr>
                    <w:t>）</w:t>
                  </w:r>
                </w:p>
              </w:tc>
              <w:tc>
                <w:tcPr>
                  <w:tcW w:w="672" w:type="dxa"/>
                  <w:shd w:val="clear" w:color="auto" w:fill="FFFFFF"/>
                  <w:vAlign w:val="center"/>
                </w:tcPr>
                <w:p w14:paraId="2498A0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w:t>
                  </w:r>
                  <w:r>
                    <w:rPr>
                      <w:rFonts w:hint="eastAsia" w:ascii="Times New Roman" w:hAnsi="Times New Roman" w:eastAsia="宋体" w:cs="Times New Roman"/>
                      <w:b w:val="0"/>
                      <w:i w:val="0"/>
                      <w:iCs w:val="0"/>
                      <w:color w:val="000000"/>
                      <w:kern w:val="0"/>
                      <w:sz w:val="21"/>
                      <w:szCs w:val="21"/>
                      <w:highlight w:val="none"/>
                      <w:u w:val="none"/>
                      <w:lang w:val="en-US" w:eastAsia="zh-CN" w:bidi="ar"/>
                    </w:rPr>
                    <w:t>万</w:t>
                  </w:r>
                  <w:r>
                    <w:rPr>
                      <w:rFonts w:hint="default" w:ascii="Times New Roman" w:hAnsi="Times New Roman" w:eastAsia="宋体" w:cs="Times New Roman"/>
                      <w:b w:val="0"/>
                      <w:i w:val="0"/>
                      <w:iCs w:val="0"/>
                      <w:color w:val="000000"/>
                      <w:kern w:val="0"/>
                      <w:sz w:val="21"/>
                      <w:szCs w:val="21"/>
                      <w:highlight w:val="none"/>
                      <w:u w:val="none"/>
                      <w:lang w:val="en-US" w:eastAsia="zh-CN" w:bidi="ar"/>
                    </w:rPr>
                    <w:t>m</w:t>
                  </w:r>
                  <w:r>
                    <w:rPr>
                      <w:rFonts w:hint="default" w:ascii="Times New Roman" w:hAnsi="Times New Roman" w:eastAsia="宋体" w:cs="Times New Roman"/>
                      <w:b w:val="0"/>
                      <w:i w:val="0"/>
                      <w:iCs w:val="0"/>
                      <w:color w:val="000000"/>
                      <w:kern w:val="0"/>
                      <w:sz w:val="21"/>
                      <w:szCs w:val="21"/>
                      <w:highlight w:val="none"/>
                      <w:u w:val="none"/>
                      <w:vertAlign w:val="superscript"/>
                      <w:lang w:val="en-US" w:eastAsia="zh-CN" w:bidi="ar"/>
                    </w:rPr>
                    <w:t>3</w:t>
                  </w:r>
                  <w:r>
                    <w:rPr>
                      <w:rFonts w:hint="default" w:ascii="Times New Roman" w:hAnsi="Times New Roman" w:eastAsia="宋体" w:cs="Times New Roman"/>
                      <w:b w:val="0"/>
                      <w:i w:val="0"/>
                      <w:iCs w:val="0"/>
                      <w:color w:val="000000"/>
                      <w:kern w:val="0"/>
                      <w:sz w:val="21"/>
                      <w:szCs w:val="21"/>
                      <w:highlight w:val="none"/>
                      <w:u w:val="none"/>
                      <w:lang w:val="en-US" w:eastAsia="zh-CN" w:bidi="ar"/>
                    </w:rPr>
                    <w:t>）</w:t>
                  </w:r>
                </w:p>
              </w:tc>
              <w:tc>
                <w:tcPr>
                  <w:tcW w:w="833" w:type="dxa"/>
                  <w:vMerge w:val="continue"/>
                  <w:tcBorders>
                    <w:right w:val="nil"/>
                  </w:tcBorders>
                  <w:shd w:val="clear" w:color="auto" w:fill="FFFFFF"/>
                  <w:noWrap/>
                  <w:vAlign w:val="center"/>
                </w:tcPr>
                <w:p w14:paraId="7BF875D5">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default" w:ascii="Times New Roman" w:hAnsi="Times New Roman" w:eastAsia="宋体" w:cs="Times New Roman"/>
                      <w:b w:val="0"/>
                      <w:i w:val="0"/>
                      <w:iCs w:val="0"/>
                      <w:color w:val="000000"/>
                      <w:sz w:val="21"/>
                      <w:szCs w:val="21"/>
                      <w:highlight w:val="none"/>
                      <w:u w:val="none"/>
                    </w:rPr>
                  </w:pPr>
                </w:p>
              </w:tc>
            </w:tr>
            <w:tr w14:paraId="4FD3032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13" w:type="dxa"/>
                  <w:tcBorders>
                    <w:left w:val="nil"/>
                  </w:tcBorders>
                  <w:shd w:val="clear" w:color="auto" w:fill="FFFFFF"/>
                  <w:vAlign w:val="center"/>
                </w:tcPr>
                <w:p w14:paraId="644622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1</w:t>
                  </w:r>
                </w:p>
              </w:tc>
              <w:tc>
                <w:tcPr>
                  <w:tcW w:w="945" w:type="dxa"/>
                  <w:shd w:val="clear" w:color="auto" w:fill="FFFFFF"/>
                  <w:vAlign w:val="center"/>
                </w:tcPr>
                <w:p w14:paraId="58AA5D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eastAsia" w:cs="Times New Roman"/>
                      <w:sz w:val="21"/>
                      <w:szCs w:val="21"/>
                      <w:highlight w:val="none"/>
                      <w:lang w:val="en-US" w:eastAsia="zh-CN"/>
                    </w:rPr>
                    <w:t>阴沟治理</w:t>
                  </w:r>
                </w:p>
              </w:tc>
              <w:tc>
                <w:tcPr>
                  <w:tcW w:w="696" w:type="dxa"/>
                  <w:shd w:val="clear" w:color="auto" w:fill="FFFFFF"/>
                  <w:noWrap/>
                  <w:vAlign w:val="center"/>
                </w:tcPr>
                <w:p w14:paraId="2D066B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0.95</w:t>
                  </w:r>
                </w:p>
              </w:tc>
              <w:tc>
                <w:tcPr>
                  <w:tcW w:w="740" w:type="dxa"/>
                  <w:shd w:val="clear" w:color="auto" w:fill="FFFFFF"/>
                  <w:noWrap/>
                  <w:vAlign w:val="center"/>
                </w:tcPr>
                <w:p w14:paraId="0158A9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0.95</w:t>
                  </w:r>
                </w:p>
              </w:tc>
              <w:tc>
                <w:tcPr>
                  <w:tcW w:w="861" w:type="dxa"/>
                  <w:shd w:val="clear" w:color="auto" w:fill="FFFFFF"/>
                  <w:noWrap/>
                  <w:vAlign w:val="center"/>
                </w:tcPr>
                <w:p w14:paraId="589252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0</w:t>
                  </w:r>
                </w:p>
              </w:tc>
              <w:tc>
                <w:tcPr>
                  <w:tcW w:w="414" w:type="dxa"/>
                  <w:shd w:val="clear" w:color="auto" w:fill="FFFFFF"/>
                  <w:noWrap/>
                  <w:vAlign w:val="center"/>
                </w:tcPr>
                <w:p w14:paraId="13C410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p>
              </w:tc>
              <w:tc>
                <w:tcPr>
                  <w:tcW w:w="908" w:type="dxa"/>
                  <w:shd w:val="clear" w:color="auto" w:fill="FFFFFF"/>
                  <w:noWrap/>
                  <w:vAlign w:val="center"/>
                </w:tcPr>
                <w:p w14:paraId="3187B6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0</w:t>
                  </w:r>
                </w:p>
              </w:tc>
              <w:tc>
                <w:tcPr>
                  <w:tcW w:w="437" w:type="dxa"/>
                  <w:shd w:val="clear" w:color="auto" w:fill="FFFFFF"/>
                  <w:noWrap/>
                  <w:vAlign w:val="center"/>
                </w:tcPr>
                <w:p w14:paraId="4BA3ED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790" w:type="dxa"/>
                  <w:shd w:val="clear" w:color="auto" w:fill="FFFFFF"/>
                  <w:noWrap/>
                  <w:vAlign w:val="center"/>
                </w:tcPr>
                <w:p w14:paraId="6AB215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eastAsia" w:cs="Times New Roman"/>
                      <w:b w:val="0"/>
                      <w:i w:val="0"/>
                      <w:iCs w:val="0"/>
                      <w:color w:val="000000"/>
                      <w:kern w:val="0"/>
                      <w:sz w:val="21"/>
                      <w:szCs w:val="21"/>
                      <w:highlight w:val="none"/>
                      <w:u w:val="none"/>
                      <w:lang w:val="en-US" w:eastAsia="zh-CN" w:bidi="ar"/>
                    </w:rPr>
                    <w:t>0</w:t>
                  </w:r>
                </w:p>
              </w:tc>
              <w:tc>
                <w:tcPr>
                  <w:tcW w:w="672" w:type="dxa"/>
                  <w:shd w:val="clear" w:color="auto" w:fill="FFFFFF"/>
                  <w:vAlign w:val="center"/>
                </w:tcPr>
                <w:p w14:paraId="1872D2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0</w:t>
                  </w:r>
                </w:p>
              </w:tc>
              <w:tc>
                <w:tcPr>
                  <w:tcW w:w="833" w:type="dxa"/>
                  <w:tcBorders>
                    <w:right w:val="nil"/>
                  </w:tcBorders>
                  <w:shd w:val="clear" w:color="auto" w:fill="FFFFFF"/>
                  <w:noWrap/>
                  <w:vAlign w:val="center"/>
                </w:tcPr>
                <w:p w14:paraId="324834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Times New Roman"/>
                      <w:b w:val="0"/>
                      <w:i w:val="0"/>
                      <w:iCs w:val="0"/>
                      <w:color w:val="000000"/>
                      <w:sz w:val="21"/>
                      <w:szCs w:val="21"/>
                      <w:highlight w:val="none"/>
                      <w:u w:val="none"/>
                    </w:rPr>
                  </w:pPr>
                </w:p>
              </w:tc>
            </w:tr>
            <w:tr w14:paraId="449E8BE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13" w:type="dxa"/>
                  <w:tcBorders>
                    <w:left w:val="nil"/>
                  </w:tcBorders>
                  <w:shd w:val="clear" w:color="auto" w:fill="FFFFFF"/>
                  <w:vAlign w:val="center"/>
                </w:tcPr>
                <w:p w14:paraId="2A856B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2</w:t>
                  </w:r>
                </w:p>
              </w:tc>
              <w:tc>
                <w:tcPr>
                  <w:tcW w:w="945" w:type="dxa"/>
                  <w:shd w:val="clear" w:color="auto" w:fill="FFFFFF"/>
                  <w:vAlign w:val="center"/>
                </w:tcPr>
                <w:p w14:paraId="09C54F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sz w:val="21"/>
                      <w:szCs w:val="21"/>
                      <w:highlight w:val="none"/>
                      <w:u w:val="none"/>
                    </w:rPr>
                  </w:pPr>
                  <w:r>
                    <w:rPr>
                      <w:rFonts w:hint="eastAsia" w:cs="Times New Roman"/>
                      <w:sz w:val="21"/>
                      <w:szCs w:val="21"/>
                      <w:highlight w:val="none"/>
                      <w:lang w:val="en-US" w:eastAsia="zh-CN"/>
                    </w:rPr>
                    <w:t>道路工程</w:t>
                  </w:r>
                </w:p>
              </w:tc>
              <w:tc>
                <w:tcPr>
                  <w:tcW w:w="696" w:type="dxa"/>
                  <w:shd w:val="clear" w:color="auto" w:fill="FFFFFF"/>
                  <w:noWrap/>
                  <w:vAlign w:val="center"/>
                </w:tcPr>
                <w:p w14:paraId="3D1641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0.05</w:t>
                  </w:r>
                </w:p>
              </w:tc>
              <w:tc>
                <w:tcPr>
                  <w:tcW w:w="740" w:type="dxa"/>
                  <w:shd w:val="clear" w:color="auto" w:fill="FFFFFF"/>
                  <w:noWrap/>
                  <w:vAlign w:val="center"/>
                </w:tcPr>
                <w:p w14:paraId="5AB860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0.20</w:t>
                  </w:r>
                </w:p>
              </w:tc>
              <w:tc>
                <w:tcPr>
                  <w:tcW w:w="861" w:type="dxa"/>
                  <w:shd w:val="clear" w:color="auto" w:fill="FFFFFF"/>
                  <w:noWrap/>
                  <w:vAlign w:val="center"/>
                </w:tcPr>
                <w:p w14:paraId="5CB6F9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0</w:t>
                  </w:r>
                </w:p>
              </w:tc>
              <w:tc>
                <w:tcPr>
                  <w:tcW w:w="414" w:type="dxa"/>
                  <w:shd w:val="clear" w:color="auto" w:fill="FFFFFF"/>
                  <w:noWrap/>
                  <w:vAlign w:val="center"/>
                </w:tcPr>
                <w:p w14:paraId="1FFD59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908" w:type="dxa"/>
                  <w:shd w:val="clear" w:color="auto" w:fill="FFFFFF"/>
                  <w:noWrap/>
                  <w:vAlign w:val="center"/>
                </w:tcPr>
                <w:p w14:paraId="3C93A1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0</w:t>
                  </w:r>
                </w:p>
              </w:tc>
              <w:tc>
                <w:tcPr>
                  <w:tcW w:w="437" w:type="dxa"/>
                  <w:shd w:val="clear" w:color="auto" w:fill="FFFFFF"/>
                  <w:noWrap/>
                  <w:vAlign w:val="center"/>
                </w:tcPr>
                <w:p w14:paraId="031075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p>
              </w:tc>
              <w:tc>
                <w:tcPr>
                  <w:tcW w:w="790" w:type="dxa"/>
                  <w:shd w:val="clear" w:color="auto" w:fill="FFFFFF"/>
                  <w:noWrap/>
                  <w:vAlign w:val="center"/>
                </w:tcPr>
                <w:p w14:paraId="7B51F7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default" w:ascii="Times New Roman" w:hAnsi="Times New Roman" w:eastAsia="宋体" w:cs="Times New Roman"/>
                      <w:b w:val="0"/>
                      <w:i w:val="0"/>
                      <w:iCs w:val="0"/>
                      <w:color w:val="000000"/>
                      <w:kern w:val="0"/>
                      <w:sz w:val="21"/>
                      <w:szCs w:val="21"/>
                      <w:highlight w:val="none"/>
                      <w:u w:val="none"/>
                      <w:lang w:val="en-US" w:eastAsia="zh-CN" w:bidi="ar"/>
                    </w:rPr>
                    <w:t>0.</w:t>
                  </w:r>
                  <w:r>
                    <w:rPr>
                      <w:rFonts w:hint="eastAsia" w:cs="Times New Roman"/>
                      <w:b w:val="0"/>
                      <w:i w:val="0"/>
                      <w:iCs w:val="0"/>
                      <w:color w:val="000000"/>
                      <w:kern w:val="0"/>
                      <w:sz w:val="21"/>
                      <w:szCs w:val="21"/>
                      <w:highlight w:val="none"/>
                      <w:u w:val="none"/>
                      <w:lang w:val="en-US" w:eastAsia="zh-CN" w:bidi="ar"/>
                    </w:rPr>
                    <w:t>15</w:t>
                  </w:r>
                </w:p>
              </w:tc>
              <w:tc>
                <w:tcPr>
                  <w:tcW w:w="672" w:type="dxa"/>
                  <w:shd w:val="clear" w:color="auto" w:fill="FFFFFF"/>
                  <w:vAlign w:val="center"/>
                </w:tcPr>
                <w:p w14:paraId="780AFA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0</w:t>
                  </w:r>
                </w:p>
              </w:tc>
              <w:tc>
                <w:tcPr>
                  <w:tcW w:w="833" w:type="dxa"/>
                  <w:tcBorders>
                    <w:right w:val="nil"/>
                  </w:tcBorders>
                  <w:shd w:val="clear" w:color="auto" w:fill="FFFFFF"/>
                  <w:noWrap/>
                  <w:vAlign w:val="center"/>
                </w:tcPr>
                <w:p w14:paraId="71FC6E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Times New Roman"/>
                      <w:b w:val="0"/>
                      <w:i w:val="0"/>
                      <w:iCs w:val="0"/>
                      <w:color w:val="000000"/>
                      <w:sz w:val="21"/>
                      <w:szCs w:val="21"/>
                      <w:highlight w:val="none"/>
                      <w:u w:val="none"/>
                    </w:rPr>
                  </w:pPr>
                  <w:r>
                    <w:rPr>
                      <w:rFonts w:hint="eastAsia" w:cs="Times New Roman"/>
                      <w:b w:val="0"/>
                      <w:i w:val="0"/>
                      <w:iCs w:val="0"/>
                      <w:color w:val="000000"/>
                      <w:kern w:val="0"/>
                      <w:sz w:val="21"/>
                      <w:szCs w:val="21"/>
                      <w:highlight w:val="none"/>
                      <w:u w:val="none"/>
                      <w:lang w:val="en-US" w:eastAsia="zh-CN" w:bidi="ar"/>
                    </w:rPr>
                    <w:t>外购砂石</w:t>
                  </w:r>
                </w:p>
              </w:tc>
            </w:tr>
            <w:tr w14:paraId="1CAA9D7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13" w:type="dxa"/>
                  <w:tcBorders>
                    <w:left w:val="nil"/>
                  </w:tcBorders>
                  <w:shd w:val="clear" w:color="auto" w:fill="FFFFFF"/>
                  <w:vAlign w:val="center"/>
                </w:tcPr>
                <w:p w14:paraId="0BE19C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3</w:t>
                  </w:r>
                </w:p>
              </w:tc>
              <w:tc>
                <w:tcPr>
                  <w:tcW w:w="945" w:type="dxa"/>
                  <w:shd w:val="clear" w:color="auto" w:fill="FFFFFF"/>
                  <w:vAlign w:val="center"/>
                </w:tcPr>
                <w:p w14:paraId="58EEDB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sz w:val="21"/>
                      <w:szCs w:val="21"/>
                      <w:highlight w:val="none"/>
                      <w:u w:val="none"/>
                    </w:rPr>
                  </w:pPr>
                  <w:r>
                    <w:rPr>
                      <w:rFonts w:hint="eastAsia" w:cs="Times New Roman"/>
                      <w:sz w:val="21"/>
                      <w:szCs w:val="21"/>
                      <w:highlight w:val="none"/>
                      <w:lang w:val="en-US" w:eastAsia="zh-CN"/>
                    </w:rPr>
                    <w:t>水保林（低效林改造）</w:t>
                  </w:r>
                </w:p>
              </w:tc>
              <w:tc>
                <w:tcPr>
                  <w:tcW w:w="696" w:type="dxa"/>
                  <w:shd w:val="clear" w:color="auto" w:fill="FFFFFF"/>
                  <w:noWrap/>
                  <w:vAlign w:val="center"/>
                </w:tcPr>
                <w:p w14:paraId="34A513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default" w:ascii="Times New Roman" w:hAnsi="Times New Roman" w:eastAsia="宋体" w:cs="Times New Roman"/>
                      <w:b w:val="0"/>
                      <w:i w:val="0"/>
                      <w:iCs w:val="0"/>
                      <w:color w:val="000000"/>
                      <w:kern w:val="0"/>
                      <w:sz w:val="21"/>
                      <w:szCs w:val="21"/>
                      <w:highlight w:val="none"/>
                      <w:u w:val="none"/>
                      <w:lang w:val="en-US" w:eastAsia="zh-CN" w:bidi="ar"/>
                    </w:rPr>
                    <w:t>0.</w:t>
                  </w:r>
                  <w:r>
                    <w:rPr>
                      <w:rFonts w:hint="eastAsia" w:cs="Times New Roman"/>
                      <w:b w:val="0"/>
                      <w:i w:val="0"/>
                      <w:iCs w:val="0"/>
                      <w:color w:val="000000"/>
                      <w:kern w:val="0"/>
                      <w:sz w:val="21"/>
                      <w:szCs w:val="21"/>
                      <w:highlight w:val="none"/>
                      <w:u w:val="none"/>
                      <w:lang w:val="en-US" w:eastAsia="zh-CN" w:bidi="ar"/>
                    </w:rPr>
                    <w:t>01</w:t>
                  </w:r>
                </w:p>
              </w:tc>
              <w:tc>
                <w:tcPr>
                  <w:tcW w:w="740" w:type="dxa"/>
                  <w:shd w:val="clear" w:color="auto" w:fill="FFFFFF"/>
                  <w:noWrap/>
                  <w:vAlign w:val="center"/>
                </w:tcPr>
                <w:p w14:paraId="424632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0.01</w:t>
                  </w:r>
                </w:p>
              </w:tc>
              <w:tc>
                <w:tcPr>
                  <w:tcW w:w="861" w:type="dxa"/>
                  <w:shd w:val="clear" w:color="auto" w:fill="FFFFFF"/>
                  <w:noWrap/>
                  <w:vAlign w:val="center"/>
                </w:tcPr>
                <w:p w14:paraId="42788C8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414" w:type="dxa"/>
                  <w:shd w:val="clear" w:color="auto" w:fill="FFFFFF"/>
                  <w:noWrap/>
                  <w:vAlign w:val="center"/>
                </w:tcPr>
                <w:p w14:paraId="0A9479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908" w:type="dxa"/>
                  <w:shd w:val="clear" w:color="auto" w:fill="FFFFFF"/>
                  <w:noWrap/>
                  <w:vAlign w:val="center"/>
                </w:tcPr>
                <w:p w14:paraId="0F9EF8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0</w:t>
                  </w:r>
                </w:p>
              </w:tc>
              <w:tc>
                <w:tcPr>
                  <w:tcW w:w="437" w:type="dxa"/>
                  <w:shd w:val="clear" w:color="auto" w:fill="FFFFFF"/>
                  <w:noWrap/>
                  <w:vAlign w:val="center"/>
                </w:tcPr>
                <w:p w14:paraId="6EF9D7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p>
              </w:tc>
              <w:tc>
                <w:tcPr>
                  <w:tcW w:w="790" w:type="dxa"/>
                  <w:shd w:val="clear" w:color="auto" w:fill="FFFFFF"/>
                  <w:noWrap/>
                  <w:vAlign w:val="center"/>
                </w:tcPr>
                <w:p w14:paraId="6D0AB5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0</w:t>
                  </w:r>
                </w:p>
              </w:tc>
              <w:tc>
                <w:tcPr>
                  <w:tcW w:w="672" w:type="dxa"/>
                  <w:shd w:val="clear" w:color="auto" w:fill="FFFFFF"/>
                  <w:vAlign w:val="center"/>
                </w:tcPr>
                <w:p w14:paraId="7F288F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0</w:t>
                  </w:r>
                </w:p>
              </w:tc>
              <w:tc>
                <w:tcPr>
                  <w:tcW w:w="833" w:type="dxa"/>
                  <w:tcBorders>
                    <w:right w:val="nil"/>
                  </w:tcBorders>
                  <w:shd w:val="clear" w:color="auto" w:fill="FFFFFF"/>
                  <w:noWrap/>
                  <w:vAlign w:val="center"/>
                </w:tcPr>
                <w:p w14:paraId="146888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Times New Roman"/>
                      <w:b w:val="0"/>
                      <w:i w:val="0"/>
                      <w:iCs w:val="0"/>
                      <w:color w:val="000000"/>
                      <w:sz w:val="21"/>
                      <w:szCs w:val="21"/>
                      <w:highlight w:val="none"/>
                      <w:u w:val="none"/>
                    </w:rPr>
                  </w:pPr>
                </w:p>
              </w:tc>
            </w:tr>
            <w:tr w14:paraId="1D50CBB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13" w:type="dxa"/>
                  <w:tcBorders>
                    <w:left w:val="nil"/>
                  </w:tcBorders>
                  <w:shd w:val="clear" w:color="auto" w:fill="FFFFFF"/>
                  <w:vAlign w:val="center"/>
                </w:tcPr>
                <w:p w14:paraId="333397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eastAsia" w:cs="Times New Roman"/>
                      <w:b w:val="0"/>
                      <w:i w:val="0"/>
                      <w:iCs w:val="0"/>
                      <w:color w:val="000000"/>
                      <w:kern w:val="0"/>
                      <w:sz w:val="21"/>
                      <w:szCs w:val="21"/>
                      <w:highlight w:val="none"/>
                      <w:u w:val="none"/>
                      <w:lang w:val="en-US" w:eastAsia="zh-CN" w:bidi="ar"/>
                    </w:rPr>
                    <w:t>4</w:t>
                  </w:r>
                </w:p>
              </w:tc>
              <w:tc>
                <w:tcPr>
                  <w:tcW w:w="945" w:type="dxa"/>
                  <w:shd w:val="clear" w:color="auto" w:fill="FFFFFF"/>
                  <w:vAlign w:val="center"/>
                </w:tcPr>
                <w:p w14:paraId="409F89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default"/>
                      <w:sz w:val="21"/>
                      <w:szCs w:val="21"/>
                      <w:highlight w:val="none"/>
                      <w:lang w:val="en-US" w:eastAsia="zh-CN"/>
                    </w:rPr>
                    <w:t>农田水渠提升改造</w:t>
                  </w:r>
                </w:p>
              </w:tc>
              <w:tc>
                <w:tcPr>
                  <w:tcW w:w="696" w:type="dxa"/>
                  <w:shd w:val="clear" w:color="auto" w:fill="FFFFFF"/>
                  <w:noWrap/>
                  <w:vAlign w:val="center"/>
                </w:tcPr>
                <w:p w14:paraId="6EF750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eastAsia" w:cs="Times New Roman"/>
                      <w:b w:val="0"/>
                      <w:i w:val="0"/>
                      <w:iCs w:val="0"/>
                      <w:color w:val="000000"/>
                      <w:kern w:val="0"/>
                      <w:sz w:val="21"/>
                      <w:szCs w:val="21"/>
                      <w:highlight w:val="none"/>
                      <w:u w:val="none"/>
                      <w:lang w:val="en-US" w:eastAsia="zh-CN" w:bidi="ar"/>
                    </w:rPr>
                    <w:t>0.08</w:t>
                  </w:r>
                </w:p>
              </w:tc>
              <w:tc>
                <w:tcPr>
                  <w:tcW w:w="740" w:type="dxa"/>
                  <w:shd w:val="clear" w:color="auto" w:fill="FFFFFF"/>
                  <w:noWrap/>
                  <w:vAlign w:val="center"/>
                </w:tcPr>
                <w:p w14:paraId="20B068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eastAsia" w:cs="Times New Roman"/>
                      <w:b w:val="0"/>
                      <w:i w:val="0"/>
                      <w:iCs w:val="0"/>
                      <w:color w:val="000000"/>
                      <w:kern w:val="0"/>
                      <w:sz w:val="21"/>
                      <w:szCs w:val="21"/>
                      <w:highlight w:val="none"/>
                      <w:u w:val="none"/>
                      <w:lang w:val="en-US" w:eastAsia="zh-CN" w:bidi="ar"/>
                    </w:rPr>
                    <w:t>0.28</w:t>
                  </w:r>
                </w:p>
              </w:tc>
              <w:tc>
                <w:tcPr>
                  <w:tcW w:w="861" w:type="dxa"/>
                  <w:shd w:val="clear" w:color="auto" w:fill="FFFFFF"/>
                  <w:noWrap/>
                  <w:vAlign w:val="center"/>
                </w:tcPr>
                <w:p w14:paraId="55DD86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414" w:type="dxa"/>
                  <w:shd w:val="clear" w:color="auto" w:fill="FFFFFF"/>
                  <w:noWrap/>
                  <w:vAlign w:val="center"/>
                </w:tcPr>
                <w:p w14:paraId="2A826C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908" w:type="dxa"/>
                  <w:shd w:val="clear" w:color="auto" w:fill="FFFFFF"/>
                  <w:noWrap/>
                  <w:vAlign w:val="center"/>
                </w:tcPr>
                <w:p w14:paraId="7682AD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437" w:type="dxa"/>
                  <w:shd w:val="clear" w:color="auto" w:fill="FFFFFF"/>
                  <w:noWrap/>
                  <w:vAlign w:val="center"/>
                </w:tcPr>
                <w:p w14:paraId="2D51DF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790" w:type="dxa"/>
                  <w:shd w:val="clear" w:color="auto" w:fill="FFFFFF"/>
                  <w:noWrap/>
                  <w:vAlign w:val="center"/>
                </w:tcPr>
                <w:p w14:paraId="6C455F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eastAsia" w:cs="Times New Roman"/>
                      <w:b w:val="0"/>
                      <w:i w:val="0"/>
                      <w:iCs w:val="0"/>
                      <w:color w:val="000000"/>
                      <w:kern w:val="0"/>
                      <w:sz w:val="21"/>
                      <w:szCs w:val="21"/>
                      <w:highlight w:val="none"/>
                      <w:u w:val="none"/>
                      <w:lang w:val="en-US" w:eastAsia="zh-CN" w:bidi="ar"/>
                    </w:rPr>
                    <w:t>0.20</w:t>
                  </w:r>
                </w:p>
              </w:tc>
              <w:tc>
                <w:tcPr>
                  <w:tcW w:w="672" w:type="dxa"/>
                  <w:shd w:val="clear" w:color="auto" w:fill="FFFFFF"/>
                  <w:vAlign w:val="center"/>
                </w:tcPr>
                <w:p w14:paraId="7D6850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833" w:type="dxa"/>
                  <w:tcBorders>
                    <w:right w:val="nil"/>
                  </w:tcBorders>
                  <w:shd w:val="clear" w:color="auto" w:fill="FFFFFF"/>
                  <w:noWrap/>
                  <w:vAlign w:val="center"/>
                </w:tcPr>
                <w:p w14:paraId="6C59B4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eastAsia" w:cs="Times New Roman"/>
                      <w:b w:val="0"/>
                      <w:i w:val="0"/>
                      <w:iCs w:val="0"/>
                      <w:color w:val="000000"/>
                      <w:kern w:val="0"/>
                      <w:sz w:val="21"/>
                      <w:szCs w:val="21"/>
                      <w:highlight w:val="none"/>
                      <w:u w:val="none"/>
                      <w:lang w:val="en-US" w:eastAsia="zh-CN" w:bidi="ar"/>
                    </w:rPr>
                    <w:t>外购砂石</w:t>
                  </w:r>
                </w:p>
              </w:tc>
            </w:tr>
            <w:tr w14:paraId="443EC86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13" w:type="dxa"/>
                  <w:tcBorders>
                    <w:left w:val="nil"/>
                  </w:tcBorders>
                  <w:shd w:val="clear" w:color="auto" w:fill="FFFFFF"/>
                  <w:vAlign w:val="center"/>
                </w:tcPr>
                <w:p w14:paraId="5AD957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eastAsia" w:cs="Times New Roman"/>
                      <w:b w:val="0"/>
                      <w:i w:val="0"/>
                      <w:iCs w:val="0"/>
                      <w:color w:val="000000"/>
                      <w:kern w:val="0"/>
                      <w:sz w:val="21"/>
                      <w:szCs w:val="21"/>
                      <w:highlight w:val="none"/>
                      <w:u w:val="none"/>
                      <w:lang w:val="en-US" w:eastAsia="zh-CN" w:bidi="ar"/>
                    </w:rPr>
                    <w:t>5</w:t>
                  </w:r>
                </w:p>
              </w:tc>
              <w:tc>
                <w:tcPr>
                  <w:tcW w:w="945" w:type="dxa"/>
                  <w:shd w:val="clear" w:color="auto" w:fill="FFFFFF"/>
                  <w:vAlign w:val="center"/>
                </w:tcPr>
                <w:p w14:paraId="0F37D9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eastAsia" w:ascii="宋体" w:hAnsi="宋体" w:cs="宋体"/>
                      <w:spacing w:val="-3"/>
                      <w:sz w:val="21"/>
                      <w:szCs w:val="21"/>
                      <w:highlight w:val="none"/>
                      <w:lang w:val="en-US" w:eastAsia="zh-CN"/>
                    </w:rPr>
                    <w:t>（封禁管理）</w:t>
                  </w:r>
                  <w:r>
                    <w:rPr>
                      <w:rFonts w:ascii="宋体" w:hAnsi="宋体" w:eastAsia="宋体" w:cs="宋体"/>
                      <w:spacing w:val="-3"/>
                      <w:sz w:val="21"/>
                      <w:szCs w:val="21"/>
                      <w:highlight w:val="none"/>
                    </w:rPr>
                    <w:t>水土保持宣传</w:t>
                  </w:r>
                </w:p>
              </w:tc>
              <w:tc>
                <w:tcPr>
                  <w:tcW w:w="696" w:type="dxa"/>
                  <w:shd w:val="clear" w:color="auto" w:fill="FFFFFF"/>
                  <w:noWrap/>
                  <w:vAlign w:val="center"/>
                </w:tcPr>
                <w:p w14:paraId="0DA615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eastAsia" w:cs="Times New Roman"/>
                      <w:b w:val="0"/>
                      <w:i w:val="0"/>
                      <w:iCs w:val="0"/>
                      <w:color w:val="000000"/>
                      <w:kern w:val="0"/>
                      <w:sz w:val="21"/>
                      <w:szCs w:val="21"/>
                      <w:highlight w:val="none"/>
                      <w:u w:val="none"/>
                      <w:lang w:val="en-US" w:eastAsia="zh-CN" w:bidi="ar"/>
                    </w:rPr>
                    <w:t>0.005</w:t>
                  </w:r>
                </w:p>
              </w:tc>
              <w:tc>
                <w:tcPr>
                  <w:tcW w:w="740" w:type="dxa"/>
                  <w:shd w:val="clear" w:color="auto" w:fill="FFFFFF"/>
                  <w:noWrap/>
                  <w:vAlign w:val="center"/>
                </w:tcPr>
                <w:p w14:paraId="56691C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eastAsia" w:cs="Times New Roman"/>
                      <w:b w:val="0"/>
                      <w:i w:val="0"/>
                      <w:iCs w:val="0"/>
                      <w:color w:val="000000"/>
                      <w:kern w:val="0"/>
                      <w:sz w:val="21"/>
                      <w:szCs w:val="21"/>
                      <w:highlight w:val="none"/>
                      <w:u w:val="none"/>
                      <w:lang w:val="en-US" w:eastAsia="zh-CN" w:bidi="ar"/>
                    </w:rPr>
                    <w:t>0.005</w:t>
                  </w:r>
                </w:p>
              </w:tc>
              <w:tc>
                <w:tcPr>
                  <w:tcW w:w="861" w:type="dxa"/>
                  <w:shd w:val="clear" w:color="auto" w:fill="FFFFFF"/>
                  <w:noWrap/>
                  <w:vAlign w:val="center"/>
                </w:tcPr>
                <w:p w14:paraId="6E8CC1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414" w:type="dxa"/>
                  <w:shd w:val="clear" w:color="auto" w:fill="FFFFFF"/>
                  <w:noWrap/>
                  <w:vAlign w:val="center"/>
                </w:tcPr>
                <w:p w14:paraId="0EC179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908" w:type="dxa"/>
                  <w:shd w:val="clear" w:color="auto" w:fill="FFFFFF"/>
                  <w:noWrap/>
                  <w:vAlign w:val="center"/>
                </w:tcPr>
                <w:p w14:paraId="1640AC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437" w:type="dxa"/>
                  <w:shd w:val="clear" w:color="auto" w:fill="FFFFFF"/>
                  <w:noWrap/>
                  <w:vAlign w:val="center"/>
                </w:tcPr>
                <w:p w14:paraId="56AEC0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790" w:type="dxa"/>
                  <w:shd w:val="clear" w:color="auto" w:fill="FFFFFF"/>
                  <w:noWrap/>
                  <w:vAlign w:val="center"/>
                </w:tcPr>
                <w:p w14:paraId="22B3A3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672" w:type="dxa"/>
                  <w:shd w:val="clear" w:color="auto" w:fill="FFFFFF"/>
                  <w:vAlign w:val="center"/>
                </w:tcPr>
                <w:p w14:paraId="4E6764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833" w:type="dxa"/>
                  <w:tcBorders>
                    <w:right w:val="nil"/>
                  </w:tcBorders>
                  <w:shd w:val="clear" w:color="auto" w:fill="FFFFFF"/>
                  <w:noWrap/>
                  <w:vAlign w:val="center"/>
                </w:tcPr>
                <w:p w14:paraId="22D2EC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r>
            <w:tr w14:paraId="7000D69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1358" w:type="dxa"/>
                  <w:gridSpan w:val="2"/>
                  <w:tcBorders>
                    <w:left w:val="nil"/>
                    <w:bottom w:val="single" w:color="000000" w:sz="12" w:space="0"/>
                  </w:tcBorders>
                  <w:shd w:val="clear" w:color="auto" w:fill="FFFFFF"/>
                  <w:vAlign w:val="center"/>
                </w:tcPr>
                <w:p w14:paraId="169FB3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小计</w:t>
                  </w:r>
                </w:p>
              </w:tc>
              <w:tc>
                <w:tcPr>
                  <w:tcW w:w="696" w:type="dxa"/>
                  <w:tcBorders>
                    <w:bottom w:val="single" w:color="000000" w:sz="12" w:space="0"/>
                  </w:tcBorders>
                  <w:shd w:val="clear" w:color="auto" w:fill="FFFFFF"/>
                  <w:noWrap/>
                  <w:vAlign w:val="center"/>
                </w:tcPr>
                <w:p w14:paraId="2BCA95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1.095</w:t>
                  </w:r>
                </w:p>
              </w:tc>
              <w:tc>
                <w:tcPr>
                  <w:tcW w:w="740" w:type="dxa"/>
                  <w:tcBorders>
                    <w:bottom w:val="single" w:color="000000" w:sz="12" w:space="0"/>
                  </w:tcBorders>
                  <w:shd w:val="clear" w:color="auto" w:fill="FFFFFF"/>
                  <w:noWrap/>
                  <w:vAlign w:val="center"/>
                </w:tcPr>
                <w:p w14:paraId="538D3C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1.445</w:t>
                  </w:r>
                </w:p>
              </w:tc>
              <w:tc>
                <w:tcPr>
                  <w:tcW w:w="861" w:type="dxa"/>
                  <w:tcBorders>
                    <w:bottom w:val="single" w:color="000000" w:sz="12" w:space="0"/>
                  </w:tcBorders>
                  <w:shd w:val="clear" w:color="auto" w:fill="FFFFFF"/>
                  <w:noWrap/>
                  <w:vAlign w:val="center"/>
                </w:tcPr>
                <w:p w14:paraId="76BE29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p>
              </w:tc>
              <w:tc>
                <w:tcPr>
                  <w:tcW w:w="414" w:type="dxa"/>
                  <w:tcBorders>
                    <w:bottom w:val="single" w:color="000000" w:sz="12" w:space="0"/>
                  </w:tcBorders>
                  <w:shd w:val="clear" w:color="auto" w:fill="FFFFFF"/>
                  <w:noWrap/>
                  <w:vAlign w:val="center"/>
                </w:tcPr>
                <w:p w14:paraId="60C9309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908" w:type="dxa"/>
                  <w:tcBorders>
                    <w:bottom w:val="single" w:color="000000" w:sz="12" w:space="0"/>
                  </w:tcBorders>
                  <w:shd w:val="clear" w:color="auto" w:fill="FFFFFF"/>
                  <w:noWrap/>
                  <w:vAlign w:val="center"/>
                </w:tcPr>
                <w:p w14:paraId="00D1FD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p>
              </w:tc>
              <w:tc>
                <w:tcPr>
                  <w:tcW w:w="437" w:type="dxa"/>
                  <w:tcBorders>
                    <w:bottom w:val="single" w:color="000000" w:sz="12" w:space="0"/>
                  </w:tcBorders>
                  <w:shd w:val="clear" w:color="auto" w:fill="FFFFFF"/>
                  <w:noWrap/>
                  <w:vAlign w:val="center"/>
                </w:tcPr>
                <w:p w14:paraId="736CC6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790" w:type="dxa"/>
                  <w:tcBorders>
                    <w:bottom w:val="single" w:color="000000" w:sz="12" w:space="0"/>
                  </w:tcBorders>
                  <w:shd w:val="clear" w:color="auto" w:fill="FFFFFF"/>
                  <w:noWrap/>
                  <w:vAlign w:val="center"/>
                </w:tcPr>
                <w:p w14:paraId="11773F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0.35</w:t>
                  </w:r>
                </w:p>
              </w:tc>
              <w:tc>
                <w:tcPr>
                  <w:tcW w:w="672" w:type="dxa"/>
                  <w:tcBorders>
                    <w:bottom w:val="single" w:color="000000" w:sz="12" w:space="0"/>
                  </w:tcBorders>
                  <w:shd w:val="clear" w:color="auto" w:fill="FFFFFF"/>
                  <w:noWrap/>
                  <w:vAlign w:val="center"/>
                </w:tcPr>
                <w:p w14:paraId="11AC40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p>
              </w:tc>
              <w:tc>
                <w:tcPr>
                  <w:tcW w:w="833" w:type="dxa"/>
                  <w:tcBorders>
                    <w:bottom w:val="single" w:color="000000" w:sz="12" w:space="0"/>
                    <w:right w:val="nil"/>
                  </w:tcBorders>
                  <w:shd w:val="clear" w:color="auto" w:fill="FFFFFF"/>
                  <w:noWrap/>
                  <w:vAlign w:val="center"/>
                </w:tcPr>
                <w:p w14:paraId="0EE4C863">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default" w:ascii="Times New Roman" w:hAnsi="Times New Roman" w:eastAsia="宋体" w:cs="Times New Roman"/>
                      <w:b w:val="0"/>
                      <w:i w:val="0"/>
                      <w:iCs w:val="0"/>
                      <w:color w:val="000000"/>
                      <w:sz w:val="21"/>
                      <w:szCs w:val="21"/>
                      <w:highlight w:val="none"/>
                      <w:u w:val="none"/>
                    </w:rPr>
                  </w:pPr>
                </w:p>
              </w:tc>
            </w:tr>
          </w:tbl>
          <w:p w14:paraId="4C81CC27">
            <w:pPr>
              <w:bidi w:val="0"/>
              <w:ind w:left="0" w:leftChars="0" w:firstLine="0" w:firstLineChars="0"/>
              <w:jc w:val="both"/>
              <w:rPr>
                <w:rFonts w:hint="default"/>
                <w:highlight w:val="none"/>
                <w:lang w:val="en-US" w:eastAsia="zh-CN"/>
              </w:rPr>
            </w:pPr>
            <w:r>
              <w:rPr>
                <w:rFonts w:hint="default"/>
                <w:highlight w:val="none"/>
                <w:lang w:val="en-US" w:eastAsia="zh-CN"/>
              </w:rPr>
              <w:drawing>
                <wp:inline distT="0" distB="0" distL="114300" distR="114300">
                  <wp:extent cx="4962525" cy="1517015"/>
                  <wp:effectExtent l="0" t="0" r="0" b="0"/>
                  <wp:docPr id="8" name="E657119C-6982-421D-8BA7-E74DEB70A7D9-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657119C-6982-421D-8BA7-E74DEB70A7D9-1" descr="wps"/>
                          <pic:cNvPicPr>
                            <a:picLocks noChangeAspect="1"/>
                          </pic:cNvPicPr>
                        </pic:nvPicPr>
                        <pic:blipFill>
                          <a:blip r:embed="rId13"/>
                          <a:stretch>
                            <a:fillRect/>
                          </a:stretch>
                        </pic:blipFill>
                        <pic:spPr>
                          <a:xfrm>
                            <a:off x="0" y="0"/>
                            <a:ext cx="4962525" cy="1517015"/>
                          </a:xfrm>
                          <a:prstGeom prst="rect">
                            <a:avLst/>
                          </a:prstGeom>
                        </pic:spPr>
                      </pic:pic>
                    </a:graphicData>
                  </a:graphic>
                </wp:inline>
              </w:drawing>
            </w:r>
          </w:p>
          <w:p w14:paraId="056EA109">
            <w:pPr>
              <w:bidi w:val="0"/>
              <w:jc w:val="center"/>
              <w:rPr>
                <w:rFonts w:hint="default"/>
                <w:highlight w:val="none"/>
                <w:lang w:val="en-US" w:eastAsia="zh-CN"/>
              </w:rPr>
            </w:pPr>
            <w:r>
              <w:rPr>
                <w:rFonts w:hint="eastAsia"/>
                <w:highlight w:val="none"/>
                <w:lang w:val="en-US" w:eastAsia="zh-CN"/>
              </w:rPr>
              <w:t xml:space="preserve">图2.7-1 </w:t>
            </w:r>
            <w:r>
              <w:rPr>
                <w:rFonts w:hint="default"/>
                <w:highlight w:val="none"/>
                <w:lang w:val="en-US" w:eastAsia="zh-CN"/>
              </w:rPr>
              <w:t>工程土石方平衡一览</w:t>
            </w:r>
            <w:r>
              <w:rPr>
                <w:rFonts w:hint="eastAsia"/>
                <w:highlight w:val="none"/>
                <w:lang w:val="en-US" w:eastAsia="zh-CN"/>
              </w:rPr>
              <w:t>图</w:t>
            </w:r>
            <w:r>
              <w:rPr>
                <w:rFonts w:hint="default"/>
                <w:highlight w:val="none"/>
                <w:lang w:val="en-US" w:eastAsia="zh-CN"/>
              </w:rPr>
              <w:t>单位：</w:t>
            </w:r>
            <w:r>
              <w:rPr>
                <w:rFonts w:hint="eastAsia"/>
                <w:highlight w:val="none"/>
                <w:lang w:val="en-US" w:eastAsia="zh-CN"/>
              </w:rPr>
              <w:t>万</w:t>
            </w:r>
            <w:r>
              <w:rPr>
                <w:rFonts w:hint="default"/>
                <w:highlight w:val="none"/>
                <w:lang w:val="en-US" w:eastAsia="zh-CN"/>
              </w:rPr>
              <w:t>m</w:t>
            </w:r>
            <w:r>
              <w:rPr>
                <w:rFonts w:hint="default"/>
                <w:highlight w:val="none"/>
                <w:vertAlign w:val="superscript"/>
                <w:lang w:val="en-US" w:eastAsia="zh-CN"/>
              </w:rPr>
              <w:t>3</w:t>
            </w:r>
          </w:p>
        </w:tc>
      </w:tr>
      <w:tr w14:paraId="17D8D2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274" w:type="pct"/>
            <w:noWrap w:val="0"/>
            <w:vAlign w:val="center"/>
          </w:tcPr>
          <w:p w14:paraId="14A1C55B">
            <w:pPr>
              <w:adjustRightInd w:val="0"/>
              <w:snapToGrid w:val="0"/>
              <w:ind w:left="0" w:leftChars="0" w:firstLine="0" w:firstLineChars="0"/>
              <w:jc w:val="both"/>
              <w:rPr>
                <w:rFonts w:hint="default" w:ascii="Times New Roman" w:hAnsi="Times New Roman" w:eastAsia="仿宋_GB2312" w:cs="Times New Roman"/>
                <w:kern w:val="0"/>
                <w:sz w:val="28"/>
                <w:szCs w:val="22"/>
                <w:highlight w:val="none"/>
              </w:rPr>
            </w:pPr>
            <w:r>
              <w:rPr>
                <w:rFonts w:hint="default" w:ascii="Times New Roman" w:hAnsi="Times New Roman" w:eastAsia="仿宋_GB2312" w:cs="Times New Roman"/>
                <w:kern w:val="0"/>
                <w:sz w:val="28"/>
                <w:szCs w:val="22"/>
                <w:highlight w:val="none"/>
              </w:rPr>
              <w:t>总平面及现场布置</w:t>
            </w:r>
          </w:p>
        </w:tc>
        <w:tc>
          <w:tcPr>
            <w:tcW w:w="4725" w:type="pct"/>
            <w:noWrap w:val="0"/>
            <w:vAlign w:val="center"/>
          </w:tcPr>
          <w:p w14:paraId="07DB074F">
            <w:pPr>
              <w:bidi w:val="0"/>
              <w:ind w:left="0" w:leftChars="0" w:firstLine="0" w:firstLineChars="0"/>
              <w:rPr>
                <w:rFonts w:hint="default"/>
                <w:b/>
                <w:bCs/>
                <w:highlight w:val="none"/>
                <w:lang w:val="en-US" w:eastAsia="zh-CN"/>
              </w:rPr>
            </w:pPr>
            <w:r>
              <w:rPr>
                <w:rFonts w:hint="eastAsia"/>
                <w:b/>
                <w:bCs/>
                <w:highlight w:val="none"/>
                <w:lang w:val="en-US" w:eastAsia="zh-CN"/>
              </w:rPr>
              <w:t xml:space="preserve">2.8 </w:t>
            </w:r>
            <w:r>
              <w:rPr>
                <w:rFonts w:hint="default"/>
                <w:b/>
                <w:bCs/>
                <w:highlight w:val="none"/>
                <w:lang w:val="en-US" w:eastAsia="zh-CN"/>
              </w:rPr>
              <w:t>总平面及现场布置</w:t>
            </w:r>
          </w:p>
          <w:p w14:paraId="1EF39D3C">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highlight w:val="none"/>
                <w:lang w:val="en-US" w:eastAsia="zh-CN"/>
              </w:rPr>
            </w:pPr>
            <w:r>
              <w:rPr>
                <w:rFonts w:hint="default"/>
                <w:b/>
                <w:bCs/>
                <w:highlight w:val="none"/>
                <w:lang w:val="en-US" w:eastAsia="zh-CN"/>
              </w:rPr>
              <w:t>2.</w:t>
            </w:r>
            <w:r>
              <w:rPr>
                <w:rFonts w:hint="eastAsia"/>
                <w:b/>
                <w:bCs/>
                <w:highlight w:val="none"/>
                <w:lang w:val="en-US" w:eastAsia="zh-CN"/>
              </w:rPr>
              <w:t>8</w:t>
            </w:r>
            <w:r>
              <w:rPr>
                <w:rFonts w:hint="default"/>
                <w:b/>
                <w:bCs/>
                <w:highlight w:val="none"/>
                <w:lang w:val="en-US" w:eastAsia="zh-CN"/>
              </w:rPr>
              <w:t>.1工程总体布置</w:t>
            </w:r>
          </w:p>
          <w:p w14:paraId="4EFF85E2">
            <w:pPr>
              <w:bidi w:val="0"/>
              <w:rPr>
                <w:rFonts w:hint="default"/>
                <w:highlight w:val="none"/>
                <w:lang w:val="en-US" w:eastAsia="zh-CN"/>
              </w:rPr>
            </w:pPr>
            <w:r>
              <w:rPr>
                <w:rFonts w:ascii="宋体" w:hAnsi="宋体" w:eastAsia="宋体" w:cs="宋体"/>
                <w:sz w:val="24"/>
                <w:szCs w:val="24"/>
              </w:rPr>
              <w:t>按照措施布局原则，排阴沟治理主要沟道清理、植草护坡、土壤改良为主。对植被稀疏且立地条件较好的地域，按照</w:t>
            </w:r>
            <w:r>
              <w:rPr>
                <w:rFonts w:ascii="Times New Roman" w:hAnsi="Times New Roman" w:eastAsia="Times New Roman" w:cs="Times New Roman"/>
                <w:sz w:val="24"/>
                <w:szCs w:val="24"/>
              </w:rPr>
              <w:t>“</w:t>
            </w:r>
            <w:r>
              <w:rPr>
                <w:rFonts w:ascii="宋体" w:hAnsi="宋体" w:eastAsia="宋体" w:cs="宋体"/>
                <w:sz w:val="24"/>
                <w:szCs w:val="24"/>
              </w:rPr>
              <w:t>适地适树</w:t>
            </w:r>
            <w:r>
              <w:rPr>
                <w:rFonts w:ascii="Times New Roman" w:hAnsi="Times New Roman" w:eastAsia="Times New Roman" w:cs="Times New Roman"/>
                <w:sz w:val="24"/>
                <w:szCs w:val="24"/>
              </w:rPr>
              <w:t>”</w:t>
            </w:r>
            <w:r>
              <w:rPr>
                <w:rFonts w:ascii="宋体" w:hAnsi="宋体" w:eastAsia="宋体" w:cs="宋体"/>
                <w:sz w:val="24"/>
                <w:szCs w:val="24"/>
              </w:rPr>
              <w:t>的原则，选择乡土树种营造水保林，形成坡面水土保持防御体系，进一步提高林地植被覆盖度和育林树种；结合乡村振兴建设在道路沿线布设行道树、边坡裸露区域布设生态护坡等防护措施；通过各项措施的有机组合，使坡面径流层层拦蓄，就近就地入渗，有效控制坡面水土流失，改善流域生态环境，提升流域生态环境质量，建立起小流域内自然降水的调节、集蓄和有效</w:t>
            </w:r>
            <w:r>
              <w:rPr>
                <w:rFonts w:ascii="宋体" w:hAnsi="宋体" w:eastAsia="宋体" w:cs="宋体"/>
                <w:spacing w:val="-1"/>
                <w:sz w:val="24"/>
                <w:szCs w:val="24"/>
              </w:rPr>
              <w:t>利用的多防线综合体系。</w:t>
            </w:r>
            <w:r>
              <w:rPr>
                <w:rFonts w:hint="eastAsia"/>
                <w:highlight w:val="none"/>
                <w:lang w:val="en-US" w:eastAsia="zh-CN"/>
              </w:rPr>
              <w:t>主要</w:t>
            </w:r>
            <w:r>
              <w:rPr>
                <w:rFonts w:hint="default"/>
                <w:highlight w:val="none"/>
                <w:lang w:val="en-US" w:eastAsia="zh-CN"/>
              </w:rPr>
              <w:t>包括排阴沟治理3.20km</w:t>
            </w:r>
            <w:r>
              <w:rPr>
                <w:rFonts w:hint="eastAsia"/>
                <w:highlight w:val="none"/>
                <w:lang w:val="en-US" w:eastAsia="zh-CN"/>
              </w:rPr>
              <w:t>，</w:t>
            </w:r>
            <w:r>
              <w:rPr>
                <w:rFonts w:hint="default"/>
                <w:highlight w:val="none"/>
                <w:lang w:val="en-US" w:eastAsia="zh-CN"/>
              </w:rPr>
              <w:t>阴沟坡面绿化0.85hm²（配套灌溉系统及附属工程）</w:t>
            </w:r>
            <w:r>
              <w:rPr>
                <w:rFonts w:hint="eastAsia"/>
                <w:highlight w:val="none"/>
                <w:lang w:val="en-US" w:eastAsia="zh-CN"/>
              </w:rPr>
              <w:t>；</w:t>
            </w:r>
            <w:r>
              <w:rPr>
                <w:rFonts w:hint="default"/>
                <w:highlight w:val="none"/>
                <w:lang w:val="en-US" w:eastAsia="zh-CN"/>
              </w:rPr>
              <w:t>砂化道路750m</w:t>
            </w:r>
            <w:r>
              <w:rPr>
                <w:rFonts w:hint="eastAsia"/>
                <w:highlight w:val="none"/>
                <w:lang w:val="en-US" w:eastAsia="zh-CN"/>
              </w:rPr>
              <w:t>；</w:t>
            </w:r>
            <w:r>
              <w:rPr>
                <w:rFonts w:hint="default"/>
                <w:highlight w:val="none"/>
                <w:lang w:val="en-US" w:eastAsia="zh-CN"/>
              </w:rPr>
              <w:t>农田水渠提升改造2400m；</w:t>
            </w:r>
            <w:r>
              <w:rPr>
                <w:rFonts w:hint="eastAsia"/>
                <w:highlight w:val="none"/>
                <w:lang w:val="en-US" w:eastAsia="zh-CN"/>
              </w:rPr>
              <w:t>；</w:t>
            </w:r>
            <w:r>
              <w:rPr>
                <w:rFonts w:hint="default"/>
                <w:highlight w:val="none"/>
                <w:lang w:val="en-US" w:eastAsia="zh-CN"/>
              </w:rPr>
              <w:t>低效林改造12.08hm²，造林围栏2000m；</w:t>
            </w:r>
            <w:r>
              <w:rPr>
                <w:rFonts w:hint="eastAsia"/>
                <w:highlight w:val="none"/>
                <w:lang w:val="en-US" w:eastAsia="zh-CN"/>
              </w:rPr>
              <w:t>；</w:t>
            </w:r>
            <w:r>
              <w:rPr>
                <w:rFonts w:hint="default"/>
                <w:highlight w:val="none"/>
                <w:lang w:val="en-US" w:eastAsia="zh-CN"/>
              </w:rPr>
              <w:t>封禁治理1238.35hm²，配套水土保持宣传界碑1块，流域宣传牌1座，标语牌1块。</w:t>
            </w:r>
          </w:p>
          <w:p w14:paraId="0FEE76BA">
            <w:pPr>
              <w:bidi w:val="0"/>
              <w:rPr>
                <w:rFonts w:hint="default"/>
                <w:highlight w:val="none"/>
                <w:lang w:val="en-US" w:eastAsia="zh-CN"/>
              </w:rPr>
            </w:pPr>
            <w:r>
              <w:rPr>
                <w:rFonts w:hint="eastAsia"/>
                <w:highlight w:val="none"/>
                <w:lang w:val="en-US" w:eastAsia="zh-CN"/>
              </w:rPr>
              <w:t>工程平面布局见附图2。</w:t>
            </w:r>
          </w:p>
          <w:p w14:paraId="14EF0446">
            <w:pPr>
              <w:bidi w:val="0"/>
              <w:rPr>
                <w:rFonts w:hint="eastAsia"/>
                <w:highlight w:val="none"/>
                <w:lang w:val="en-US" w:eastAsia="zh-CN"/>
              </w:rPr>
            </w:pPr>
            <w:r>
              <w:rPr>
                <w:rFonts w:hint="eastAsia"/>
                <w:highlight w:val="none"/>
                <w:lang w:val="en-US" w:eastAsia="zh-CN"/>
              </w:rPr>
              <w:t>2.8.2施工场区规划</w:t>
            </w:r>
          </w:p>
          <w:p w14:paraId="7D1A86E6">
            <w:pPr>
              <w:bidi w:val="0"/>
              <w:rPr>
                <w:rFonts w:hint="default"/>
                <w:highlight w:val="none"/>
                <w:lang w:val="en-US" w:eastAsia="zh-CN"/>
              </w:rPr>
            </w:pPr>
            <w:r>
              <w:rPr>
                <w:rFonts w:hint="eastAsia"/>
                <w:highlight w:val="none"/>
                <w:lang w:val="en-US" w:eastAsia="zh-CN"/>
              </w:rPr>
              <w:t>根据本工程施工战线较长的特点，周边有居民的特点，施工营地主要为租用周边民房。</w:t>
            </w:r>
            <w:r>
              <w:rPr>
                <w:rFonts w:hint="eastAsia" w:ascii="Times New Roman" w:hAnsi="Times New Roman" w:cs="Times New Roman"/>
                <w:sz w:val="24"/>
                <w:szCs w:val="24"/>
                <w:highlight w:val="none"/>
                <w:lang w:val="en-US" w:eastAsia="zh-CN"/>
              </w:rPr>
              <w:t>材料堆放</w:t>
            </w:r>
            <w:r>
              <w:rPr>
                <w:rFonts w:hint="eastAsia" w:cs="Times New Roman"/>
                <w:sz w:val="24"/>
                <w:szCs w:val="24"/>
                <w:highlight w:val="none"/>
                <w:lang w:val="en-US" w:eastAsia="zh-CN"/>
              </w:rPr>
              <w:t>于项目区内，</w:t>
            </w:r>
            <w:r>
              <w:rPr>
                <w:rFonts w:hint="eastAsia" w:ascii="Times New Roman" w:hAnsi="Times New Roman" w:cs="Times New Roman"/>
                <w:sz w:val="24"/>
                <w:szCs w:val="24"/>
                <w:highlight w:val="none"/>
                <w:lang w:val="en-US" w:eastAsia="zh-CN"/>
              </w:rPr>
              <w:t>无粉状物料。</w:t>
            </w:r>
          </w:p>
          <w:p w14:paraId="2D309665">
            <w:pPr>
              <w:bidi w:val="0"/>
              <w:rPr>
                <w:rFonts w:hint="eastAsia"/>
                <w:highlight w:val="none"/>
                <w:lang w:val="en-US" w:eastAsia="zh-CN"/>
              </w:rPr>
            </w:pPr>
            <w:r>
              <w:rPr>
                <w:rFonts w:hint="eastAsia"/>
                <w:highlight w:val="none"/>
                <w:lang w:val="en-US" w:eastAsia="zh-CN"/>
              </w:rPr>
              <w:t>2.8.3施工场内交通</w:t>
            </w:r>
          </w:p>
          <w:p w14:paraId="2620F030">
            <w:pPr>
              <w:bidi w:val="0"/>
              <w:rPr>
                <w:rFonts w:hint="default"/>
                <w:highlight w:val="none"/>
              </w:rPr>
            </w:pPr>
            <w:r>
              <w:rPr>
                <w:rFonts w:hint="eastAsia"/>
                <w:highlight w:val="none"/>
                <w:lang w:val="en-US" w:eastAsia="zh-CN"/>
              </w:rPr>
              <w:t>项目区涉及鸭暖镇的3个行政村，距离临泽县县城约15km，周边有连霍高速，项目区内有G312、县道、乡道通过，乡镇、村组之间有乡村道路连接，施工现有道路大部分硬化、砂化，材料运输便利，人行道路网络较完善，交通较为方便。能有效保护区内既有林草植被，最大限度地减少因工程建设造成新的破坏。</w:t>
            </w:r>
          </w:p>
        </w:tc>
      </w:tr>
      <w:tr w14:paraId="36301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 w:type="pct"/>
            <w:tcBorders>
              <w:left w:val="single" w:color="auto" w:sz="4" w:space="0"/>
            </w:tcBorders>
            <w:noWrap w:val="0"/>
            <w:vAlign w:val="center"/>
          </w:tcPr>
          <w:p w14:paraId="696BDFCD">
            <w:pPr>
              <w:adjustRightInd w:val="0"/>
              <w:snapToGrid w:val="0"/>
              <w:ind w:left="0" w:leftChars="0" w:firstLine="0" w:firstLineChars="0"/>
              <w:jc w:val="both"/>
              <w:rPr>
                <w:rFonts w:hint="default" w:ascii="Times New Roman" w:hAnsi="Times New Roman" w:eastAsia="仿宋_GB2312" w:cs="Times New Roman"/>
                <w:kern w:val="0"/>
                <w:sz w:val="28"/>
                <w:szCs w:val="28"/>
                <w:highlight w:val="none"/>
              </w:rPr>
            </w:pPr>
            <w:r>
              <w:rPr>
                <w:rFonts w:hint="default" w:ascii="Times New Roman" w:hAnsi="Times New Roman" w:eastAsia="仿宋_GB2312" w:cs="Times New Roman"/>
                <w:color w:val="auto"/>
                <w:kern w:val="0"/>
                <w:sz w:val="28"/>
                <w:szCs w:val="28"/>
                <w:highlight w:val="none"/>
              </w:rPr>
              <w:t>施工方案</w:t>
            </w:r>
          </w:p>
        </w:tc>
        <w:tc>
          <w:tcPr>
            <w:tcW w:w="4725" w:type="pct"/>
            <w:noWrap w:val="0"/>
            <w:vAlign w:val="bottom"/>
          </w:tcPr>
          <w:p w14:paraId="613E9B01">
            <w:pPr>
              <w:bidi w:val="0"/>
              <w:ind w:left="0" w:leftChars="0" w:firstLine="0" w:firstLineChars="0"/>
              <w:rPr>
                <w:rFonts w:hint="default"/>
                <w:b/>
                <w:bCs/>
                <w:highlight w:val="none"/>
                <w:lang w:val="en-US" w:eastAsia="zh-CN"/>
              </w:rPr>
            </w:pPr>
            <w:r>
              <w:rPr>
                <w:rFonts w:hint="eastAsia"/>
                <w:b/>
                <w:bCs/>
                <w:highlight w:val="none"/>
                <w:lang w:val="en-US" w:eastAsia="zh-CN"/>
              </w:rPr>
              <w:t>2.9施工方案</w:t>
            </w:r>
          </w:p>
          <w:p w14:paraId="2ED98208">
            <w:pPr>
              <w:pStyle w:val="4"/>
              <w:pageBreakBefore w:val="0"/>
              <w:widowControl w:val="0"/>
              <w:kinsoku/>
              <w:wordWrap/>
              <w:overflowPunct/>
              <w:topLinePunct w:val="0"/>
              <w:autoSpaceDE/>
              <w:autoSpaceDN/>
              <w:bidi w:val="0"/>
              <w:adjustRightInd/>
              <w:snapToGrid/>
              <w:spacing w:beforeLines="0" w:afterLines="0" w:line="360" w:lineRule="auto"/>
              <w:ind w:left="0"/>
              <w:textAlignment w:val="auto"/>
            </w:pPr>
            <w:r>
              <w:rPr>
                <w:rFonts w:hint="eastAsia"/>
                <w:lang w:val="en-US" w:eastAsia="zh-CN"/>
              </w:rPr>
              <w:t>2.9.1</w:t>
            </w:r>
            <w:r>
              <w:t>阴沟治理</w:t>
            </w:r>
          </w:p>
          <w:p w14:paraId="7BDFDAD1">
            <w:pPr>
              <w:pageBreakBefore w:val="0"/>
              <w:widowControl w:val="0"/>
              <w:kinsoku/>
              <w:wordWrap/>
              <w:overflowPunct/>
              <w:topLinePunct w:val="0"/>
              <w:autoSpaceDE/>
              <w:autoSpaceDN/>
              <w:bidi w:val="0"/>
              <w:adjustRightInd/>
              <w:snapToGrid/>
              <w:spacing w:line="360" w:lineRule="auto"/>
              <w:ind w:left="0"/>
              <w:textAlignment w:val="auto"/>
              <w:rPr>
                <w:rFonts w:ascii="宋体" w:hAnsi="宋体" w:eastAsia="宋体" w:cs="宋体"/>
                <w:sz w:val="24"/>
                <w:szCs w:val="24"/>
              </w:rPr>
            </w:pPr>
            <w:r>
              <w:rPr>
                <w:rFonts w:hint="eastAsia" w:ascii="Times New Roman" w:hAnsi="Times New Roman" w:eastAsia="宋体" w:cs="Times New Roman"/>
                <w:b/>
                <w:bCs/>
                <w:spacing w:val="-2"/>
                <w:sz w:val="24"/>
                <w:szCs w:val="24"/>
                <w:lang w:eastAsia="zh-CN"/>
              </w:rPr>
              <w:t>（</w:t>
            </w:r>
            <w:r>
              <w:rPr>
                <w:rFonts w:hint="eastAsia" w:ascii="Times New Roman" w:hAnsi="Times New Roman" w:eastAsia="宋体" w:cs="Times New Roman"/>
                <w:b/>
                <w:bCs/>
                <w:spacing w:val="-2"/>
                <w:sz w:val="24"/>
                <w:szCs w:val="24"/>
                <w:lang w:val="en-US" w:eastAsia="zh-CN"/>
              </w:rPr>
              <w:t>1</w:t>
            </w:r>
            <w:r>
              <w:rPr>
                <w:rFonts w:hint="eastAsia" w:ascii="Times New Roman" w:hAnsi="Times New Roman" w:eastAsia="宋体" w:cs="Times New Roman"/>
                <w:b/>
                <w:bCs/>
                <w:spacing w:val="-2"/>
                <w:sz w:val="24"/>
                <w:szCs w:val="24"/>
                <w:lang w:eastAsia="zh-CN"/>
              </w:rPr>
              <w:t>）</w:t>
            </w:r>
            <w:r>
              <w:rPr>
                <w:rFonts w:ascii="宋体" w:hAnsi="宋体" w:eastAsia="宋体" w:cs="宋体"/>
                <w:b/>
                <w:bCs/>
                <w:spacing w:val="-2"/>
                <w:sz w:val="24"/>
                <w:szCs w:val="24"/>
              </w:rPr>
              <w:t>沟道清淤</w:t>
            </w:r>
          </w:p>
          <w:p w14:paraId="421C209B">
            <w:pPr>
              <w:bidi w:val="0"/>
            </w:pPr>
            <w:r>
              <w:t>通过实地调查及河床演变情况，流域内天然沟道河道天然纵坡较陡，沟床床宽约1.5-5m，勾沟谷较顺直，平坦、开阔，呈开敞的“U”型。现状沟槽泥沙淤积较严重。部分沟道由于生活垃圾、人工堆积砂砾石、人工堆积杂填土等放等堵塞严重，影响沟道洪水宣泄。</w:t>
            </w:r>
          </w:p>
          <w:p w14:paraId="2A6C15CA">
            <w:pPr>
              <w:bidi w:val="0"/>
              <w:rPr>
                <w:position w:val="-162"/>
              </w:rPr>
            </w:pPr>
            <w:r>
              <w:t>对疏浚清理的沟床料原则上就地用于岸坡回填，对不能综合利用的杂质或淤泥垃圾采用垃圾清运车拉运至就近垃圾场。施工时对河道中央形成的高坎、料堆、深坑等区域采用推土机推送，并进行岸坡修整，保证沟道两侧坡比为1:1.5-1:3，岸坡修整量为2523m</w:t>
            </w:r>
            <w:r>
              <w:rPr>
                <w:vertAlign w:val="superscript"/>
              </w:rPr>
              <w:t>3</w:t>
            </w:r>
            <w:r>
              <w:t>，对河道内堆积生活垃圾进行清理、疏浚、翻晒，沟道淤泥开挖平均深度为0.3m，清淤量为9527.06m</w:t>
            </w:r>
            <w:r>
              <w:rPr>
                <w:vertAlign w:val="superscript"/>
              </w:rPr>
              <w:t>3</w:t>
            </w:r>
            <w:r>
              <w:t>，沟底部铺设砂砾石垫层30cm，铺设砂砾石2108.71m</w:t>
            </w:r>
            <w:r>
              <w:rPr>
                <w:vertAlign w:val="superscript"/>
              </w:rPr>
              <w:t>3</w:t>
            </w:r>
            <w:r>
              <w:t>。施工单位在施工结束时，将翻晒的土方回填至沟道背坡两侧，回填量为7088.07m</w:t>
            </w:r>
            <w:r>
              <w:rPr>
                <w:vertAlign w:val="superscript"/>
              </w:rPr>
              <w:t>3</w:t>
            </w:r>
            <w:r>
              <w:t>。达到疏浚后河道能够长时间不复淤，维持河道水清坡绿的生态格局和景观效应。</w:t>
            </w:r>
          </w:p>
          <w:p w14:paraId="65C0C164">
            <w:pPr>
              <w:spacing w:before="35" w:line="220" w:lineRule="auto"/>
              <w:ind w:left="119"/>
              <w:rPr>
                <w:rFonts w:ascii="宋体" w:hAnsi="宋体" w:eastAsia="宋体" w:cs="宋体"/>
                <w:sz w:val="24"/>
                <w:szCs w:val="24"/>
              </w:rPr>
            </w:pPr>
            <w:r>
              <w:rPr>
                <w:rFonts w:hint="eastAsia" w:ascii="宋体" w:hAnsi="宋体" w:eastAsia="宋体" w:cs="宋体"/>
                <w:b/>
                <w:bCs/>
                <w:spacing w:val="-2"/>
                <w:sz w:val="24"/>
                <w:szCs w:val="24"/>
                <w:lang w:eastAsia="zh-CN"/>
              </w:rPr>
              <w:t>（</w:t>
            </w:r>
            <w:r>
              <w:rPr>
                <w:rFonts w:hint="eastAsia" w:ascii="宋体" w:hAnsi="宋体" w:eastAsia="宋体" w:cs="宋体"/>
                <w:b/>
                <w:bCs/>
                <w:spacing w:val="-2"/>
                <w:sz w:val="24"/>
                <w:szCs w:val="24"/>
                <w:lang w:val="en-US" w:eastAsia="zh-CN"/>
              </w:rPr>
              <w:t>2</w:t>
            </w:r>
            <w:r>
              <w:rPr>
                <w:rFonts w:hint="eastAsia" w:ascii="宋体" w:hAnsi="宋体" w:eastAsia="宋体" w:cs="宋体"/>
                <w:b/>
                <w:bCs/>
                <w:spacing w:val="-2"/>
                <w:sz w:val="24"/>
                <w:szCs w:val="24"/>
                <w:lang w:eastAsia="zh-CN"/>
              </w:rPr>
              <w:t>）</w:t>
            </w:r>
            <w:r>
              <w:rPr>
                <w:rFonts w:ascii="宋体" w:hAnsi="宋体" w:eastAsia="宋体" w:cs="宋体"/>
                <w:b/>
                <w:bCs/>
                <w:spacing w:val="-2"/>
                <w:sz w:val="24"/>
                <w:szCs w:val="24"/>
              </w:rPr>
              <w:t>岸坡整治</w:t>
            </w:r>
          </w:p>
          <w:p w14:paraId="18EBF6CA">
            <w:pPr>
              <w:spacing w:before="178" w:line="360" w:lineRule="auto"/>
              <w:ind w:left="121" w:right="111" w:firstLine="485"/>
              <w:jc w:val="both"/>
              <w:rPr>
                <w:rFonts w:ascii="宋体" w:hAnsi="宋体" w:eastAsia="宋体" w:cs="宋体"/>
                <w:sz w:val="24"/>
                <w:szCs w:val="24"/>
              </w:rPr>
            </w:pPr>
            <w:r>
              <w:rPr>
                <w:rFonts w:ascii="宋体" w:hAnsi="宋体" w:eastAsia="宋体" w:cs="宋体"/>
                <w:spacing w:val="3"/>
                <w:sz w:val="24"/>
                <w:szCs w:val="24"/>
              </w:rPr>
              <w:t>结合项目区沟道清淤，沟道两侧采用木桩</w:t>
            </w:r>
            <w:r>
              <w:rPr>
                <w:rFonts w:ascii="Times New Roman" w:hAnsi="Times New Roman" w:eastAsia="Times New Roman" w:cs="Times New Roman"/>
                <w:spacing w:val="3"/>
                <w:sz w:val="24"/>
                <w:szCs w:val="24"/>
              </w:rPr>
              <w:t>+</w:t>
            </w:r>
            <w:r>
              <w:rPr>
                <w:rFonts w:ascii="宋体" w:hAnsi="宋体" w:eastAsia="宋体" w:cs="宋体"/>
                <w:spacing w:val="3"/>
                <w:sz w:val="24"/>
                <w:szCs w:val="24"/>
              </w:rPr>
              <w:t>生态袋进行防护，清淤后坡脚采用木</w:t>
            </w:r>
            <w:r>
              <w:rPr>
                <w:rFonts w:ascii="宋体" w:hAnsi="宋体" w:eastAsia="宋体" w:cs="宋体"/>
                <w:spacing w:val="1"/>
                <w:sz w:val="24"/>
                <w:szCs w:val="24"/>
              </w:rPr>
              <w:t>桩护砌，木桩选择选择梢径大于</w:t>
            </w:r>
            <w:r>
              <w:rPr>
                <w:rFonts w:ascii="Times New Roman" w:hAnsi="Times New Roman" w:eastAsia="Times New Roman" w:cs="Times New Roman"/>
                <w:spacing w:val="1"/>
                <w:sz w:val="24"/>
                <w:szCs w:val="24"/>
              </w:rPr>
              <w:t>100</w:t>
            </w:r>
            <w:r>
              <w:rPr>
                <w:rFonts w:ascii="Times New Roman" w:hAnsi="Times New Roman" w:eastAsia="Times New Roman" w:cs="Times New Roman"/>
                <w:sz w:val="24"/>
                <w:szCs w:val="24"/>
              </w:rPr>
              <w:t>mm</w:t>
            </w:r>
            <w:r>
              <w:rPr>
                <w:rFonts w:ascii="宋体" w:hAnsi="宋体" w:eastAsia="宋体" w:cs="宋体"/>
                <w:spacing w:val="1"/>
                <w:sz w:val="24"/>
                <w:szCs w:val="24"/>
              </w:rPr>
              <w:t>的松木桩，地下埋深</w:t>
            </w:r>
            <w:r>
              <w:rPr>
                <w:rFonts w:ascii="Times New Roman" w:hAnsi="Times New Roman" w:eastAsia="Times New Roman" w:cs="Times New Roman"/>
                <w:spacing w:val="1"/>
                <w:sz w:val="24"/>
                <w:szCs w:val="24"/>
              </w:rPr>
              <w:t>1</w:t>
            </w:r>
            <w:r>
              <w:rPr>
                <w:rFonts w:ascii="Times New Roman" w:hAnsi="Times New Roman" w:eastAsia="Times New Roman" w:cs="Times New Roman"/>
                <w:sz w:val="24"/>
                <w:szCs w:val="24"/>
              </w:rPr>
              <w:t>.2m</w:t>
            </w:r>
            <w:r>
              <w:rPr>
                <w:rFonts w:ascii="宋体" w:hAnsi="宋体" w:eastAsia="宋体" w:cs="宋体"/>
                <w:sz w:val="24"/>
                <w:szCs w:val="24"/>
              </w:rPr>
              <w:t>，地上</w:t>
            </w:r>
            <w:r>
              <w:rPr>
                <w:rFonts w:ascii="Times New Roman" w:hAnsi="Times New Roman" w:eastAsia="Times New Roman" w:cs="Times New Roman"/>
                <w:sz w:val="24"/>
                <w:szCs w:val="24"/>
              </w:rPr>
              <w:t>0.3m</w:t>
            </w:r>
            <w:r>
              <w:rPr>
                <w:rFonts w:ascii="宋体" w:hAnsi="宋体" w:eastAsia="宋体" w:cs="宋体"/>
                <w:sz w:val="24"/>
                <w:szCs w:val="24"/>
              </w:rPr>
              <w:t>，松</w:t>
            </w:r>
            <w:r>
              <w:rPr>
                <w:rFonts w:ascii="宋体" w:hAnsi="宋体" w:eastAsia="宋体" w:cs="宋体"/>
                <w:spacing w:val="-2"/>
                <w:sz w:val="24"/>
                <w:szCs w:val="24"/>
              </w:rPr>
              <w:t>木桩中心间隔</w:t>
            </w:r>
            <w:r>
              <w:rPr>
                <w:rFonts w:ascii="Times New Roman" w:hAnsi="Times New Roman" w:eastAsia="Times New Roman" w:cs="Times New Roman"/>
                <w:spacing w:val="-2"/>
                <w:sz w:val="24"/>
                <w:szCs w:val="24"/>
              </w:rPr>
              <w:t>0.25m</w:t>
            </w:r>
            <w:r>
              <w:rPr>
                <w:rFonts w:ascii="宋体" w:hAnsi="宋体" w:eastAsia="宋体" w:cs="宋体"/>
                <w:spacing w:val="-2"/>
                <w:sz w:val="24"/>
                <w:szCs w:val="24"/>
              </w:rPr>
              <w:t>，高</w:t>
            </w:r>
            <w:r>
              <w:rPr>
                <w:rFonts w:ascii="Times New Roman" w:hAnsi="Times New Roman" w:eastAsia="Times New Roman" w:cs="Times New Roman"/>
                <w:spacing w:val="-2"/>
                <w:sz w:val="24"/>
                <w:szCs w:val="24"/>
              </w:rPr>
              <w:t>1.5m</w:t>
            </w:r>
            <w:r>
              <w:rPr>
                <w:rFonts w:ascii="宋体" w:hAnsi="宋体" w:eastAsia="宋体" w:cs="宋体"/>
                <w:spacing w:val="-2"/>
                <w:sz w:val="24"/>
                <w:szCs w:val="24"/>
              </w:rPr>
              <w:t>，为防桩后土体从仿木</w:t>
            </w:r>
            <w:r>
              <w:rPr>
                <w:rFonts w:ascii="宋体" w:hAnsi="宋体" w:eastAsia="宋体" w:cs="宋体"/>
                <w:spacing w:val="-3"/>
                <w:sz w:val="24"/>
                <w:szCs w:val="24"/>
              </w:rPr>
              <w:t>桩缝隙流失，木桩后布设土工格</w:t>
            </w:r>
            <w:r>
              <w:rPr>
                <w:rFonts w:ascii="宋体" w:hAnsi="宋体" w:eastAsia="宋体" w:cs="宋体"/>
                <w:spacing w:val="9"/>
                <w:sz w:val="24"/>
                <w:szCs w:val="24"/>
              </w:rPr>
              <w:t>栅，土工格栅高</w:t>
            </w:r>
            <w:r>
              <w:rPr>
                <w:rFonts w:ascii="Times New Roman" w:hAnsi="Times New Roman" w:eastAsia="Times New Roman" w:cs="Times New Roman"/>
                <w:spacing w:val="9"/>
                <w:sz w:val="24"/>
                <w:szCs w:val="24"/>
              </w:rPr>
              <w:t>0.5m</w:t>
            </w:r>
            <w:r>
              <w:rPr>
                <w:rFonts w:ascii="宋体" w:hAnsi="宋体" w:eastAsia="宋体" w:cs="宋体"/>
                <w:spacing w:val="9"/>
                <w:sz w:val="24"/>
                <w:szCs w:val="24"/>
              </w:rPr>
              <w:t>，土工格栅背后堆置生态</w:t>
            </w:r>
            <w:r>
              <w:rPr>
                <w:rFonts w:ascii="宋体" w:hAnsi="宋体" w:eastAsia="宋体" w:cs="宋体"/>
                <w:spacing w:val="8"/>
                <w:sz w:val="24"/>
                <w:szCs w:val="24"/>
              </w:rPr>
              <w:t>袋，生态袋选用规格长</w:t>
            </w:r>
            <w:r>
              <w:rPr>
                <w:rFonts w:ascii="Times New Roman" w:hAnsi="Times New Roman" w:eastAsia="Times New Roman" w:cs="Times New Roman"/>
                <w:spacing w:val="8"/>
                <w:sz w:val="24"/>
                <w:szCs w:val="24"/>
              </w:rPr>
              <w:t>40</w:t>
            </w:r>
            <w:r>
              <w:rPr>
                <w:rFonts w:ascii="Times New Roman" w:hAnsi="Times New Roman" w:eastAsia="Times New Roman" w:cs="Times New Roman"/>
                <w:sz w:val="24"/>
                <w:szCs w:val="24"/>
              </w:rPr>
              <w:t>cm</w:t>
            </w:r>
            <w:r>
              <w:rPr>
                <w:rFonts w:ascii="宋体" w:hAnsi="宋体" w:eastAsia="宋体" w:cs="宋体"/>
                <w:spacing w:val="8"/>
                <w:sz w:val="24"/>
                <w:szCs w:val="24"/>
              </w:rPr>
              <w:t>，宽</w:t>
            </w:r>
            <w:r>
              <w:rPr>
                <w:rFonts w:ascii="Times New Roman" w:hAnsi="Times New Roman" w:eastAsia="Times New Roman" w:cs="Times New Roman"/>
                <w:spacing w:val="1"/>
                <w:sz w:val="24"/>
                <w:szCs w:val="24"/>
              </w:rPr>
              <w:t>30</w:t>
            </w:r>
            <w:r>
              <w:rPr>
                <w:rFonts w:ascii="Times New Roman" w:hAnsi="Times New Roman" w:eastAsia="Times New Roman" w:cs="Times New Roman"/>
                <w:sz w:val="24"/>
                <w:szCs w:val="24"/>
              </w:rPr>
              <w:t>cm</w:t>
            </w:r>
            <w:r>
              <w:rPr>
                <w:rFonts w:ascii="宋体" w:hAnsi="宋体" w:eastAsia="宋体" w:cs="宋体"/>
                <w:spacing w:val="1"/>
                <w:sz w:val="24"/>
                <w:szCs w:val="24"/>
              </w:rPr>
              <w:t>，厚</w:t>
            </w:r>
            <w:r>
              <w:rPr>
                <w:rFonts w:ascii="Times New Roman" w:hAnsi="Times New Roman" w:eastAsia="Times New Roman" w:cs="Times New Roman"/>
                <w:spacing w:val="1"/>
                <w:sz w:val="24"/>
                <w:szCs w:val="24"/>
              </w:rPr>
              <w:t>15</w:t>
            </w:r>
            <w:r>
              <w:rPr>
                <w:rFonts w:ascii="Times New Roman" w:hAnsi="Times New Roman" w:eastAsia="Times New Roman" w:cs="Times New Roman"/>
                <w:sz w:val="24"/>
                <w:szCs w:val="24"/>
              </w:rPr>
              <w:t>cm</w:t>
            </w:r>
            <w:r>
              <w:rPr>
                <w:rFonts w:ascii="宋体" w:hAnsi="宋体" w:eastAsia="宋体" w:cs="宋体"/>
                <w:spacing w:val="1"/>
                <w:sz w:val="24"/>
                <w:szCs w:val="24"/>
              </w:rPr>
              <w:t>，袋内混有改良土（黄沙</w:t>
            </w:r>
            <w:r>
              <w:rPr>
                <w:rFonts w:ascii="Times New Roman" w:hAnsi="Times New Roman" w:eastAsia="Times New Roman" w:cs="Times New Roman"/>
                <w:spacing w:val="1"/>
                <w:sz w:val="24"/>
                <w:szCs w:val="24"/>
              </w:rPr>
              <w:t>+</w:t>
            </w:r>
            <w:r>
              <w:rPr>
                <w:rFonts w:ascii="宋体" w:hAnsi="宋体" w:eastAsia="宋体" w:cs="宋体"/>
                <w:spacing w:val="1"/>
                <w:sz w:val="24"/>
                <w:szCs w:val="24"/>
              </w:rPr>
              <w:t>有机肥</w:t>
            </w:r>
            <w:r>
              <w:rPr>
                <w:rFonts w:ascii="Times New Roman" w:hAnsi="Times New Roman" w:eastAsia="Times New Roman" w:cs="Times New Roman"/>
                <w:spacing w:val="1"/>
                <w:sz w:val="24"/>
                <w:szCs w:val="24"/>
              </w:rPr>
              <w:t>+</w:t>
            </w:r>
            <w:r>
              <w:rPr>
                <w:rFonts w:ascii="宋体" w:hAnsi="宋体" w:eastAsia="宋体" w:cs="宋体"/>
                <w:spacing w:val="1"/>
                <w:sz w:val="24"/>
                <w:szCs w:val="24"/>
              </w:rPr>
              <w:t>土）</w:t>
            </w:r>
            <w:r>
              <w:rPr>
                <w:rFonts w:ascii="Times New Roman" w:hAnsi="Times New Roman" w:eastAsia="Times New Roman" w:cs="Times New Roman"/>
                <w:spacing w:val="1"/>
                <w:sz w:val="24"/>
                <w:szCs w:val="24"/>
              </w:rPr>
              <w:t>+</w:t>
            </w:r>
            <w:r>
              <w:rPr>
                <w:rFonts w:ascii="宋体" w:hAnsi="宋体" w:eastAsia="宋体" w:cs="宋体"/>
                <w:spacing w:val="1"/>
                <w:sz w:val="24"/>
                <w:szCs w:val="24"/>
              </w:rPr>
              <w:t>草籽（披碱草、早熟禾</w:t>
            </w:r>
            <w:r>
              <w:rPr>
                <w:rFonts w:ascii="宋体" w:hAnsi="宋体" w:eastAsia="宋体" w:cs="宋体"/>
                <w:spacing w:val="4"/>
                <w:sz w:val="24"/>
                <w:szCs w:val="24"/>
              </w:rPr>
              <w:t>），</w:t>
            </w:r>
            <w:r>
              <w:rPr>
                <w:rFonts w:ascii="宋体" w:hAnsi="宋体" w:eastAsia="宋体" w:cs="宋体"/>
                <w:spacing w:val="3"/>
                <w:sz w:val="24"/>
                <w:szCs w:val="24"/>
              </w:rPr>
              <w:t>改良土拌合比例参考已实施工程，生态袋砌筑随</w:t>
            </w:r>
            <w:r>
              <w:rPr>
                <w:rFonts w:ascii="Times New Roman" w:hAnsi="Times New Roman" w:eastAsia="Times New Roman" w:cs="Times New Roman"/>
                <w:spacing w:val="3"/>
                <w:sz w:val="24"/>
                <w:szCs w:val="24"/>
              </w:rPr>
              <w:t>1:1.5-1:3</w:t>
            </w:r>
            <w:r>
              <w:rPr>
                <w:rFonts w:ascii="宋体" w:hAnsi="宋体" w:eastAsia="宋体" w:cs="宋体"/>
                <w:spacing w:val="3"/>
                <w:sz w:val="24"/>
                <w:szCs w:val="24"/>
              </w:rPr>
              <w:t>的</w:t>
            </w:r>
            <w:r>
              <w:rPr>
                <w:rFonts w:ascii="宋体" w:hAnsi="宋体" w:eastAsia="宋体" w:cs="宋体"/>
                <w:spacing w:val="2"/>
                <w:sz w:val="24"/>
                <w:szCs w:val="24"/>
              </w:rPr>
              <w:t>坡比从两侧延伸至设计</w:t>
            </w:r>
            <w:r>
              <w:rPr>
                <w:rFonts w:ascii="宋体" w:hAnsi="宋体" w:eastAsia="宋体" w:cs="宋体"/>
                <w:sz w:val="24"/>
                <w:szCs w:val="24"/>
              </w:rPr>
              <w:t>高度。在木桩护岸以上区域覆土，在坡面及底部零星点缀花灌木、水生植物及撒播草</w:t>
            </w:r>
            <w:r>
              <w:rPr>
                <w:rFonts w:ascii="宋体" w:hAnsi="宋体" w:eastAsia="宋体" w:cs="宋体"/>
                <w:spacing w:val="-1"/>
                <w:sz w:val="24"/>
                <w:szCs w:val="24"/>
              </w:rPr>
              <w:t>种进行绿化美化，同时布为保证成活率，绿化区域配套灌溉设施。</w:t>
            </w:r>
          </w:p>
          <w:p w14:paraId="4089835A">
            <w:pPr>
              <w:spacing w:before="8" w:line="355" w:lineRule="auto"/>
              <w:ind w:left="120" w:right="209" w:firstLine="482"/>
              <w:jc w:val="both"/>
              <w:rPr>
                <w:rFonts w:ascii="宋体" w:hAnsi="宋体" w:eastAsia="宋体" w:cs="宋体"/>
                <w:sz w:val="24"/>
                <w:szCs w:val="24"/>
              </w:rPr>
            </w:pPr>
            <w:r>
              <w:rPr>
                <w:rFonts w:ascii="宋体" w:hAnsi="宋体" w:eastAsia="宋体" w:cs="宋体"/>
                <w:spacing w:val="13"/>
                <w:sz w:val="24"/>
                <w:szCs w:val="24"/>
              </w:rPr>
              <w:t>生态袋内拌合草籽，草种要求种子新鲜饱满，种子纯度</w:t>
            </w:r>
            <w:r>
              <w:rPr>
                <w:rFonts w:ascii="Times New Roman" w:hAnsi="Times New Roman" w:eastAsia="Times New Roman" w:cs="Times New Roman"/>
                <w:spacing w:val="13"/>
                <w:sz w:val="24"/>
                <w:szCs w:val="24"/>
              </w:rPr>
              <w:t>90%</w:t>
            </w:r>
            <w:r>
              <w:rPr>
                <w:rFonts w:ascii="宋体" w:hAnsi="宋体" w:eastAsia="宋体" w:cs="宋体"/>
                <w:spacing w:val="13"/>
                <w:sz w:val="24"/>
                <w:szCs w:val="24"/>
              </w:rPr>
              <w:t>以上，发芽率在</w:t>
            </w:r>
            <w:r>
              <w:rPr>
                <w:rFonts w:ascii="Times New Roman" w:hAnsi="Times New Roman" w:eastAsia="Times New Roman" w:cs="Times New Roman"/>
                <w:spacing w:val="1"/>
                <w:sz w:val="24"/>
                <w:szCs w:val="24"/>
              </w:rPr>
              <w:t>90%</w:t>
            </w:r>
            <w:r>
              <w:rPr>
                <w:rFonts w:ascii="宋体" w:hAnsi="宋体" w:eastAsia="宋体" w:cs="宋体"/>
                <w:spacing w:val="1"/>
                <w:sz w:val="24"/>
                <w:szCs w:val="24"/>
              </w:rPr>
              <w:t>以上，不得</w:t>
            </w:r>
            <w:r>
              <w:rPr>
                <w:rFonts w:hint="eastAsia" w:ascii="宋体" w:hAnsi="宋体" w:eastAsia="宋体" w:cs="宋体"/>
                <w:spacing w:val="1"/>
                <w:sz w:val="24"/>
                <w:szCs w:val="24"/>
                <w:lang w:val="en-US" w:eastAsia="zh-CN"/>
              </w:rPr>
              <w:t>有</w:t>
            </w:r>
            <w:r>
              <w:rPr>
                <w:rFonts w:ascii="宋体" w:hAnsi="宋体" w:eastAsia="宋体" w:cs="宋体"/>
                <w:spacing w:val="1"/>
                <w:sz w:val="24"/>
                <w:szCs w:val="24"/>
              </w:rPr>
              <w:t>病虫害，撒播前必须做出发芽实验和催芽处理。在播种后的初期阶</w:t>
            </w:r>
            <w:r>
              <w:rPr>
                <w:rFonts w:ascii="宋体" w:hAnsi="宋体" w:eastAsia="宋体" w:cs="宋体"/>
                <w:spacing w:val="-1"/>
                <w:sz w:val="24"/>
                <w:szCs w:val="24"/>
              </w:rPr>
              <w:t>段（一般是</w:t>
            </w:r>
            <w:r>
              <w:rPr>
                <w:rFonts w:ascii="Times New Roman" w:hAnsi="Times New Roman" w:eastAsia="Times New Roman" w:cs="Times New Roman"/>
                <w:spacing w:val="-1"/>
                <w:sz w:val="24"/>
                <w:szCs w:val="24"/>
              </w:rPr>
              <w:t>1-2</w:t>
            </w:r>
            <w:r>
              <w:rPr>
                <w:rFonts w:ascii="宋体" w:hAnsi="宋体" w:eastAsia="宋体" w:cs="宋体"/>
                <w:spacing w:val="-1"/>
                <w:sz w:val="24"/>
                <w:szCs w:val="24"/>
              </w:rPr>
              <w:t>周</w:t>
            </w:r>
            <w:r>
              <w:rPr>
                <w:rFonts w:ascii="宋体" w:hAnsi="宋体" w:eastAsia="宋体" w:cs="宋体"/>
                <w:spacing w:val="30"/>
                <w:sz w:val="24"/>
                <w:szCs w:val="24"/>
              </w:rPr>
              <w:t>），</w:t>
            </w:r>
            <w:r>
              <w:rPr>
                <w:rFonts w:ascii="宋体" w:hAnsi="宋体" w:eastAsia="宋体" w:cs="宋体"/>
                <w:spacing w:val="-1"/>
                <w:sz w:val="24"/>
                <w:szCs w:val="24"/>
              </w:rPr>
              <w:t>由于种子需要充足的水分来启动发芽过程，要保持土壤湿润，</w:t>
            </w:r>
            <w:r>
              <w:rPr>
                <w:rFonts w:ascii="宋体" w:hAnsi="宋体" w:eastAsia="宋体" w:cs="宋体"/>
                <w:sz w:val="24"/>
                <w:szCs w:val="24"/>
              </w:rPr>
              <w:t>采用喷灌式浇水，这样可以使水分均匀地分布在生态袋表面，避免水流过大冲刷种子</w:t>
            </w:r>
            <w:r>
              <w:rPr>
                <w:rFonts w:ascii="宋体" w:hAnsi="宋体" w:eastAsia="宋体" w:cs="宋体"/>
                <w:spacing w:val="-1"/>
                <w:sz w:val="24"/>
                <w:szCs w:val="24"/>
              </w:rPr>
              <w:t>和土壤，待草种完全出苗且达到</w:t>
            </w:r>
            <w:r>
              <w:rPr>
                <w:rFonts w:ascii="Times New Roman" w:hAnsi="Times New Roman" w:eastAsia="Times New Roman" w:cs="Times New Roman"/>
                <w:spacing w:val="-1"/>
                <w:sz w:val="24"/>
                <w:szCs w:val="24"/>
              </w:rPr>
              <w:t>20mm</w:t>
            </w:r>
            <w:r>
              <w:rPr>
                <w:rFonts w:ascii="宋体" w:hAnsi="宋体" w:eastAsia="宋体" w:cs="宋体"/>
                <w:spacing w:val="-1"/>
                <w:sz w:val="24"/>
                <w:szCs w:val="24"/>
              </w:rPr>
              <w:t>时，进行喷洒农药除虫加强养护。绿化工程灌</w:t>
            </w:r>
            <w:r>
              <w:rPr>
                <w:rFonts w:ascii="宋体" w:hAnsi="宋体" w:eastAsia="宋体" w:cs="宋体"/>
                <w:sz w:val="24"/>
                <w:szCs w:val="24"/>
              </w:rPr>
              <w:t>溉采用喷灌。因岸坡周边植被稀少，同时为营造良好的景观效果，在木桩护岸以上区域覆土，面零星点缀花灌木树种进行岸坡绿化美化。共需埋设各类管道</w:t>
            </w:r>
            <w:r>
              <w:rPr>
                <w:rFonts w:ascii="Times New Roman" w:hAnsi="Times New Roman" w:eastAsia="Times New Roman" w:cs="Times New Roman"/>
                <w:sz w:val="24"/>
                <w:szCs w:val="24"/>
              </w:rPr>
              <w:t>11.78km</w:t>
            </w:r>
            <w:r>
              <w:rPr>
                <w:rFonts w:ascii="宋体" w:hAnsi="宋体" w:eastAsia="宋体" w:cs="宋体"/>
                <w:sz w:val="24"/>
                <w:szCs w:val="24"/>
              </w:rPr>
              <w:t>、配</w:t>
            </w:r>
            <w:r>
              <w:rPr>
                <w:rFonts w:ascii="宋体" w:hAnsi="宋体" w:eastAsia="宋体" w:cs="宋体"/>
                <w:spacing w:val="-1"/>
                <w:sz w:val="24"/>
                <w:szCs w:val="24"/>
              </w:rPr>
              <w:t>套喷灌设备，栽植灌木花卉</w:t>
            </w:r>
            <w:r>
              <w:rPr>
                <w:rFonts w:ascii="Times New Roman" w:hAnsi="Times New Roman" w:eastAsia="Times New Roman" w:cs="Times New Roman"/>
                <w:spacing w:val="-1"/>
                <w:sz w:val="24"/>
                <w:szCs w:val="24"/>
              </w:rPr>
              <w:t>90</w:t>
            </w:r>
            <w:r>
              <w:rPr>
                <w:rFonts w:ascii="宋体" w:hAnsi="宋体" w:eastAsia="宋体" w:cs="宋体"/>
                <w:spacing w:val="-1"/>
                <w:sz w:val="24"/>
                <w:szCs w:val="24"/>
              </w:rPr>
              <w:t>株，点缀水生植物</w:t>
            </w:r>
            <w:r>
              <w:rPr>
                <w:rFonts w:ascii="Times New Roman" w:hAnsi="Times New Roman" w:eastAsia="Times New Roman" w:cs="Times New Roman"/>
                <w:spacing w:val="-1"/>
                <w:sz w:val="24"/>
                <w:szCs w:val="24"/>
              </w:rPr>
              <w:t>3520</w:t>
            </w:r>
            <w:r>
              <w:rPr>
                <w:rFonts w:ascii="宋体" w:hAnsi="宋体" w:eastAsia="宋体" w:cs="宋体"/>
                <w:spacing w:val="-1"/>
                <w:sz w:val="24"/>
                <w:szCs w:val="24"/>
              </w:rPr>
              <w:t>株，撒播草种</w:t>
            </w:r>
            <w:r>
              <w:rPr>
                <w:rFonts w:ascii="Times New Roman" w:hAnsi="Times New Roman" w:eastAsia="Times New Roman" w:cs="Times New Roman"/>
                <w:spacing w:val="-1"/>
                <w:sz w:val="24"/>
                <w:szCs w:val="24"/>
              </w:rPr>
              <w:t>0.40hm</w:t>
            </w:r>
            <w:r>
              <w:rPr>
                <w:rFonts w:ascii="Times New Roman" w:hAnsi="Times New Roman" w:eastAsia="Times New Roman" w:cs="Times New Roman"/>
                <w:spacing w:val="-1"/>
                <w:position w:val="8"/>
                <w:sz w:val="15"/>
                <w:szCs w:val="15"/>
              </w:rPr>
              <w:t>2</w:t>
            </w:r>
            <w:r>
              <w:rPr>
                <w:rFonts w:ascii="宋体" w:hAnsi="宋体" w:eastAsia="宋体" w:cs="宋体"/>
                <w:spacing w:val="-1"/>
                <w:sz w:val="24"/>
                <w:szCs w:val="24"/>
              </w:rPr>
              <w:t>。</w:t>
            </w:r>
          </w:p>
          <w:p w14:paraId="75A32D8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pPr>
            <w:r>
              <w:rPr>
                <w:position w:val="-84"/>
              </w:rPr>
              <w:drawing>
                <wp:inline distT="0" distB="0" distL="0" distR="0">
                  <wp:extent cx="4916805" cy="2684780"/>
                  <wp:effectExtent l="0" t="0" r="17145" b="1270"/>
                  <wp:docPr id="35" name="IM 18"/>
                  <wp:cNvGraphicFramePr/>
                  <a:graphic xmlns:a="http://schemas.openxmlformats.org/drawingml/2006/main">
                    <a:graphicData uri="http://schemas.openxmlformats.org/drawingml/2006/picture">
                      <pic:pic xmlns:pic="http://schemas.openxmlformats.org/drawingml/2006/picture">
                        <pic:nvPicPr>
                          <pic:cNvPr id="35" name="IM 18"/>
                          <pic:cNvPicPr/>
                        </pic:nvPicPr>
                        <pic:blipFill>
                          <a:blip r:embed="rId14"/>
                          <a:stretch>
                            <a:fillRect/>
                          </a:stretch>
                        </pic:blipFill>
                        <pic:spPr>
                          <a:xfrm>
                            <a:off x="0" y="0"/>
                            <a:ext cx="4916805" cy="2685288"/>
                          </a:xfrm>
                          <a:prstGeom prst="rect">
                            <a:avLst/>
                          </a:prstGeom>
                        </pic:spPr>
                      </pic:pic>
                    </a:graphicData>
                  </a:graphic>
                </wp:inline>
              </w:drawing>
            </w:r>
          </w:p>
          <w:p w14:paraId="5D5AA47D">
            <w:pPr>
              <w:bidi w:val="0"/>
              <w:jc w:val="center"/>
            </w:pPr>
            <w:r>
              <w:rPr>
                <w:rFonts w:hint="eastAsia"/>
                <w:lang w:val="en-US" w:eastAsia="zh-CN"/>
              </w:rPr>
              <w:t xml:space="preserve">图2.9-1 </w:t>
            </w:r>
            <w:r>
              <w:t>1#阴沟0+731纵断面</w:t>
            </w:r>
          </w:p>
          <w:p w14:paraId="181DC778">
            <w:pPr>
              <w:spacing w:before="4" w:line="3429" w:lineRule="exact"/>
              <w:ind w:left="0" w:leftChars="0" w:firstLine="0" w:firstLineChars="0"/>
            </w:pPr>
            <w:r>
              <w:rPr>
                <w:position w:val="-68"/>
              </w:rPr>
              <w:drawing>
                <wp:inline distT="0" distB="0" distL="0" distR="0">
                  <wp:extent cx="4877435" cy="2177415"/>
                  <wp:effectExtent l="0" t="0" r="18415" b="13335"/>
                  <wp:docPr id="37" name="IM 20"/>
                  <wp:cNvGraphicFramePr/>
                  <a:graphic xmlns:a="http://schemas.openxmlformats.org/drawingml/2006/main">
                    <a:graphicData uri="http://schemas.openxmlformats.org/drawingml/2006/picture">
                      <pic:pic xmlns:pic="http://schemas.openxmlformats.org/drawingml/2006/picture">
                        <pic:nvPicPr>
                          <pic:cNvPr id="37" name="IM 20"/>
                          <pic:cNvPicPr/>
                        </pic:nvPicPr>
                        <pic:blipFill>
                          <a:blip r:embed="rId15"/>
                          <a:stretch>
                            <a:fillRect/>
                          </a:stretch>
                        </pic:blipFill>
                        <pic:spPr>
                          <a:xfrm>
                            <a:off x="0" y="0"/>
                            <a:ext cx="4877435" cy="2177795"/>
                          </a:xfrm>
                          <a:prstGeom prst="rect">
                            <a:avLst/>
                          </a:prstGeom>
                        </pic:spPr>
                      </pic:pic>
                    </a:graphicData>
                  </a:graphic>
                </wp:inline>
              </w:drawing>
            </w:r>
          </w:p>
          <w:p w14:paraId="0B3BF139">
            <w:pPr>
              <w:bidi w:val="0"/>
              <w:jc w:val="center"/>
              <w:rPr>
                <w:rFonts w:hint="eastAsia"/>
                <w:lang w:val="en-US" w:eastAsia="zh-CN"/>
              </w:rPr>
            </w:pPr>
            <w:r>
              <w:rPr>
                <w:rFonts w:hint="eastAsia"/>
                <w:lang w:val="en-US" w:eastAsia="zh-CN"/>
              </w:rPr>
              <w:t>图2.9-2 2#阴沟0+5纵断面</w:t>
            </w:r>
          </w:p>
          <w:p w14:paraId="0FF3E78C">
            <w:pPr>
              <w:spacing w:before="2" w:line="3804" w:lineRule="exact"/>
              <w:ind w:left="0" w:leftChars="0" w:firstLine="0" w:firstLineChars="0"/>
            </w:pPr>
            <w:r>
              <w:rPr>
                <w:position w:val="-76"/>
              </w:rPr>
              <w:drawing>
                <wp:inline distT="0" distB="0" distL="0" distR="0">
                  <wp:extent cx="4859020" cy="2415540"/>
                  <wp:effectExtent l="0" t="0" r="17780" b="3810"/>
                  <wp:docPr id="38" name="IM 22"/>
                  <wp:cNvGraphicFramePr/>
                  <a:graphic xmlns:a="http://schemas.openxmlformats.org/drawingml/2006/main">
                    <a:graphicData uri="http://schemas.openxmlformats.org/drawingml/2006/picture">
                      <pic:pic xmlns:pic="http://schemas.openxmlformats.org/drawingml/2006/picture">
                        <pic:nvPicPr>
                          <pic:cNvPr id="38" name="IM 22"/>
                          <pic:cNvPicPr/>
                        </pic:nvPicPr>
                        <pic:blipFill>
                          <a:blip r:embed="rId16"/>
                          <a:stretch>
                            <a:fillRect/>
                          </a:stretch>
                        </pic:blipFill>
                        <pic:spPr>
                          <a:xfrm>
                            <a:off x="0" y="0"/>
                            <a:ext cx="4859020" cy="2415540"/>
                          </a:xfrm>
                          <a:prstGeom prst="rect">
                            <a:avLst/>
                          </a:prstGeom>
                        </pic:spPr>
                      </pic:pic>
                    </a:graphicData>
                  </a:graphic>
                </wp:inline>
              </w:drawing>
            </w:r>
          </w:p>
          <w:p w14:paraId="3F0F00E1">
            <w:pPr>
              <w:bidi w:val="0"/>
              <w:jc w:val="center"/>
              <w:rPr>
                <w:rFonts w:hint="eastAsia"/>
                <w:lang w:val="en-US" w:eastAsia="zh-CN"/>
              </w:rPr>
            </w:pPr>
            <w:r>
              <w:rPr>
                <w:rFonts w:hint="eastAsia"/>
                <w:lang w:val="en-US" w:eastAsia="zh-CN"/>
              </w:rPr>
              <w:t>图2.9-3 3#阴沟0+1236纵断面</w:t>
            </w:r>
          </w:p>
          <w:p w14:paraId="4DFE7FD9">
            <w:pPr>
              <w:spacing w:before="191" w:line="212" w:lineRule="auto"/>
              <w:ind w:left="600"/>
              <w:jc w:val="center"/>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rPr>
              <w:t>表</w:t>
            </w:r>
            <w:r>
              <w:rPr>
                <w:rFonts w:hint="eastAsia" w:ascii="宋体" w:hAnsi="宋体" w:eastAsia="宋体" w:cs="宋体"/>
                <w:b w:val="0"/>
                <w:bCs w:val="0"/>
                <w:spacing w:val="-1"/>
                <w:sz w:val="24"/>
                <w:szCs w:val="24"/>
                <w:lang w:val="en-US" w:eastAsia="zh-CN"/>
              </w:rPr>
              <w:t>2.9</w:t>
            </w:r>
            <w:r>
              <w:rPr>
                <w:rFonts w:hint="eastAsia" w:ascii="宋体" w:hAnsi="宋体" w:eastAsia="宋体" w:cs="宋体"/>
                <w:b w:val="0"/>
                <w:bCs w:val="0"/>
                <w:spacing w:val="-1"/>
                <w:sz w:val="24"/>
                <w:szCs w:val="24"/>
              </w:rPr>
              <w:t>-1排阴沟治理工程坐标表</w:t>
            </w:r>
          </w:p>
          <w:tbl>
            <w:tblPr>
              <w:tblStyle w:val="79"/>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0"/>
              <w:gridCol w:w="1390"/>
              <w:gridCol w:w="1417"/>
              <w:gridCol w:w="1417"/>
              <w:gridCol w:w="1417"/>
              <w:gridCol w:w="1421"/>
            </w:tblGrid>
            <w:tr w14:paraId="55F5F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16" w:type="pct"/>
                  <w:vAlign w:val="top"/>
                </w:tcPr>
                <w:p w14:paraId="1804A3ED">
                  <w:pPr>
                    <w:pStyle w:val="51"/>
                    <w:bidi w:val="0"/>
                  </w:pPr>
                  <w:r>
                    <w:t>名称</w:t>
                  </w:r>
                </w:p>
              </w:tc>
              <w:tc>
                <w:tcPr>
                  <w:tcW w:w="902" w:type="pct"/>
                  <w:vAlign w:val="top"/>
                </w:tcPr>
                <w:p w14:paraId="660572EB">
                  <w:pPr>
                    <w:pStyle w:val="51"/>
                    <w:bidi w:val="0"/>
                  </w:pPr>
                  <w:r>
                    <w:t>长度</w:t>
                  </w:r>
                </w:p>
              </w:tc>
              <w:tc>
                <w:tcPr>
                  <w:tcW w:w="919" w:type="pct"/>
                  <w:vAlign w:val="top"/>
                </w:tcPr>
                <w:p w14:paraId="44AFDDB3">
                  <w:pPr>
                    <w:pStyle w:val="51"/>
                    <w:bidi w:val="0"/>
                  </w:pPr>
                  <w:r>
                    <w:t>起点</w:t>
                  </w:r>
                </w:p>
              </w:tc>
              <w:tc>
                <w:tcPr>
                  <w:tcW w:w="919" w:type="pct"/>
                  <w:vAlign w:val="top"/>
                </w:tcPr>
                <w:p w14:paraId="3697A62D">
                  <w:pPr>
                    <w:pStyle w:val="51"/>
                    <w:bidi w:val="0"/>
                  </w:pPr>
                  <w:r>
                    <w:t>起点</w:t>
                  </w:r>
                </w:p>
              </w:tc>
              <w:tc>
                <w:tcPr>
                  <w:tcW w:w="919" w:type="pct"/>
                  <w:vAlign w:val="top"/>
                </w:tcPr>
                <w:p w14:paraId="20A4A510">
                  <w:pPr>
                    <w:pStyle w:val="51"/>
                    <w:bidi w:val="0"/>
                  </w:pPr>
                  <w:r>
                    <w:t>终点</w:t>
                  </w:r>
                </w:p>
              </w:tc>
              <w:tc>
                <w:tcPr>
                  <w:tcW w:w="922" w:type="pct"/>
                  <w:vAlign w:val="top"/>
                </w:tcPr>
                <w:p w14:paraId="71CFC0BA">
                  <w:pPr>
                    <w:pStyle w:val="51"/>
                    <w:bidi w:val="0"/>
                  </w:pPr>
                  <w:r>
                    <w:t>终点</w:t>
                  </w:r>
                </w:p>
              </w:tc>
            </w:tr>
            <w:tr w14:paraId="3AEA6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416" w:type="pct"/>
                  <w:vAlign w:val="top"/>
                </w:tcPr>
                <w:p w14:paraId="1C3EB49E">
                  <w:pPr>
                    <w:pStyle w:val="51"/>
                    <w:bidi w:val="0"/>
                  </w:pPr>
                  <w:r>
                    <w:t>1#阴沟</w:t>
                  </w:r>
                </w:p>
              </w:tc>
              <w:tc>
                <w:tcPr>
                  <w:tcW w:w="902" w:type="pct"/>
                  <w:vAlign w:val="top"/>
                </w:tcPr>
                <w:p w14:paraId="79ACDAD7">
                  <w:pPr>
                    <w:pStyle w:val="51"/>
                    <w:bidi w:val="0"/>
                  </w:pPr>
                  <w:r>
                    <w:t>1550</w:t>
                  </w:r>
                </w:p>
              </w:tc>
              <w:tc>
                <w:tcPr>
                  <w:tcW w:w="919" w:type="pct"/>
                  <w:vAlign w:val="top"/>
                </w:tcPr>
                <w:p w14:paraId="74D11354">
                  <w:pPr>
                    <w:pStyle w:val="51"/>
                    <w:bidi w:val="0"/>
                  </w:pPr>
                  <w:r>
                    <w:t>100°6'27.690"E</w:t>
                  </w:r>
                </w:p>
              </w:tc>
              <w:tc>
                <w:tcPr>
                  <w:tcW w:w="919" w:type="pct"/>
                  <w:vAlign w:val="top"/>
                </w:tcPr>
                <w:p w14:paraId="463106A3">
                  <w:pPr>
                    <w:pStyle w:val="51"/>
                    <w:bidi w:val="0"/>
                  </w:pPr>
                  <w:r>
                    <w:t>39°13'19.972"N</w:t>
                  </w:r>
                </w:p>
              </w:tc>
              <w:tc>
                <w:tcPr>
                  <w:tcW w:w="919" w:type="pct"/>
                  <w:vAlign w:val="top"/>
                </w:tcPr>
                <w:p w14:paraId="2862DEC8">
                  <w:pPr>
                    <w:pStyle w:val="51"/>
                    <w:bidi w:val="0"/>
                  </w:pPr>
                  <w:r>
                    <w:t>100°7'10.041"E</w:t>
                  </w:r>
                </w:p>
              </w:tc>
              <w:tc>
                <w:tcPr>
                  <w:tcW w:w="922" w:type="pct"/>
                  <w:vAlign w:val="top"/>
                </w:tcPr>
                <w:p w14:paraId="609A6AE6">
                  <w:pPr>
                    <w:pStyle w:val="51"/>
                    <w:bidi w:val="0"/>
                  </w:pPr>
                  <w:r>
                    <w:t>39°12'59.197"N</w:t>
                  </w:r>
                </w:p>
              </w:tc>
            </w:tr>
            <w:tr w14:paraId="7F5DC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416" w:type="pct"/>
                  <w:vAlign w:val="top"/>
                </w:tcPr>
                <w:p w14:paraId="648F478B">
                  <w:pPr>
                    <w:pStyle w:val="51"/>
                    <w:bidi w:val="0"/>
                  </w:pPr>
                  <w:r>
                    <w:t>2#阴沟</w:t>
                  </w:r>
                </w:p>
              </w:tc>
              <w:tc>
                <w:tcPr>
                  <w:tcW w:w="902" w:type="pct"/>
                  <w:vAlign w:val="top"/>
                </w:tcPr>
                <w:p w14:paraId="28056719">
                  <w:pPr>
                    <w:pStyle w:val="51"/>
                    <w:bidi w:val="0"/>
                  </w:pPr>
                  <w:r>
                    <w:t>500</w:t>
                  </w:r>
                </w:p>
              </w:tc>
              <w:tc>
                <w:tcPr>
                  <w:tcW w:w="919" w:type="pct"/>
                  <w:vAlign w:val="top"/>
                </w:tcPr>
                <w:p w14:paraId="778B8B31">
                  <w:pPr>
                    <w:pStyle w:val="51"/>
                    <w:bidi w:val="0"/>
                  </w:pPr>
                  <w:r>
                    <w:t>100°7'3.383"E</w:t>
                  </w:r>
                </w:p>
              </w:tc>
              <w:tc>
                <w:tcPr>
                  <w:tcW w:w="919" w:type="pct"/>
                  <w:vAlign w:val="top"/>
                </w:tcPr>
                <w:p w14:paraId="604BE317">
                  <w:pPr>
                    <w:pStyle w:val="51"/>
                    <w:bidi w:val="0"/>
                  </w:pPr>
                  <w:r>
                    <w:t>39°13'33.070"N</w:t>
                  </w:r>
                </w:p>
              </w:tc>
              <w:tc>
                <w:tcPr>
                  <w:tcW w:w="919" w:type="pct"/>
                  <w:vAlign w:val="top"/>
                </w:tcPr>
                <w:p w14:paraId="32C9333B">
                  <w:pPr>
                    <w:pStyle w:val="51"/>
                    <w:bidi w:val="0"/>
                  </w:pPr>
                  <w:r>
                    <w:t>100°6'56.180"E</w:t>
                  </w:r>
                </w:p>
              </w:tc>
              <w:tc>
                <w:tcPr>
                  <w:tcW w:w="922" w:type="pct"/>
                  <w:vAlign w:val="top"/>
                </w:tcPr>
                <w:p w14:paraId="1532AD6C">
                  <w:pPr>
                    <w:pStyle w:val="51"/>
                    <w:bidi w:val="0"/>
                  </w:pPr>
                  <w:r>
                    <w:t>39°13'21.852"N</w:t>
                  </w:r>
                </w:p>
              </w:tc>
            </w:tr>
            <w:tr w14:paraId="7BF83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16" w:type="pct"/>
                  <w:vAlign w:val="top"/>
                </w:tcPr>
                <w:p w14:paraId="3E4775FF">
                  <w:pPr>
                    <w:pStyle w:val="51"/>
                    <w:bidi w:val="0"/>
                  </w:pPr>
                  <w:r>
                    <w:t>3#阴沟</w:t>
                  </w:r>
                </w:p>
              </w:tc>
              <w:tc>
                <w:tcPr>
                  <w:tcW w:w="902" w:type="pct"/>
                  <w:vAlign w:val="top"/>
                </w:tcPr>
                <w:p w14:paraId="18956094">
                  <w:pPr>
                    <w:pStyle w:val="51"/>
                    <w:bidi w:val="0"/>
                  </w:pPr>
                  <w:r>
                    <w:t>1150</w:t>
                  </w:r>
                </w:p>
              </w:tc>
              <w:tc>
                <w:tcPr>
                  <w:tcW w:w="919" w:type="pct"/>
                  <w:vAlign w:val="top"/>
                </w:tcPr>
                <w:p w14:paraId="376006BD">
                  <w:pPr>
                    <w:pStyle w:val="51"/>
                    <w:bidi w:val="0"/>
                  </w:pPr>
                  <w:r>
                    <w:t>100°7'24.222"E</w:t>
                  </w:r>
                </w:p>
              </w:tc>
              <w:tc>
                <w:tcPr>
                  <w:tcW w:w="919" w:type="pct"/>
                  <w:vAlign w:val="top"/>
                </w:tcPr>
                <w:p w14:paraId="0D65B2B8">
                  <w:pPr>
                    <w:pStyle w:val="51"/>
                    <w:bidi w:val="0"/>
                  </w:pPr>
                  <w:r>
                    <w:t>39°13'22.542"N</w:t>
                  </w:r>
                </w:p>
              </w:tc>
              <w:tc>
                <w:tcPr>
                  <w:tcW w:w="919" w:type="pct"/>
                  <w:vAlign w:val="top"/>
                </w:tcPr>
                <w:p w14:paraId="7474AE6B">
                  <w:pPr>
                    <w:pStyle w:val="51"/>
                    <w:bidi w:val="0"/>
                  </w:pPr>
                  <w:r>
                    <w:t>100°6'53.159"E</w:t>
                  </w:r>
                </w:p>
              </w:tc>
              <w:tc>
                <w:tcPr>
                  <w:tcW w:w="922" w:type="pct"/>
                  <w:vAlign w:val="top"/>
                </w:tcPr>
                <w:p w14:paraId="10674029">
                  <w:pPr>
                    <w:pStyle w:val="51"/>
                    <w:bidi w:val="0"/>
                  </w:pPr>
                  <w:r>
                    <w:t>39°13'38.389"N</w:t>
                  </w:r>
                </w:p>
              </w:tc>
            </w:tr>
          </w:tbl>
          <w:p w14:paraId="2CFB3CE1">
            <w:pPr>
              <w:pStyle w:val="4"/>
              <w:pageBreakBefore w:val="0"/>
              <w:widowControl w:val="0"/>
              <w:kinsoku/>
              <w:wordWrap/>
              <w:overflowPunct/>
              <w:topLinePunct w:val="0"/>
              <w:autoSpaceDE/>
              <w:autoSpaceDN/>
              <w:bidi w:val="0"/>
              <w:adjustRightInd/>
              <w:snapToGrid/>
              <w:spacing w:beforeLines="0" w:afterLines="0" w:line="360" w:lineRule="auto"/>
              <w:ind w:left="0"/>
              <w:textAlignment w:val="auto"/>
            </w:pPr>
            <w:r>
              <w:rPr>
                <w:rFonts w:hint="eastAsia"/>
                <w:lang w:val="en-US" w:eastAsia="zh-CN"/>
              </w:rPr>
              <w:t>2.9.2</w:t>
            </w:r>
            <w:r>
              <w:t>道路工程设计</w:t>
            </w:r>
          </w:p>
          <w:p w14:paraId="2C38ADB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）设计原则及标准</w:t>
            </w:r>
          </w:p>
          <w:p w14:paraId="4E629E95">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宋体" w:hAnsi="宋体" w:eastAsia="宋体" w:cs="宋体"/>
                <w:sz w:val="24"/>
                <w:szCs w:val="24"/>
              </w:rPr>
            </w:pPr>
            <w:r>
              <w:rPr>
                <w:rFonts w:ascii="宋体" w:hAnsi="宋体" w:eastAsia="宋体" w:cs="宋体"/>
                <w:spacing w:val="5"/>
                <w:sz w:val="24"/>
                <w:szCs w:val="24"/>
              </w:rPr>
              <w:t>根据《甘肃省农村公路工程技术标准》</w:t>
            </w:r>
            <w:r>
              <w:rPr>
                <w:rFonts w:ascii="Times New Roman" w:hAnsi="Times New Roman" w:eastAsia="Times New Roman" w:cs="Times New Roman"/>
                <w:spacing w:val="5"/>
                <w:sz w:val="24"/>
                <w:szCs w:val="24"/>
              </w:rPr>
              <w:t>(</w:t>
            </w:r>
            <w:r>
              <w:rPr>
                <w:rFonts w:ascii="Times New Roman" w:hAnsi="Times New Roman" w:eastAsia="Times New Roman" w:cs="Times New Roman"/>
                <w:sz w:val="24"/>
                <w:szCs w:val="24"/>
              </w:rPr>
              <w:t>DB</w:t>
            </w:r>
            <w:r>
              <w:rPr>
                <w:rFonts w:ascii="Times New Roman" w:hAnsi="Times New Roman" w:eastAsia="Times New Roman" w:cs="Times New Roman"/>
                <w:spacing w:val="5"/>
                <w:sz w:val="24"/>
                <w:szCs w:val="24"/>
              </w:rPr>
              <w:t>62/T2</w:t>
            </w:r>
            <w:r>
              <w:rPr>
                <w:rFonts w:ascii="Times New Roman" w:hAnsi="Times New Roman" w:eastAsia="Times New Roman" w:cs="Times New Roman"/>
                <w:spacing w:val="4"/>
                <w:sz w:val="24"/>
                <w:szCs w:val="24"/>
              </w:rPr>
              <w:t>934-2018)</w:t>
            </w:r>
            <w:r>
              <w:rPr>
                <w:rFonts w:ascii="宋体" w:hAnsi="宋体" w:eastAsia="宋体" w:cs="宋体"/>
                <w:spacing w:val="4"/>
                <w:sz w:val="24"/>
                <w:szCs w:val="24"/>
              </w:rPr>
              <w:t>按照公路等级、交通</w:t>
            </w:r>
            <w:r>
              <w:rPr>
                <w:rFonts w:ascii="宋体" w:hAnsi="宋体" w:eastAsia="宋体" w:cs="宋体"/>
                <w:sz w:val="24"/>
                <w:szCs w:val="24"/>
              </w:rPr>
              <w:t>量、车辆轴载，结合沿线地质及筑路材料情况，鉴于现有路面为土路面，并根据地方经济能力和工程投资状况，按照本次设计的规划目标，项目区道路布置尽可能和已有</w:t>
            </w:r>
            <w:r>
              <w:rPr>
                <w:rFonts w:ascii="宋体" w:hAnsi="宋体" w:eastAsia="宋体" w:cs="宋体"/>
                <w:spacing w:val="7"/>
                <w:sz w:val="24"/>
                <w:szCs w:val="24"/>
              </w:rPr>
              <w:t>骨干道路衔接，同时考虑区内及附近村庄的道路情况，便于收割农作物、转运</w:t>
            </w:r>
            <w:r>
              <w:rPr>
                <w:rFonts w:ascii="宋体" w:hAnsi="宋体" w:eastAsia="宋体" w:cs="宋体"/>
                <w:spacing w:val="6"/>
                <w:sz w:val="24"/>
                <w:szCs w:val="24"/>
              </w:rPr>
              <w:t>等工</w:t>
            </w:r>
            <w:r>
              <w:rPr>
                <w:rFonts w:ascii="宋体" w:hAnsi="宋体" w:eastAsia="宋体" w:cs="宋体"/>
                <w:spacing w:val="-1"/>
                <w:sz w:val="24"/>
                <w:szCs w:val="24"/>
              </w:rPr>
              <w:t>作，以满足交通运输，农机行驶和田间生产及管理的要求。</w:t>
            </w:r>
          </w:p>
          <w:p w14:paraId="6ECFD06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）道路典型设计</w:t>
            </w:r>
          </w:p>
          <w:p w14:paraId="7D020E3D">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ascii="宋体" w:hAnsi="宋体" w:eastAsia="宋体" w:cs="宋体"/>
                <w:szCs w:val="24"/>
              </w:rPr>
              <w:t>为方便当地农民耕作，且与村庄主干道路配置连接，统一规划，统一设计，防止冲刷，保证道路完整畅通，以便于耕作和运输，以提高劳动生产效率；尽可能避开大挖大填，减少交叉建筑物，降低工程造价，节约用地</w:t>
            </w:r>
            <w:r>
              <w:t>。本项目设计修建生产道路共计750m。</w:t>
            </w:r>
          </w:p>
          <w:p w14:paraId="58877CD2">
            <w:pPr>
              <w:keepNext w:val="0"/>
              <w:keepLines w:val="0"/>
              <w:pageBreakBefore w:val="0"/>
              <w:widowControl w:val="0"/>
              <w:kinsoku/>
              <w:wordWrap/>
              <w:overflowPunct/>
              <w:topLinePunct w:val="0"/>
              <w:autoSpaceDE/>
              <w:autoSpaceDN/>
              <w:bidi w:val="0"/>
              <w:adjustRightInd/>
              <w:snapToGrid/>
              <w:spacing w:line="360" w:lineRule="auto"/>
              <w:textAlignment w:val="auto"/>
            </w:pPr>
            <w:r>
              <w:t>道路防</w:t>
            </w:r>
            <w:r>
              <w:rPr>
                <w:rFonts w:hint="eastAsia"/>
                <w:lang w:val="en-US" w:eastAsia="zh-CN"/>
              </w:rPr>
              <w:t>洪</w:t>
            </w:r>
            <w:r>
              <w:t>标准采用10年一遇24h最大暴雨。根据通行需要布设生产道路。</w:t>
            </w:r>
          </w:p>
          <w:p w14:paraId="484D6766">
            <w:pPr>
              <w:bidi w:val="0"/>
            </w:pPr>
            <w:r>
              <w:t>1）生产道路</w:t>
            </w:r>
          </w:p>
          <w:p w14:paraId="11EF97B9">
            <w:pPr>
              <w:bidi w:val="0"/>
            </w:pPr>
            <w:r>
              <w:t>①路基</w:t>
            </w:r>
          </w:p>
          <w:p w14:paraId="362E3525">
            <w:pPr>
              <w:bidi w:val="0"/>
            </w:pPr>
            <w:r>
              <w:t>生产主干道路基宽5m，为原土整平路基，道路纵向坡度应控制在15%以内，转弯半径不小于12m，连续坡长不超过20m，能通行中型农用机械。道路边坡填方路段不陡于1:1.5，挖方路段不陡于1:0.5。坎高超过3m时，需设马道，其宽度不小于0.5m。路面中间略高于两侧，做成2%一面倒的坡面。</w:t>
            </w:r>
          </w:p>
          <w:p w14:paraId="23D3249B">
            <w:pPr>
              <w:bidi w:val="0"/>
            </w:pPr>
            <w:r>
              <w:t>②路面</w:t>
            </w:r>
          </w:p>
          <w:p w14:paraId="1F8FE084">
            <w:pPr>
              <w:bidi w:val="0"/>
            </w:pPr>
            <w:r>
              <w:t>路面为砂砾石路面，宽度4m，底部铺设砂砾石厚35cm，上部铺设红锈石厚15cm，砂砾石粒径小于50mm，要求通过0.5mm筛孔的颗粒含量不大于5%，含泥量小于5%，其中25-40mm含量不小于50%。砂砾石压实后，相对密度不小于0.75。</w:t>
            </w:r>
          </w:p>
          <w:p w14:paraId="4FF3E46B">
            <w:pPr>
              <w:bidi w:val="0"/>
            </w:pPr>
            <w:r>
              <w:t>2）施工要求</w:t>
            </w:r>
          </w:p>
          <w:p w14:paraId="263CA151">
            <w:pPr>
              <w:bidi w:val="0"/>
            </w:pPr>
            <w:r>
              <w:t>砂化道路路面采用人工配合推土机进行，先用推土机初平，人工进行再次整平，控制层面平整、厚度均匀，以保证推土机的碾压效果。路基整平碾压完成后，设置控制砂砾石铺填宽度、厚度的标志桩，横向方向要考虑2%的放坡。生产道路为天然砂砾石路面，路面铺设前对天然砂砾石进行鉴定，以使粒径符合设计要求。铺压砂砾前将路基上浮土和杂物清理干净。砂砾石料用摊铺机进行摊铺，对于个别大于设计标准的孤石应予捡出，不得填筑到路面。铺填、碾压完毕，表面拉线找平。分段施工时，接茬处应做成1:1斜坡，下层和上层之间接茬错开1m。铺填砂石应当均匀，如发现砂窝、或石子成堆现象，应将该处砂子挖出，混合均匀后重新铺填。在进行平整、整形后，用12-15t压路机进行碾压。夯迹重叠1/3，碾压遍数不少于4遍。铺砂路面边缘碾压散开的砂砾石采用人工回翻，机械再次碾压，夯实次数不少于3遍。压实后，路面厚度达到15cm，压实度应满足有关公路规范要求。</w:t>
            </w:r>
          </w:p>
          <w:p w14:paraId="27F3C674">
            <w:pPr>
              <w:bidi w:val="0"/>
            </w:pPr>
            <w:r>
              <w:t>3）设计结果</w:t>
            </w:r>
          </w:p>
          <w:p w14:paraId="369A9896">
            <w:pPr>
              <w:bidi w:val="0"/>
            </w:pPr>
            <w:r>
              <w:t>①道路纵坡不大于15%，转弯半径不小于15m，路基宽5m，路面宽4m，为砂砾石道路；</w:t>
            </w:r>
          </w:p>
          <w:p w14:paraId="3ECB5503">
            <w:pPr>
              <w:bidi w:val="0"/>
            </w:pPr>
            <w:r>
              <w:t>②道路边坡填方路段不陡于1:1.5，挖方路段不陡于1:0.5；</w:t>
            </w:r>
          </w:p>
          <w:p w14:paraId="61CBA5C5">
            <w:pPr>
              <w:bidi w:val="0"/>
            </w:pPr>
            <w:r>
              <w:t>③为方便生产，结合现有道路及实际需要计算，共规划设计生产道路总长0.75km。</w:t>
            </w:r>
          </w:p>
          <w:p w14:paraId="16DB4F3F">
            <w:pPr>
              <w:bidi w:val="0"/>
              <w:jc w:val="center"/>
            </w:pPr>
            <w:r>
              <w:rPr>
                <w:rFonts w:hint="eastAsia"/>
                <w:lang w:val="en-US" w:eastAsia="zh-CN"/>
              </w:rPr>
              <w:t xml:space="preserve">表2.9-2 </w:t>
            </w:r>
            <w:r>
              <w:t>生产道路坐标表</w:t>
            </w:r>
          </w:p>
          <w:tbl>
            <w:tblPr>
              <w:tblStyle w:val="79"/>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2"/>
              <w:gridCol w:w="992"/>
              <w:gridCol w:w="1444"/>
              <w:gridCol w:w="1444"/>
              <w:gridCol w:w="1370"/>
              <w:gridCol w:w="1737"/>
            </w:tblGrid>
            <w:tr w14:paraId="5434D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62" w:type="pct"/>
                  <w:vAlign w:val="top"/>
                </w:tcPr>
                <w:p w14:paraId="0F13E4A4">
                  <w:pPr>
                    <w:pStyle w:val="51"/>
                    <w:bidi w:val="0"/>
                  </w:pPr>
                  <w:r>
                    <w:t>名称</w:t>
                  </w:r>
                </w:p>
              </w:tc>
              <w:tc>
                <w:tcPr>
                  <w:tcW w:w="644" w:type="pct"/>
                  <w:vAlign w:val="top"/>
                </w:tcPr>
                <w:p w14:paraId="6760DF43">
                  <w:pPr>
                    <w:pStyle w:val="51"/>
                    <w:bidi w:val="0"/>
                  </w:pPr>
                  <w:r>
                    <w:t>长度</w:t>
                  </w:r>
                </w:p>
              </w:tc>
              <w:tc>
                <w:tcPr>
                  <w:tcW w:w="937" w:type="pct"/>
                  <w:vAlign w:val="top"/>
                </w:tcPr>
                <w:p w14:paraId="1A443212">
                  <w:pPr>
                    <w:pStyle w:val="51"/>
                    <w:bidi w:val="0"/>
                  </w:pPr>
                  <w:r>
                    <w:t>起点</w:t>
                  </w:r>
                </w:p>
              </w:tc>
              <w:tc>
                <w:tcPr>
                  <w:tcW w:w="937" w:type="pct"/>
                  <w:vAlign w:val="top"/>
                </w:tcPr>
                <w:p w14:paraId="5FE648D3">
                  <w:pPr>
                    <w:pStyle w:val="51"/>
                    <w:bidi w:val="0"/>
                  </w:pPr>
                  <w:r>
                    <w:t>起点</w:t>
                  </w:r>
                </w:p>
              </w:tc>
              <w:tc>
                <w:tcPr>
                  <w:tcW w:w="889" w:type="pct"/>
                  <w:vAlign w:val="top"/>
                </w:tcPr>
                <w:p w14:paraId="6240CC30">
                  <w:pPr>
                    <w:pStyle w:val="51"/>
                    <w:bidi w:val="0"/>
                  </w:pPr>
                  <w:r>
                    <w:t>终点</w:t>
                  </w:r>
                </w:p>
              </w:tc>
              <w:tc>
                <w:tcPr>
                  <w:tcW w:w="1127" w:type="pct"/>
                  <w:vAlign w:val="top"/>
                </w:tcPr>
                <w:p w14:paraId="709B747A">
                  <w:pPr>
                    <w:pStyle w:val="51"/>
                    <w:bidi w:val="0"/>
                  </w:pPr>
                  <w:r>
                    <w:t>终点</w:t>
                  </w:r>
                </w:p>
              </w:tc>
            </w:tr>
            <w:tr w14:paraId="60856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62" w:type="pct"/>
                  <w:vAlign w:val="top"/>
                </w:tcPr>
                <w:p w14:paraId="4C894248">
                  <w:pPr>
                    <w:pStyle w:val="51"/>
                    <w:bidi w:val="0"/>
                  </w:pPr>
                  <w:r>
                    <w:t>沙化路</w:t>
                  </w:r>
                </w:p>
              </w:tc>
              <w:tc>
                <w:tcPr>
                  <w:tcW w:w="644" w:type="pct"/>
                  <w:vAlign w:val="top"/>
                </w:tcPr>
                <w:p w14:paraId="3DCD5A2F">
                  <w:pPr>
                    <w:pStyle w:val="51"/>
                    <w:bidi w:val="0"/>
                  </w:pPr>
                  <w:r>
                    <w:t>750</w:t>
                  </w:r>
                </w:p>
              </w:tc>
              <w:tc>
                <w:tcPr>
                  <w:tcW w:w="937" w:type="pct"/>
                  <w:vAlign w:val="top"/>
                </w:tcPr>
                <w:p w14:paraId="7AD2E97E">
                  <w:pPr>
                    <w:pStyle w:val="51"/>
                    <w:bidi w:val="0"/>
                  </w:pPr>
                  <w:r>
                    <w:t>100°6'34.654"E</w:t>
                  </w:r>
                </w:p>
              </w:tc>
              <w:tc>
                <w:tcPr>
                  <w:tcW w:w="937" w:type="pct"/>
                  <w:vAlign w:val="top"/>
                </w:tcPr>
                <w:p w14:paraId="3140DF93">
                  <w:pPr>
                    <w:pStyle w:val="51"/>
                    <w:bidi w:val="0"/>
                  </w:pPr>
                  <w:r>
                    <w:t>39°12'46.929"N</w:t>
                  </w:r>
                </w:p>
              </w:tc>
              <w:tc>
                <w:tcPr>
                  <w:tcW w:w="889" w:type="pct"/>
                  <w:vAlign w:val="top"/>
                </w:tcPr>
                <w:p w14:paraId="27B4E479">
                  <w:pPr>
                    <w:pStyle w:val="51"/>
                    <w:bidi w:val="0"/>
                  </w:pPr>
                  <w:r>
                    <w:t>100°6'8.102"E</w:t>
                  </w:r>
                </w:p>
              </w:tc>
              <w:tc>
                <w:tcPr>
                  <w:tcW w:w="1127" w:type="pct"/>
                  <w:vAlign w:val="top"/>
                </w:tcPr>
                <w:p w14:paraId="0B11A2A2">
                  <w:pPr>
                    <w:pStyle w:val="51"/>
                    <w:bidi w:val="0"/>
                  </w:pPr>
                  <w:r>
                    <w:t>39°12'59.775"N</w:t>
                  </w:r>
                </w:p>
              </w:tc>
            </w:tr>
          </w:tbl>
          <w:p w14:paraId="45325BE7">
            <w:pPr>
              <w:pStyle w:val="4"/>
              <w:pageBreakBefore w:val="0"/>
              <w:widowControl w:val="0"/>
              <w:kinsoku/>
              <w:wordWrap/>
              <w:overflowPunct/>
              <w:topLinePunct w:val="0"/>
              <w:autoSpaceDE/>
              <w:autoSpaceDN/>
              <w:bidi w:val="0"/>
              <w:adjustRightInd/>
              <w:snapToGrid/>
              <w:spacing w:beforeLines="0" w:afterLines="0" w:line="360" w:lineRule="auto"/>
              <w:ind w:left="0"/>
              <w:textAlignment w:val="auto"/>
              <w:rPr>
                <w:rFonts w:hint="eastAsia"/>
                <w:lang w:val="en-US" w:eastAsia="zh-CN"/>
              </w:rPr>
            </w:pPr>
            <w:r>
              <w:rPr>
                <w:rFonts w:hint="eastAsia"/>
                <w:lang w:val="en-US" w:eastAsia="zh-CN"/>
              </w:rPr>
              <w:t>2.9.3农田水渠提升改造</w:t>
            </w:r>
          </w:p>
          <w:p w14:paraId="2F33FB39">
            <w:pPr>
              <w:bidi w:val="0"/>
            </w:pPr>
            <w:r>
              <w:t>为改善白寨村、华强村、小屯村居民生活环境，根据项目区渠系现状布置情况，</w:t>
            </w:r>
            <w:r>
              <w:rPr>
                <w:rFonts w:hint="eastAsia"/>
              </w:rPr>
              <w:t>农田水渠提升改造</w:t>
            </w:r>
            <w:r>
              <w:t>2400m。</w:t>
            </w:r>
          </w:p>
          <w:p w14:paraId="324486F5">
            <w:pPr>
              <w:bidi w:val="0"/>
            </w:pPr>
            <w:r>
              <w:t>（1）输水渠方案比选</w:t>
            </w:r>
          </w:p>
          <w:p w14:paraId="30EE306C">
            <w:pPr>
              <w:bidi w:val="0"/>
            </w:pPr>
            <w:r>
              <w:t>项目区及其周边已有输水渠一般为C30砼预制“U”型渠和砼梯形渠道两种。根据现场调查和稳定角度考虑，“U”型渠道与砼梯形渠道相比具有优势：</w:t>
            </w:r>
          </w:p>
          <w:p w14:paraId="51599CCF">
            <w:pPr>
              <w:bidi w:val="0"/>
            </w:pPr>
            <w:r>
              <w:t>①防渗性能好。C30砼预制“U”型渠采用两道工序填缝，板与板的连接更牢固。另外“U”型断面每平方米的板缝长度比梯形断面少，防渗性能比梯形断面好。</w:t>
            </w:r>
          </w:p>
          <w:p w14:paraId="2D80DB1C">
            <w:pPr>
              <w:bidi w:val="0"/>
            </w:pPr>
            <w:r>
              <w:t>②输水能力强。“U”型砼板衬砌断面的水力条件接近最优的半圆形，湿周短，水力半径大，与同等断面的其他衬砌渠道相比，流速较快，输水能力强。</w:t>
            </w:r>
          </w:p>
          <w:p w14:paraId="7E13D29C">
            <w:pPr>
              <w:bidi w:val="0"/>
            </w:pPr>
            <w:r>
              <w:t>③投资省。</w:t>
            </w:r>
          </w:p>
          <w:p w14:paraId="3E6D007F">
            <w:pPr>
              <w:bidi w:val="0"/>
            </w:pPr>
            <w:r>
              <w:t>④稳定性好。结合项目区及周围近几年的设计成果，C30砼预制“U”型渠在抗冻胀破坏方面表现出良好的稳定性能。渠道板整体预制，稳定性好。其他规格的砼板分两块预制，“U”型渠部的半圆断面在抗冻胀破坏方面与梯形断面相比，具有明显的优越性。</w:t>
            </w:r>
          </w:p>
          <w:p w14:paraId="042A8841">
            <w:pPr>
              <w:bidi w:val="0"/>
            </w:pPr>
            <w:r>
              <w:t>本着因地制宜、降低投资的原则，将C30砼预制“U”型渠作为本次输水渠工程推荐设计方案。</w:t>
            </w:r>
          </w:p>
          <w:p w14:paraId="72887D21">
            <w:pPr>
              <w:bidi w:val="0"/>
            </w:pPr>
            <w:r>
              <w:t>（2）横断面设计</w:t>
            </w:r>
          </w:p>
          <w:p w14:paraId="25FE54E0">
            <w:pPr>
              <w:bidi w:val="0"/>
            </w:pPr>
            <w:r>
              <w:t>农田生态沟渠采用C30砼预制“U”型件衬砌，考虑临泽县气候条件，根据本区土壤和气候条件，应考虑混凝土的抗碱、抗磷、抗冻性能，因此需加入粉煤灰（或碳酸锂）、石英粉、亚硝酸钠等参合料，混凝土的抗冻等级分为F200，抗渗等级W4，布设总长度2400m，其中D60U型渠道总长1400m，D120U型渠道总长1000m，渠底与沟道平顺连接，以保证工程安全运行。</w:t>
            </w:r>
          </w:p>
          <w:p w14:paraId="24F5C456">
            <w:pPr>
              <w:bidi w:val="0"/>
            </w:pPr>
            <w:r>
              <w:t>D60U型渠道设计：砼预制件厚8cm，圆心角260°,渠口宽60cm，渠深50cm，渠道安全超高10cm，底部及两侧采用50cm厚砂砾石垫层，渠底与沟道平顺连接，以保证工程安全运行。</w:t>
            </w:r>
          </w:p>
          <w:p w14:paraId="4CA200CE">
            <w:pPr>
              <w:bidi w:val="0"/>
              <w:rPr>
                <w:rFonts w:ascii="宋体" w:hAnsi="宋体" w:eastAsia="宋体" w:cs="宋体"/>
                <w:szCs w:val="24"/>
              </w:rPr>
            </w:pPr>
            <w:r>
              <w:t>D120U型渠道设计：砼预制件厚8cm，圆心角500°,渠口宽120cm，渠深80cm，渠道安全超高10cm，底部采用50cm砂砾石垫层，渠底与沟道平顺连接，以保证工程安全运行。</w:t>
            </w:r>
          </w:p>
          <w:p w14:paraId="56E98977">
            <w:pPr>
              <w:bidi w:val="0"/>
              <w:ind w:left="0" w:leftChars="0" w:firstLine="0" w:firstLineChars="0"/>
              <w:rPr>
                <w:rFonts w:ascii="宋体" w:hAnsi="宋体" w:eastAsia="宋体" w:cs="宋体"/>
                <w:spacing w:val="-2"/>
                <w:sz w:val="24"/>
                <w:szCs w:val="24"/>
              </w:rPr>
            </w:pPr>
            <w:r>
              <w:rPr>
                <w:position w:val="-199"/>
              </w:rPr>
              <w:drawing>
                <wp:inline distT="0" distB="0" distL="0" distR="0">
                  <wp:extent cx="4980940" cy="6333490"/>
                  <wp:effectExtent l="0" t="0" r="10160" b="10160"/>
                  <wp:docPr id="40" name="IM 24"/>
                  <wp:cNvGraphicFramePr/>
                  <a:graphic xmlns:a="http://schemas.openxmlformats.org/drawingml/2006/main">
                    <a:graphicData uri="http://schemas.openxmlformats.org/drawingml/2006/picture">
                      <pic:pic xmlns:pic="http://schemas.openxmlformats.org/drawingml/2006/picture">
                        <pic:nvPicPr>
                          <pic:cNvPr id="40" name="IM 24"/>
                          <pic:cNvPicPr/>
                        </pic:nvPicPr>
                        <pic:blipFill>
                          <a:blip r:embed="rId17"/>
                          <a:stretch>
                            <a:fillRect/>
                          </a:stretch>
                        </pic:blipFill>
                        <pic:spPr>
                          <a:xfrm>
                            <a:off x="0" y="0"/>
                            <a:ext cx="4980940" cy="6333744"/>
                          </a:xfrm>
                          <a:prstGeom prst="rect">
                            <a:avLst/>
                          </a:prstGeom>
                        </pic:spPr>
                      </pic:pic>
                    </a:graphicData>
                  </a:graphic>
                </wp:inline>
              </w:drawing>
            </w:r>
          </w:p>
          <w:p w14:paraId="05BCEF1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图2.9-4 灌溉水渠横断面图</w:t>
            </w:r>
          </w:p>
          <w:p w14:paraId="7D7D43A2">
            <w:pPr>
              <w:pStyle w:val="4"/>
              <w:pageBreakBefore w:val="0"/>
              <w:widowControl w:val="0"/>
              <w:kinsoku/>
              <w:wordWrap/>
              <w:overflowPunct/>
              <w:topLinePunct w:val="0"/>
              <w:autoSpaceDE/>
              <w:autoSpaceDN/>
              <w:bidi w:val="0"/>
              <w:adjustRightInd/>
              <w:snapToGrid/>
              <w:spacing w:beforeLines="0" w:afterLines="0" w:line="360" w:lineRule="auto"/>
              <w:ind w:left="0" w:right="0"/>
              <w:textAlignment w:val="auto"/>
              <w:rPr>
                <w:rFonts w:hint="eastAsia"/>
                <w:lang w:val="en-US" w:eastAsia="zh-CN"/>
              </w:rPr>
            </w:pPr>
            <w:r>
              <w:rPr>
                <w:rFonts w:hint="eastAsia"/>
                <w:lang w:val="en-US" w:eastAsia="zh-CN"/>
              </w:rPr>
              <w:t>2.9.4 低效林改造</w:t>
            </w:r>
          </w:p>
          <w:p w14:paraId="45831136">
            <w:pPr>
              <w:pageBreakBefore w:val="0"/>
              <w:widowControl w:val="0"/>
              <w:kinsoku/>
              <w:wordWrap/>
              <w:overflowPunct/>
              <w:topLinePunct w:val="0"/>
              <w:autoSpaceDE/>
              <w:autoSpaceDN/>
              <w:bidi w:val="0"/>
              <w:adjustRightInd/>
              <w:snapToGrid/>
              <w:spacing w:line="360" w:lineRule="auto"/>
              <w:ind w:left="0" w:right="0"/>
              <w:textAlignment w:val="auto"/>
              <w:rPr>
                <w:rFonts w:ascii="宋体" w:hAnsi="宋体" w:eastAsia="宋体" w:cs="宋体"/>
                <w:sz w:val="24"/>
                <w:szCs w:val="24"/>
              </w:rPr>
            </w:pPr>
            <w:r>
              <w:rPr>
                <w:rFonts w:hint="eastAsia"/>
                <w:lang w:val="en-US" w:eastAsia="zh-CN"/>
              </w:rPr>
              <w:t>（1）</w:t>
            </w:r>
            <w:r>
              <w:t>防护围栏设计</w:t>
            </w:r>
            <w:r>
              <w:rPr>
                <w:rFonts w:hint="eastAsia"/>
                <w:lang w:eastAsia="zh-CN"/>
              </w:rPr>
              <w:t>：</w:t>
            </w:r>
            <w:r>
              <w:rPr>
                <w:rFonts w:ascii="宋体" w:hAnsi="宋体" w:eastAsia="宋体" w:cs="宋体"/>
                <w:sz w:val="24"/>
                <w:szCs w:val="24"/>
              </w:rPr>
              <w:t>为加强对水土保持林的管护，给补植补种的植被得以休养生息的机会，为植物生长、发育和繁殖提供有利条件，设计围栏为采购成品</w:t>
            </w:r>
            <w:r>
              <w:rPr>
                <w:rFonts w:ascii="宋体" w:hAnsi="宋体" w:eastAsia="宋体" w:cs="宋体"/>
                <w:spacing w:val="-1"/>
                <w:sz w:val="24"/>
                <w:szCs w:val="24"/>
              </w:rPr>
              <w:t>围栏，布设在低效林周边。</w:t>
            </w:r>
          </w:p>
          <w:p w14:paraId="3E47DAEE">
            <w:pPr>
              <w:bidi w:val="0"/>
            </w:pPr>
            <w:r>
              <w:t>①围栏布设工程量：项目区共布设防护围栏2000m，采用购买成品网围栏。</w:t>
            </w:r>
          </w:p>
          <w:p w14:paraId="2B6AFE49">
            <w:pPr>
              <w:bidi w:val="0"/>
            </w:pPr>
            <w:r>
              <w:t>②围栏布设在低效林改造区域周边。</w:t>
            </w:r>
          </w:p>
          <w:p w14:paraId="7E7DF3FE">
            <w:pPr>
              <w:bidi w:val="0"/>
            </w:pPr>
            <w:r>
              <w:t>③围栏走向和布局必须考虑项目区群众的进出交通方便，围栏内不得将群众的主要交通线路、住宅、基本农田围封在内。</w:t>
            </w:r>
          </w:p>
          <w:p w14:paraId="228A179A">
            <w:pPr>
              <w:bidi w:val="0"/>
            </w:pPr>
            <w:r>
              <w:t>④在关键沿线及牲畜易破坏部位，应增加围栏高度和密度，并在外侧挖堑壕。</w:t>
            </w:r>
          </w:p>
          <w:p w14:paraId="0164D271">
            <w:pPr>
              <w:spacing w:before="181" w:line="360" w:lineRule="auto"/>
              <w:ind w:left="120" w:right="110" w:firstLine="492"/>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）工程围栏结构设计：在水保林区域，建立网片围栏，进行有效防护。规划</w:t>
            </w:r>
            <w:r>
              <w:rPr>
                <w:rFonts w:ascii="宋体" w:hAnsi="宋体" w:eastAsia="宋体" w:cs="宋体"/>
                <w:spacing w:val="-1"/>
                <w:sz w:val="24"/>
                <w:szCs w:val="24"/>
              </w:rPr>
              <w:t>防护围栏</w:t>
            </w:r>
            <w:r>
              <w:rPr>
                <w:rFonts w:ascii="Times New Roman" w:hAnsi="Times New Roman" w:eastAsia="Times New Roman" w:cs="Times New Roman"/>
                <w:spacing w:val="-1"/>
                <w:sz w:val="24"/>
                <w:szCs w:val="24"/>
              </w:rPr>
              <w:t>2000m</w:t>
            </w:r>
            <w:r>
              <w:rPr>
                <w:rFonts w:ascii="宋体" w:hAnsi="宋体" w:eastAsia="宋体" w:cs="宋体"/>
                <w:spacing w:val="-1"/>
                <w:sz w:val="24"/>
                <w:szCs w:val="24"/>
              </w:rPr>
              <w:t>。围栏网设计以充分利用现有地形的天然屏障，对造林周边实行</w:t>
            </w:r>
            <w:r>
              <w:rPr>
                <w:rFonts w:ascii="宋体" w:hAnsi="宋体" w:eastAsia="宋体" w:cs="宋体"/>
                <w:spacing w:val="3"/>
                <w:sz w:val="24"/>
                <w:szCs w:val="24"/>
              </w:rPr>
              <w:t>封闭，工程围栏高度</w:t>
            </w:r>
            <w:r>
              <w:rPr>
                <w:rFonts w:ascii="Times New Roman" w:hAnsi="Times New Roman" w:eastAsia="Times New Roman" w:cs="Times New Roman"/>
                <w:spacing w:val="3"/>
                <w:sz w:val="24"/>
                <w:szCs w:val="24"/>
              </w:rPr>
              <w:t>1.8m</w:t>
            </w:r>
            <w:r>
              <w:rPr>
                <w:rFonts w:ascii="宋体" w:hAnsi="宋体" w:eastAsia="宋体" w:cs="宋体"/>
                <w:spacing w:val="3"/>
                <w:sz w:val="24"/>
                <w:szCs w:val="24"/>
              </w:rPr>
              <w:t>，通过在地形图上实际量算确定，围栏按每隔</w:t>
            </w:r>
            <w:r>
              <w:rPr>
                <w:rFonts w:ascii="Times New Roman" w:hAnsi="Times New Roman" w:eastAsia="Times New Roman" w:cs="Times New Roman"/>
                <w:spacing w:val="3"/>
                <w:sz w:val="24"/>
                <w:szCs w:val="24"/>
              </w:rPr>
              <w:t>3m</w:t>
            </w:r>
            <w:r>
              <w:rPr>
                <w:rFonts w:ascii="宋体" w:hAnsi="宋体" w:eastAsia="宋体" w:cs="宋体"/>
                <w:spacing w:val="3"/>
                <w:sz w:val="24"/>
                <w:szCs w:val="24"/>
              </w:rPr>
              <w:t>设一立</w:t>
            </w:r>
            <w:r>
              <w:rPr>
                <w:rFonts w:ascii="宋体" w:hAnsi="宋体" w:eastAsia="宋体" w:cs="宋体"/>
                <w:spacing w:val="-1"/>
                <w:sz w:val="24"/>
                <w:szCs w:val="24"/>
              </w:rPr>
              <w:t>柱，两立柱间用网片围栏连接。</w:t>
            </w:r>
          </w:p>
          <w:p w14:paraId="45BD9685">
            <w:pPr>
              <w:spacing w:before="78" w:line="358" w:lineRule="auto"/>
              <w:ind w:left="47" w:right="34" w:firstLine="480"/>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）围栏立柱、片网及方管框采用漫塑处理，颜色为墨绿色所有焊接件应在工</w:t>
            </w:r>
            <w:r>
              <w:rPr>
                <w:rFonts w:ascii="宋体" w:hAnsi="宋体" w:eastAsia="宋体" w:cs="宋体"/>
                <w:spacing w:val="8"/>
                <w:sz w:val="24"/>
                <w:szCs w:val="24"/>
              </w:rPr>
              <w:t>厂焊接后漫塑；围栏网高</w:t>
            </w:r>
            <w:r>
              <w:rPr>
                <w:rFonts w:ascii="Times New Roman" w:hAnsi="Times New Roman" w:eastAsia="Times New Roman" w:cs="Times New Roman"/>
                <w:spacing w:val="8"/>
                <w:sz w:val="24"/>
                <w:szCs w:val="24"/>
              </w:rPr>
              <w:t>1.8m/</w:t>
            </w:r>
            <w:r>
              <w:rPr>
                <w:rFonts w:ascii="宋体" w:hAnsi="宋体" w:eastAsia="宋体" w:cs="宋体"/>
                <w:spacing w:val="8"/>
                <w:sz w:val="24"/>
                <w:szCs w:val="24"/>
              </w:rPr>
              <w:t>丝径</w:t>
            </w:r>
            <w:r>
              <w:rPr>
                <w:rFonts w:ascii="Times New Roman" w:hAnsi="Times New Roman" w:eastAsia="Times New Roman" w:cs="Times New Roman"/>
                <w:spacing w:val="8"/>
                <w:sz w:val="24"/>
                <w:szCs w:val="24"/>
              </w:rPr>
              <w:t>4.0</w:t>
            </w:r>
            <w:r>
              <w:rPr>
                <w:rFonts w:ascii="Times New Roman" w:hAnsi="Times New Roman" w:eastAsia="Times New Roman" w:cs="Times New Roman"/>
                <w:sz w:val="24"/>
                <w:szCs w:val="24"/>
              </w:rPr>
              <w:t>mm</w:t>
            </w:r>
            <w:r>
              <w:rPr>
                <w:rFonts w:ascii="宋体" w:hAnsi="宋体" w:eastAsia="宋体" w:cs="宋体"/>
                <w:spacing w:val="8"/>
                <w:sz w:val="24"/>
                <w:szCs w:val="24"/>
              </w:rPr>
              <w:t>粗，材质为低碳钢丝</w:t>
            </w:r>
            <w:r>
              <w:rPr>
                <w:rFonts w:ascii="宋体" w:hAnsi="宋体" w:eastAsia="宋体" w:cs="宋体"/>
                <w:spacing w:val="7"/>
                <w:sz w:val="24"/>
                <w:szCs w:val="24"/>
              </w:rPr>
              <w:t>，片网高度为</w:t>
            </w:r>
            <w:r>
              <w:rPr>
                <w:rFonts w:ascii="Times New Roman" w:hAnsi="Times New Roman" w:eastAsia="Times New Roman" w:cs="Times New Roman"/>
                <w:spacing w:val="-1"/>
                <w:sz w:val="24"/>
                <w:szCs w:val="24"/>
              </w:rPr>
              <w:t>1650mm</w:t>
            </w:r>
            <w:r>
              <w:rPr>
                <w:rFonts w:ascii="宋体" w:hAnsi="宋体" w:eastAsia="宋体" w:cs="宋体"/>
                <w:spacing w:val="-1"/>
                <w:sz w:val="24"/>
                <w:szCs w:val="24"/>
              </w:rPr>
              <w:t>，宽度为</w:t>
            </w:r>
            <w:r>
              <w:rPr>
                <w:rFonts w:ascii="Times New Roman" w:hAnsi="Times New Roman" w:eastAsia="Times New Roman" w:cs="Times New Roman"/>
                <w:spacing w:val="-1"/>
                <w:sz w:val="24"/>
                <w:szCs w:val="24"/>
              </w:rPr>
              <w:t>2850mm</w:t>
            </w:r>
            <w:r>
              <w:rPr>
                <w:rFonts w:ascii="宋体" w:hAnsi="宋体" w:eastAsia="宋体" w:cs="宋体"/>
                <w:spacing w:val="-1"/>
                <w:sz w:val="24"/>
                <w:szCs w:val="24"/>
              </w:rPr>
              <w:t>，网格为</w:t>
            </w:r>
            <w:r>
              <w:rPr>
                <w:rFonts w:ascii="Times New Roman" w:hAnsi="Times New Roman" w:eastAsia="Times New Roman" w:cs="Times New Roman"/>
                <w:spacing w:val="-1"/>
                <w:sz w:val="24"/>
                <w:szCs w:val="24"/>
              </w:rPr>
              <w:t>150*150</w:t>
            </w:r>
            <w:r>
              <w:rPr>
                <w:rFonts w:ascii="Times New Roman" w:hAnsi="Times New Roman" w:eastAsia="Times New Roman" w:cs="Times New Roman"/>
                <w:spacing w:val="-2"/>
                <w:sz w:val="24"/>
                <w:szCs w:val="24"/>
              </w:rPr>
              <w:t>mm</w:t>
            </w:r>
            <w:r>
              <w:rPr>
                <w:rFonts w:ascii="宋体" w:hAnsi="宋体" w:eastAsia="宋体" w:cs="宋体"/>
                <w:spacing w:val="-2"/>
                <w:sz w:val="24"/>
                <w:szCs w:val="24"/>
              </w:rPr>
              <w:t>，钢丝直径</w:t>
            </w:r>
            <w:r>
              <w:rPr>
                <w:rFonts w:ascii="Times New Roman" w:hAnsi="Times New Roman" w:eastAsia="Times New Roman" w:cs="Times New Roman"/>
                <w:spacing w:val="-2"/>
                <w:sz w:val="24"/>
                <w:szCs w:val="24"/>
              </w:rPr>
              <w:t>4mm</w:t>
            </w:r>
            <w:r>
              <w:rPr>
                <w:rFonts w:ascii="宋体" w:hAnsi="宋体" w:eastAsia="宋体" w:cs="宋体"/>
                <w:spacing w:val="-2"/>
                <w:sz w:val="24"/>
                <w:szCs w:val="24"/>
              </w:rPr>
              <w:t>，网孔大小</w:t>
            </w:r>
            <w:r>
              <w:rPr>
                <w:rFonts w:ascii="Times New Roman" w:hAnsi="Times New Roman" w:eastAsia="Times New Roman" w:cs="Times New Roman"/>
                <w:spacing w:val="-2"/>
                <w:sz w:val="24"/>
                <w:szCs w:val="24"/>
              </w:rPr>
              <w:t>7.5cm*</w:t>
            </w:r>
            <w:r>
              <w:rPr>
                <w:rFonts w:ascii="Times New Roman" w:hAnsi="Times New Roman" w:eastAsia="Times New Roman" w:cs="Times New Roman"/>
                <w:spacing w:val="-1"/>
                <w:sz w:val="24"/>
                <w:szCs w:val="24"/>
              </w:rPr>
              <w:t>15cm/5cm*5cm</w:t>
            </w:r>
            <w:r>
              <w:rPr>
                <w:rFonts w:ascii="宋体" w:hAnsi="宋体" w:eastAsia="宋体" w:cs="宋体"/>
                <w:spacing w:val="-1"/>
                <w:sz w:val="24"/>
                <w:szCs w:val="24"/>
              </w:rPr>
              <w:t>。</w:t>
            </w:r>
            <w:r>
              <w:rPr>
                <w:rFonts w:ascii="宋体" w:hAnsi="宋体" w:eastAsia="宋体" w:cs="宋体"/>
                <w:sz w:val="24"/>
                <w:szCs w:val="24"/>
              </w:rPr>
              <w:t>基础：围栏基础采用现浇</w:t>
            </w:r>
            <w:r>
              <w:rPr>
                <w:rFonts w:ascii="Times New Roman" w:hAnsi="Times New Roman" w:eastAsia="Times New Roman" w:cs="Times New Roman"/>
                <w:sz w:val="24"/>
                <w:szCs w:val="24"/>
              </w:rPr>
              <w:t>C20</w:t>
            </w:r>
            <w:r>
              <w:rPr>
                <w:rFonts w:ascii="宋体" w:hAnsi="宋体" w:eastAsia="宋体" w:cs="宋体"/>
                <w:sz w:val="24"/>
                <w:szCs w:val="24"/>
              </w:rPr>
              <w:t>砼，预留</w:t>
            </w:r>
            <w:r>
              <w:rPr>
                <w:rFonts w:ascii="Times New Roman" w:hAnsi="Times New Roman" w:eastAsia="Times New Roman" w:cs="Times New Roman"/>
                <w:sz w:val="24"/>
                <w:szCs w:val="24"/>
              </w:rPr>
              <w:t>100*100*350mm</w:t>
            </w:r>
            <w:r>
              <w:rPr>
                <w:rFonts w:ascii="宋体" w:hAnsi="宋体" w:eastAsia="宋体" w:cs="宋体"/>
                <w:sz w:val="24"/>
                <w:szCs w:val="24"/>
              </w:rPr>
              <w:t>立柱埋入孔，立柱埋入</w:t>
            </w:r>
            <w:r>
              <w:rPr>
                <w:rFonts w:ascii="宋体" w:hAnsi="宋体" w:eastAsia="宋体" w:cs="宋体"/>
                <w:spacing w:val="-3"/>
                <w:sz w:val="24"/>
                <w:szCs w:val="24"/>
              </w:rPr>
              <w:t>深度为</w:t>
            </w:r>
            <w:r>
              <w:rPr>
                <w:rFonts w:ascii="Times New Roman" w:hAnsi="Times New Roman" w:eastAsia="Times New Roman" w:cs="Times New Roman"/>
                <w:spacing w:val="-3"/>
                <w:sz w:val="24"/>
                <w:szCs w:val="24"/>
              </w:rPr>
              <w:t>300mm</w:t>
            </w:r>
            <w:r>
              <w:rPr>
                <w:rFonts w:ascii="宋体" w:hAnsi="宋体" w:eastAsia="宋体" w:cs="宋体"/>
                <w:spacing w:val="-3"/>
                <w:sz w:val="24"/>
                <w:szCs w:val="24"/>
              </w:rPr>
              <w:t>，基础埋入深度为</w:t>
            </w:r>
            <w:r>
              <w:rPr>
                <w:rFonts w:ascii="Times New Roman" w:hAnsi="Times New Roman" w:eastAsia="Times New Roman" w:cs="Times New Roman"/>
                <w:spacing w:val="-3"/>
                <w:sz w:val="24"/>
                <w:szCs w:val="24"/>
              </w:rPr>
              <w:t>500mm</w:t>
            </w:r>
            <w:r>
              <w:rPr>
                <w:rFonts w:ascii="宋体" w:hAnsi="宋体" w:eastAsia="宋体" w:cs="宋体"/>
                <w:spacing w:val="-3"/>
                <w:sz w:val="24"/>
                <w:szCs w:val="24"/>
              </w:rPr>
              <w:t>。</w:t>
            </w:r>
          </w:p>
          <w:p w14:paraId="0735343E">
            <w:pPr>
              <w:bidi w:val="0"/>
            </w:pPr>
            <w:r>
              <w:rPr>
                <w:rFonts w:hint="eastAsia"/>
                <w:lang w:eastAsia="zh-CN"/>
              </w:rPr>
              <w:t>（</w:t>
            </w:r>
            <w:r>
              <w:rPr>
                <w:rFonts w:hint="eastAsia"/>
                <w:lang w:val="en-US" w:eastAsia="zh-CN"/>
              </w:rPr>
              <w:t>4</w:t>
            </w:r>
            <w:r>
              <w:rPr>
                <w:rFonts w:hint="eastAsia"/>
                <w:lang w:eastAsia="zh-CN"/>
              </w:rPr>
              <w:t>）</w:t>
            </w:r>
            <w:r>
              <w:t>围栏网安装</w:t>
            </w:r>
          </w:p>
          <w:p w14:paraId="2FB5B1AB">
            <w:pPr>
              <w:bidi w:val="0"/>
            </w:pPr>
            <w:r>
              <w:t>①放线：围栏放线时每一段必须成一条直线，长度应不小于6m，坡度不大于25°,用“三点定线法”在挖坑处做好标记，围栏坑距3m，若直线坡度小于25°时可转角。</w:t>
            </w:r>
          </w:p>
          <w:p w14:paraId="057336F0">
            <w:pPr>
              <w:bidi w:val="0"/>
            </w:pPr>
            <w:r>
              <w:t>②挖坑：挖坑时要求坑口尽量小，以放入桩为限，坑深50cm。</w:t>
            </w:r>
          </w:p>
          <w:p w14:paraId="19B3877F">
            <w:pPr>
              <w:bidi w:val="0"/>
            </w:pPr>
            <w:r>
              <w:t>③栽桩：检查桩坑是否在一条直线上，然后栽桩。栽桩后再检查各个桩是否在一条直线上，使支持网片与桩面保持一个平面，以便紧线时不致斜桩，最后将桩坑踏实。直线距离大于100m时，在网片受力方向加一地锚拉桩。</w:t>
            </w:r>
          </w:p>
          <w:p w14:paraId="41C44F38">
            <w:pPr>
              <w:bidi w:val="0"/>
            </w:pPr>
            <w:r>
              <w:t>④转角拉桩：在网围栏转角在各受力方向上预先埋好地锚拉桩，地锚深度80cm，角度45°,用8＃铅丝两股拉紧。</w:t>
            </w:r>
          </w:p>
          <w:p w14:paraId="4B84791C">
            <w:pPr>
              <w:pStyle w:val="4"/>
              <w:bidi w:val="0"/>
              <w:rPr>
                <w:rFonts w:hint="eastAsia"/>
                <w:lang w:val="en-US" w:eastAsia="zh-CN"/>
              </w:rPr>
            </w:pPr>
            <w:r>
              <w:rPr>
                <w:rFonts w:hint="eastAsia"/>
                <w:lang w:val="en-US" w:eastAsia="zh-CN"/>
              </w:rPr>
              <w:t>2.9.5 水保宣传</w:t>
            </w:r>
          </w:p>
          <w:p w14:paraId="68EBCE1B">
            <w:pPr>
              <w:bidi w:val="0"/>
              <w:rPr>
                <w:rFonts w:hint="eastAsia" w:eastAsia="宋体"/>
                <w:lang w:val="en-US" w:eastAsia="zh-CN"/>
              </w:rPr>
            </w:pPr>
            <w:r>
              <w:rPr>
                <w:rFonts w:ascii="宋体" w:hAnsi="宋体" w:eastAsia="宋体" w:cs="宋体"/>
                <w:sz w:val="24"/>
                <w:szCs w:val="24"/>
              </w:rPr>
              <w:t>在项目区内开展不间断宣传活动、以提高当地群众的水土保持国策意识；在较为</w:t>
            </w:r>
            <w:r>
              <w:rPr>
                <w:rFonts w:ascii="宋体" w:hAnsi="宋体" w:eastAsia="宋体" w:cs="宋体"/>
                <w:spacing w:val="-1"/>
                <w:sz w:val="24"/>
                <w:szCs w:val="24"/>
              </w:rPr>
              <w:t>醒目位置设立警示标志牌等。宣传牌采用钢制结构，牌</w:t>
            </w:r>
            <w:r>
              <w:rPr>
                <w:rFonts w:ascii="宋体" w:hAnsi="宋体" w:eastAsia="宋体" w:cs="宋体"/>
                <w:spacing w:val="-4"/>
                <w:sz w:val="24"/>
                <w:szCs w:val="24"/>
              </w:rPr>
              <w:t>面高</w:t>
            </w:r>
            <w:r>
              <w:rPr>
                <w:rFonts w:ascii="Times New Roman" w:hAnsi="Times New Roman" w:eastAsia="Times New Roman" w:cs="Times New Roman"/>
                <w:spacing w:val="-4"/>
                <w:sz w:val="24"/>
                <w:szCs w:val="24"/>
              </w:rPr>
              <w:t>3.5m</w:t>
            </w:r>
            <w:r>
              <w:rPr>
                <w:rFonts w:ascii="宋体" w:hAnsi="宋体" w:eastAsia="宋体" w:cs="宋体"/>
                <w:spacing w:val="-4"/>
                <w:sz w:val="24"/>
                <w:szCs w:val="24"/>
              </w:rPr>
              <w:t>，长</w:t>
            </w:r>
            <w:r>
              <w:rPr>
                <w:rFonts w:ascii="Times New Roman" w:hAnsi="Times New Roman" w:eastAsia="Times New Roman" w:cs="Times New Roman"/>
                <w:spacing w:val="-4"/>
                <w:sz w:val="24"/>
                <w:szCs w:val="24"/>
              </w:rPr>
              <w:t>10m</w:t>
            </w:r>
            <w:r>
              <w:rPr>
                <w:rFonts w:ascii="宋体" w:hAnsi="宋体" w:eastAsia="宋体" w:cs="宋体"/>
                <w:spacing w:val="-4"/>
                <w:sz w:val="24"/>
                <w:szCs w:val="24"/>
              </w:rPr>
              <w:t>，共设计</w:t>
            </w:r>
            <w:r>
              <w:rPr>
                <w:rFonts w:ascii="Times New Roman" w:hAnsi="Times New Roman" w:eastAsia="Times New Roman" w:cs="Times New Roman"/>
                <w:spacing w:val="-4"/>
                <w:sz w:val="24"/>
                <w:szCs w:val="24"/>
              </w:rPr>
              <w:t>1</w:t>
            </w:r>
            <w:r>
              <w:rPr>
                <w:rFonts w:ascii="宋体" w:hAnsi="宋体" w:eastAsia="宋体" w:cs="宋体"/>
                <w:spacing w:val="-4"/>
                <w:sz w:val="24"/>
                <w:szCs w:val="24"/>
              </w:rPr>
              <w:t>座</w:t>
            </w:r>
            <w:r>
              <w:rPr>
                <w:rFonts w:hint="eastAsia" w:ascii="宋体" w:hAnsi="宋体" w:eastAsia="宋体" w:cs="宋体"/>
                <w:spacing w:val="-4"/>
                <w:sz w:val="24"/>
                <w:szCs w:val="24"/>
                <w:lang w:eastAsia="zh-CN"/>
              </w:rPr>
              <w:t>，</w:t>
            </w:r>
            <w:r>
              <w:rPr>
                <w:rFonts w:ascii="宋体" w:hAnsi="宋体" w:eastAsia="宋体" w:cs="宋体"/>
                <w:spacing w:val="3"/>
                <w:sz w:val="24"/>
                <w:szCs w:val="24"/>
              </w:rPr>
              <w:t>标语牌采用钢制结构，牌面高</w:t>
            </w:r>
            <w:r>
              <w:rPr>
                <w:rFonts w:ascii="Times New Roman" w:hAnsi="Times New Roman" w:eastAsia="Times New Roman" w:cs="Times New Roman"/>
                <w:spacing w:val="3"/>
                <w:sz w:val="24"/>
                <w:szCs w:val="24"/>
              </w:rPr>
              <w:t>2.5m</w:t>
            </w:r>
            <w:r>
              <w:rPr>
                <w:rFonts w:ascii="宋体" w:hAnsi="宋体" w:eastAsia="宋体" w:cs="宋体"/>
                <w:spacing w:val="3"/>
                <w:sz w:val="24"/>
                <w:szCs w:val="24"/>
              </w:rPr>
              <w:t>，长</w:t>
            </w:r>
            <w:r>
              <w:rPr>
                <w:rFonts w:ascii="Times New Roman" w:hAnsi="Times New Roman" w:eastAsia="Times New Roman" w:cs="Times New Roman"/>
                <w:spacing w:val="3"/>
                <w:sz w:val="24"/>
                <w:szCs w:val="24"/>
              </w:rPr>
              <w:t>3.0m</w:t>
            </w:r>
            <w:r>
              <w:rPr>
                <w:rFonts w:ascii="宋体" w:hAnsi="宋体" w:eastAsia="宋体" w:cs="宋体"/>
                <w:spacing w:val="3"/>
                <w:sz w:val="24"/>
                <w:szCs w:val="24"/>
              </w:rPr>
              <w:t>，立柱高</w:t>
            </w:r>
            <w:r>
              <w:rPr>
                <w:rFonts w:ascii="Times New Roman" w:hAnsi="Times New Roman" w:eastAsia="Times New Roman" w:cs="Times New Roman"/>
                <w:spacing w:val="3"/>
                <w:sz w:val="24"/>
                <w:szCs w:val="24"/>
              </w:rPr>
              <w:t>3.0m,</w:t>
            </w:r>
            <w:r>
              <w:rPr>
                <w:rFonts w:ascii="宋体" w:hAnsi="宋体" w:eastAsia="宋体" w:cs="宋体"/>
                <w:spacing w:val="3"/>
                <w:sz w:val="24"/>
                <w:szCs w:val="24"/>
              </w:rPr>
              <w:t>立柱地下埋深不小于</w:t>
            </w:r>
            <w:r>
              <w:rPr>
                <w:rFonts w:ascii="Times New Roman" w:hAnsi="Times New Roman" w:eastAsia="Times New Roman" w:cs="Times New Roman"/>
                <w:spacing w:val="3"/>
                <w:sz w:val="24"/>
                <w:szCs w:val="24"/>
              </w:rPr>
              <w:t>0.5m</w:t>
            </w:r>
            <w:r>
              <w:rPr>
                <w:rFonts w:ascii="宋体" w:hAnsi="宋体" w:eastAsia="宋体" w:cs="宋体"/>
                <w:spacing w:val="3"/>
                <w:sz w:val="24"/>
                <w:szCs w:val="24"/>
              </w:rPr>
              <w:t>，共计</w:t>
            </w:r>
            <w:r>
              <w:rPr>
                <w:rFonts w:ascii="Times New Roman" w:hAnsi="Times New Roman" w:eastAsia="Times New Roman" w:cs="Times New Roman"/>
                <w:spacing w:val="3"/>
                <w:sz w:val="24"/>
                <w:szCs w:val="24"/>
              </w:rPr>
              <w:t>1</w:t>
            </w:r>
            <w:r>
              <w:rPr>
                <w:rFonts w:ascii="宋体" w:hAnsi="宋体" w:eastAsia="宋体" w:cs="宋体"/>
                <w:sz w:val="24"/>
                <w:szCs w:val="24"/>
              </w:rPr>
              <w:t>块</w:t>
            </w:r>
            <w:r>
              <w:rPr>
                <w:rFonts w:hint="eastAsia" w:ascii="宋体" w:hAnsi="宋体" w:eastAsia="宋体" w:cs="宋体"/>
                <w:sz w:val="24"/>
                <w:szCs w:val="24"/>
                <w:lang w:eastAsia="zh-CN"/>
              </w:rPr>
              <w:t>。</w:t>
            </w:r>
          </w:p>
          <w:p w14:paraId="4E35D079">
            <w:pPr>
              <w:pStyle w:val="4"/>
              <w:bidi w:val="0"/>
              <w:rPr>
                <w:rFonts w:hint="default"/>
                <w:lang w:val="en-US" w:eastAsia="zh-CN"/>
              </w:rPr>
            </w:pPr>
            <w:r>
              <w:rPr>
                <w:rFonts w:hint="eastAsia"/>
                <w:lang w:val="en-US" w:eastAsia="zh-CN"/>
              </w:rPr>
              <w:t>2.9.6施工条件</w:t>
            </w:r>
          </w:p>
          <w:p w14:paraId="2FC7C7ED">
            <w:pPr>
              <w:bidi w:val="0"/>
              <w:rPr>
                <w:rFonts w:hint="eastAsia"/>
                <w:highlight w:val="none"/>
                <w:lang w:val="en-US" w:eastAsia="zh-CN"/>
              </w:rPr>
            </w:pPr>
            <w:r>
              <w:rPr>
                <w:rFonts w:hint="eastAsia"/>
                <w:highlight w:val="none"/>
                <w:lang w:val="en-US" w:eastAsia="zh-CN"/>
              </w:rPr>
              <w:t>（1）工程条件</w:t>
            </w:r>
          </w:p>
          <w:p w14:paraId="3C0FFF21">
            <w:pPr>
              <w:bidi w:val="0"/>
              <w:rPr>
                <w:rFonts w:hint="eastAsia"/>
                <w:highlight w:val="none"/>
                <w:lang w:val="en-US" w:eastAsia="zh-CN"/>
              </w:rPr>
            </w:pPr>
            <w:r>
              <w:rPr>
                <w:rFonts w:hint="eastAsia"/>
                <w:highlight w:val="none"/>
                <w:lang w:val="en-US" w:eastAsia="zh-CN"/>
              </w:rPr>
              <w:t>工程位于临泽县鸭暖镇。周边有连霍高速，项目区内有G312、县道、乡道通过，乡镇、村组之间有乡村道路连接，施工现有道路大部分硬化、砂化，材料运输便利，人行道路网络较完善，对外交通运输条件十分便利快捷。</w:t>
            </w:r>
          </w:p>
          <w:p w14:paraId="529B3D5A">
            <w:pPr>
              <w:bidi w:val="0"/>
              <w:rPr>
                <w:rFonts w:hint="eastAsia"/>
                <w:highlight w:val="none"/>
                <w:lang w:val="en-US" w:eastAsia="zh-CN"/>
              </w:rPr>
            </w:pPr>
            <w:r>
              <w:rPr>
                <w:rFonts w:hint="eastAsia"/>
                <w:highlight w:val="none"/>
                <w:lang w:val="en-US" w:eastAsia="zh-CN"/>
              </w:rPr>
              <w:t>本工程施工用电可从附近村镇协调使用。</w:t>
            </w:r>
          </w:p>
          <w:p w14:paraId="658AC183">
            <w:pPr>
              <w:bidi w:val="0"/>
              <w:rPr>
                <w:rFonts w:hint="eastAsia"/>
                <w:highlight w:val="none"/>
                <w:lang w:val="en-US" w:eastAsia="zh-CN"/>
              </w:rPr>
            </w:pPr>
            <w:r>
              <w:rPr>
                <w:rFonts w:hint="eastAsia"/>
                <w:highlight w:val="none"/>
                <w:lang w:val="en-US" w:eastAsia="zh-CN"/>
              </w:rPr>
              <w:t>项目施工用水可从附近村镇供水管网取水，水质良好，可供施工使用。</w:t>
            </w:r>
          </w:p>
          <w:p w14:paraId="72DE6D61">
            <w:pPr>
              <w:bidi w:val="0"/>
              <w:rPr>
                <w:rFonts w:hint="eastAsia"/>
                <w:highlight w:val="none"/>
                <w:lang w:val="en-US" w:eastAsia="zh-CN"/>
              </w:rPr>
            </w:pPr>
            <w:r>
              <w:rPr>
                <w:rFonts w:hint="eastAsia"/>
                <w:highlight w:val="none"/>
                <w:lang w:val="en-US" w:eastAsia="zh-CN"/>
              </w:rPr>
              <w:t>工程区有无线移动通信信号覆盖，施工通讯采用移动电话通讯。</w:t>
            </w:r>
          </w:p>
          <w:p w14:paraId="417D0F68">
            <w:pPr>
              <w:bidi w:val="0"/>
              <w:rPr>
                <w:rFonts w:hint="eastAsia"/>
                <w:highlight w:val="none"/>
                <w:lang w:val="en-US" w:eastAsia="zh-CN"/>
              </w:rPr>
            </w:pPr>
            <w:r>
              <w:rPr>
                <w:rFonts w:hint="eastAsia"/>
                <w:highlight w:val="none"/>
                <w:lang w:val="en-US" w:eastAsia="zh-CN"/>
              </w:rPr>
              <w:t>（2）自然条件</w:t>
            </w:r>
          </w:p>
          <w:p w14:paraId="3A190C80">
            <w:pPr>
              <w:bidi w:val="0"/>
              <w:rPr>
                <w:rFonts w:hint="eastAsia"/>
                <w:highlight w:val="none"/>
                <w:lang w:val="en-US" w:eastAsia="zh-CN"/>
              </w:rPr>
            </w:pPr>
            <w:bookmarkStart w:id="10" w:name="OLE_LINK44"/>
            <w:r>
              <w:rPr>
                <w:rFonts w:ascii="宋体" w:hAnsi="宋体" w:eastAsia="宋体" w:cs="宋体"/>
                <w:spacing w:val="6"/>
                <w:sz w:val="24"/>
                <w:szCs w:val="24"/>
              </w:rPr>
              <w:t>项目区降水量较少，主要集中在</w:t>
            </w:r>
            <w:r>
              <w:rPr>
                <w:rFonts w:ascii="Times New Roman" w:hAnsi="Times New Roman" w:eastAsia="Times New Roman" w:cs="Times New Roman"/>
                <w:spacing w:val="6"/>
                <w:sz w:val="24"/>
                <w:szCs w:val="24"/>
              </w:rPr>
              <w:t>7</w:t>
            </w:r>
            <w:r>
              <w:rPr>
                <w:rFonts w:ascii="宋体" w:hAnsi="宋体" w:eastAsia="宋体" w:cs="宋体"/>
                <w:spacing w:val="6"/>
                <w:sz w:val="24"/>
                <w:szCs w:val="24"/>
              </w:rPr>
              <w:t>～</w:t>
            </w:r>
            <w:r>
              <w:rPr>
                <w:rFonts w:ascii="Times New Roman" w:hAnsi="Times New Roman" w:eastAsia="Times New Roman" w:cs="Times New Roman"/>
                <w:spacing w:val="6"/>
                <w:sz w:val="24"/>
                <w:szCs w:val="24"/>
              </w:rPr>
              <w:t>9</w:t>
            </w:r>
            <w:r>
              <w:rPr>
                <w:rFonts w:ascii="宋体" w:hAnsi="宋体" w:eastAsia="宋体" w:cs="宋体"/>
                <w:spacing w:val="6"/>
                <w:sz w:val="24"/>
                <w:szCs w:val="24"/>
              </w:rPr>
              <w:t>月，春季干旱，秋季多风，苗木风干严</w:t>
            </w:r>
            <w:r>
              <w:rPr>
                <w:rFonts w:ascii="宋体" w:hAnsi="宋体" w:eastAsia="宋体" w:cs="宋体"/>
                <w:sz w:val="24"/>
                <w:szCs w:val="24"/>
              </w:rPr>
              <w:t>重，会对植被建设造成一定影响，选择春季整地，春季进行造林。流域冬季寒冷，最</w:t>
            </w:r>
            <w:r>
              <w:rPr>
                <w:rFonts w:ascii="宋体" w:hAnsi="宋体" w:eastAsia="宋体" w:cs="宋体"/>
                <w:spacing w:val="-4"/>
                <w:sz w:val="24"/>
                <w:szCs w:val="24"/>
              </w:rPr>
              <w:t>大冻土深度</w:t>
            </w:r>
            <w:r>
              <w:rPr>
                <w:rFonts w:ascii="Times New Roman" w:hAnsi="Times New Roman" w:eastAsia="Times New Roman" w:cs="Times New Roman"/>
                <w:spacing w:val="-4"/>
                <w:sz w:val="24"/>
                <w:szCs w:val="24"/>
              </w:rPr>
              <w:t>119cm</w:t>
            </w:r>
            <w:r>
              <w:rPr>
                <w:rFonts w:ascii="宋体" w:hAnsi="宋体" w:eastAsia="宋体" w:cs="宋体"/>
                <w:spacing w:val="-4"/>
                <w:sz w:val="24"/>
                <w:szCs w:val="24"/>
              </w:rPr>
              <w:t>，</w:t>
            </w:r>
            <w:r>
              <w:rPr>
                <w:rFonts w:ascii="Times New Roman" w:hAnsi="Times New Roman" w:eastAsia="Times New Roman" w:cs="Times New Roman"/>
                <w:spacing w:val="-4"/>
                <w:sz w:val="24"/>
                <w:szCs w:val="24"/>
              </w:rPr>
              <w:t>11</w:t>
            </w:r>
            <w:r>
              <w:rPr>
                <w:rFonts w:ascii="宋体" w:hAnsi="宋体" w:eastAsia="宋体" w:cs="宋体"/>
                <w:spacing w:val="-4"/>
                <w:sz w:val="24"/>
                <w:szCs w:val="24"/>
              </w:rPr>
              <w:t>月中旬左右封冻。</w:t>
            </w:r>
          </w:p>
          <w:bookmarkEnd w:id="10"/>
          <w:p w14:paraId="35D20114">
            <w:pPr>
              <w:pStyle w:val="4"/>
              <w:bidi w:val="0"/>
            </w:pPr>
            <w:r>
              <w:rPr>
                <w:rFonts w:hint="eastAsia"/>
                <w:lang w:val="en-US" w:eastAsia="zh-CN"/>
              </w:rPr>
              <w:t>2.9.7</w:t>
            </w:r>
            <w:r>
              <w:t>施工工艺和方法</w:t>
            </w:r>
          </w:p>
          <w:p w14:paraId="261B1D7C">
            <w:pPr>
              <w:bidi w:val="0"/>
            </w:pPr>
            <w:r>
              <w:rPr>
                <w:rFonts w:hint="eastAsia"/>
                <w:lang w:val="en-US" w:eastAsia="zh-CN"/>
              </w:rPr>
              <w:t>(1)</w:t>
            </w:r>
            <w:r>
              <w:t>土方开挖</w:t>
            </w:r>
          </w:p>
          <w:p w14:paraId="01062DE2">
            <w:pPr>
              <w:bidi w:val="0"/>
            </w:pPr>
            <w:r>
              <w:t>本项目工程的土方开挖采用人工开挖的方法。开挖时应遵循如下规定要求。</w:t>
            </w:r>
          </w:p>
          <w:p w14:paraId="2365BC98">
            <w:pPr>
              <w:bidi w:val="0"/>
            </w:pPr>
            <w:r>
              <w:t>①对土方开挖应根据工程地质、降低地下水位措施和施工条件等情况，进行边坡稳定验算，其安全系数不得小于1.05。</w:t>
            </w:r>
          </w:p>
          <w:p w14:paraId="6B61AF61">
            <w:pPr>
              <w:bidi w:val="0"/>
            </w:pPr>
            <w:r>
              <w:t>②基础的开挖尺寸，除根据建筑物底部轮廓外，还应考虑排水设施和安装模板等施工需要，留有余地。</w:t>
            </w:r>
          </w:p>
          <w:p w14:paraId="54042043">
            <w:pPr>
              <w:bidi w:val="0"/>
            </w:pPr>
            <w:r>
              <w:t>③根据土质、气候和施工机具等情况，基坑底部应留有一定厚度的保护层，在底部砼施工前，分块突击开挖。</w:t>
            </w:r>
          </w:p>
          <w:p w14:paraId="1743EAB3">
            <w:pPr>
              <w:bidi w:val="0"/>
            </w:pPr>
            <w:r>
              <w:t>④在施工过程中，应尽量保持排水系统的通畅和检查边坡稳定情况，发现异常应及时采取措施。</w:t>
            </w:r>
          </w:p>
          <w:p w14:paraId="7469E979">
            <w:pPr>
              <w:bidi w:val="0"/>
            </w:pPr>
            <w:r>
              <w:t>⑤土方开挖，如采用机械化施工，则地下水位应保持低于开挖面下0.5米。</w:t>
            </w:r>
          </w:p>
          <w:p w14:paraId="0DB7A104">
            <w:pPr>
              <w:bidi w:val="0"/>
            </w:pPr>
            <w:r>
              <w:t>⑥土方工程施工中，应经常测量和校核其平面位置、水平标高和边坡坡度等是否符合设计要求，平面控制和水准点也应定期进行复测和检查是否正确。</w:t>
            </w:r>
          </w:p>
          <w:p w14:paraId="6D56D804">
            <w:pPr>
              <w:bidi w:val="0"/>
            </w:pPr>
            <w:r>
              <w:t>（2）土方夯填</w:t>
            </w:r>
          </w:p>
          <w:p w14:paraId="406E7FB9">
            <w:pPr>
              <w:bidi w:val="0"/>
            </w:pPr>
            <w:r>
              <w:t>土方夯填拟采用机械碾压压实措施进行，按设计图纸中的规定指示填筑，夯填土必须分层压实，达到设计图纸规定的干容重指标。夯填时应遵循如下规定要求：</w:t>
            </w:r>
          </w:p>
          <w:p w14:paraId="4157162D">
            <w:pPr>
              <w:bidi w:val="0"/>
            </w:pPr>
            <w:r>
              <w:t>①在开始夯填之前，应对填方基底和已完工作进度检查和中间验收，并做出记录，报请质量管理单位验收，未经验收不得开始夯填。夯填前，必须从基底处清除积水，且基层必须达到规定的密实度或干容重。</w:t>
            </w:r>
          </w:p>
          <w:p w14:paraId="143BA5DC">
            <w:pPr>
              <w:bidi w:val="0"/>
            </w:pPr>
            <w:r>
              <w:t>②在夯填期间，应保持夯填区无水。完工的结构物上部和周围应均匀分层夯填，以防止结构物受到不均匀负荷和外力，并应小心压实，每层铺土厚度和夯压遍数，应根据土质、压实系数和机具性能确定。碾压时，轨迹应相互搭接，防止漏压。</w:t>
            </w:r>
          </w:p>
          <w:p w14:paraId="4097D135">
            <w:pPr>
              <w:bidi w:val="0"/>
            </w:pPr>
            <w:r>
              <w:t>③填土前，必须选择土的试样按土工试验标准（SD28-84）进行实验室标准击实试验。应遵照规范的要求，首先从开挖土中选料进行，如开挖出的土不符合要求或符合要求而数量不足时，应另找合适的土料。回填土料硫酸盐含量要求＜2%。</w:t>
            </w:r>
          </w:p>
          <w:p w14:paraId="0DE84538">
            <w:pPr>
              <w:bidi w:val="0"/>
            </w:pPr>
            <w:r>
              <w:t>④控制所有夯填土的含水量，不得出现弹簧现象并选择合适的压实措施，（对于密度和检查试验按TJ-74规范进行），填筑土料和密度应符合规定和设计要求。</w:t>
            </w:r>
          </w:p>
          <w:p w14:paraId="26773741">
            <w:pPr>
              <w:bidi w:val="0"/>
            </w:pPr>
            <w:r>
              <w:t>⑤按夯填（包括结构内外）的时间和速度，保持平衡，尽量避免一边填土过高，另一边过低的现象发现。</w:t>
            </w:r>
          </w:p>
          <w:p w14:paraId="5547796A">
            <w:pPr>
              <w:bidi w:val="0"/>
            </w:pPr>
            <w:r>
              <w:t>⑥填土应分层进行，均衡上升，上下层的接缝应相互错开。各层密实度应符合设计要求，每层检验合格后方可进行下一层的铺筑。</w:t>
            </w:r>
          </w:p>
          <w:p w14:paraId="7152C836">
            <w:pPr>
              <w:bidi w:val="0"/>
            </w:pPr>
            <w:r>
              <w:t>⑦填筑土料应按设计要求预留沉降量，如设计无要求时，一般不超过填方高度的3%。</w:t>
            </w:r>
          </w:p>
          <w:p w14:paraId="0EB5DA3C">
            <w:pPr>
              <w:bidi w:val="0"/>
            </w:pPr>
            <w:r>
              <w:rPr>
                <w:rFonts w:hint="eastAsia"/>
                <w:lang w:val="en-US" w:eastAsia="zh-CN"/>
              </w:rPr>
              <w:t>(3)</w:t>
            </w:r>
            <w:r>
              <w:t>木桩护脚</w:t>
            </w:r>
          </w:p>
          <w:p w14:paraId="636AC3CB">
            <w:pPr>
              <w:bidi w:val="0"/>
            </w:pPr>
            <w:r>
              <w:t>木桩施工工序：制桩→桩位测量→打入圆木桩→安放竹篱片和土工布→横向联系杆加固→回填土。</w:t>
            </w:r>
          </w:p>
          <w:p w14:paraId="7139AF21">
            <w:pPr>
              <w:bidi w:val="0"/>
            </w:pPr>
            <w:r>
              <w:t>1）制桩：制桩用的松木挺直，可保持其原来的锥度，但小头直径与设计尺寸的误差不超过-1cm，单面弯曲度不大于3%。桩的下端削尖，一般根据土壤情况削成规则的三棱或四锥体，锥体长度为直径的1.5~2.0倍。桩尖端稍秃，以免打入时桩尖损坏，锥体各斜面与桩轴基本对称，桩尖的顶点在桩的轴线上，以保证打入时位置正确。</w:t>
            </w:r>
          </w:p>
          <w:p w14:paraId="31B80545">
            <w:pPr>
              <w:bidi w:val="0"/>
            </w:pPr>
            <w:r>
              <w:t>①桩径按设计要求严格控制，且外形直顺光圆；</w:t>
            </w:r>
          </w:p>
          <w:p w14:paraId="1EB77088">
            <w:pPr>
              <w:bidi w:val="0"/>
            </w:pPr>
            <w:r>
              <w:t>②小端削成20cm长的尖头，利于打入持力层；</w:t>
            </w:r>
          </w:p>
          <w:p w14:paraId="3387564D">
            <w:pPr>
              <w:bidi w:val="0"/>
            </w:pPr>
            <w:r>
              <w:t>③待准备好总桩数80%以上的桩时，调入挖泥船进行打桩施工，避免挖泥船待桩窝工；</w:t>
            </w:r>
          </w:p>
          <w:p w14:paraId="45DE7ED1">
            <w:pPr>
              <w:bidi w:val="0"/>
            </w:pPr>
            <w:r>
              <w:t>④将备好的桩按不同尺寸及其使用区域分别就位，为打桩做好准备；</w:t>
            </w:r>
          </w:p>
          <w:p w14:paraId="696CBF1F">
            <w:pPr>
              <w:bidi w:val="0"/>
            </w:pPr>
            <w:r>
              <w:t>⑤严禁使用沙杆等其他木材代替松木。</w:t>
            </w:r>
          </w:p>
          <w:p w14:paraId="5307BA3F">
            <w:pPr>
              <w:bidi w:val="0"/>
            </w:pPr>
            <w:r>
              <w:t>2）桩位测量：根据设计图纸进行桩位放样，在松木桩位置上用石灰线在现场标出，桩位偏差不超过3cm。</w:t>
            </w:r>
          </w:p>
          <w:p w14:paraId="30994E90">
            <w:pPr>
              <w:bidi w:val="0"/>
            </w:pPr>
            <w:r>
              <w:t>3）压桩：护岸圆木桩采用陆路6吨自卸车装运，现场人工布桩，挖机吊运、人工扶直就位、挖机铲斗压桩。压桩前必须先按放样轴线用钢钎探测桩位下有无障碍物，如发现障碍物必须先清除，以确保轴线及压桩质量。打桩前，桩顶须先截锯平整，其桩身需加以保护，不得有影响功能的碰撞伤痕，桩头部位宜采用铁丝扎紧。挖掘机打桩时，需两人扶桩就位，将挖斗倒扣在桩顶上，将木桩压入地基一定深度后，松木桩即可自稳，然后让扶桩人走开，让挖掘机将松木桩压到设计高程，一般3至5分钟即可压一根桩，工效极高。</w:t>
            </w:r>
          </w:p>
          <w:p w14:paraId="4C584ACA">
            <w:pPr>
              <w:bidi w:val="0"/>
            </w:pPr>
            <w:r>
              <w:t>4）安放土工格栅及回填土</w:t>
            </w:r>
          </w:p>
          <w:p w14:paraId="7EF14282">
            <w:pPr>
              <w:bidi w:val="0"/>
            </w:pPr>
            <w:r>
              <w:t>土工格栅的作用是防止桩后土体从桩后通过圆木桩缝隙流失，因此这一工序的注意事项有两点：一是必须确保土工格栅相互之间的搭接处不的出现空隙；二是必须确保二者的安放深度到位，即符合设计要求。在安土工格栅和土工布前，先用人工进行沟槽开挖，按照设计图纸开挖到位后，及时安放土工格栅，同时安放一段，回填一段，避免沟槽长时间外露，土工格栅搭接采用横向搭接，搭接宽度要符合设计要求，搭接位置与土工格栅搭接位置错开。</w:t>
            </w:r>
          </w:p>
          <w:p w14:paraId="69A9359D">
            <w:pPr>
              <w:bidi w:val="0"/>
            </w:pPr>
            <w:r>
              <w:rPr>
                <w:rFonts w:hint="eastAsia"/>
                <w:lang w:val="en-US" w:eastAsia="zh-CN"/>
              </w:rPr>
              <w:t>(4)</w:t>
            </w:r>
            <w:r>
              <w:t>低效林改造围栏</w:t>
            </w:r>
          </w:p>
          <w:p w14:paraId="751A0B20">
            <w:pPr>
              <w:bidi w:val="0"/>
            </w:pPr>
            <w:r>
              <w:t>1）在水保林外围布设围栏</w:t>
            </w:r>
          </w:p>
          <w:p w14:paraId="5FEB5FAF">
            <w:pPr>
              <w:bidi w:val="0"/>
            </w:pPr>
            <w:r>
              <w:t>放线：封禁围栏放线时每一段必须成一条直线，用三点定线法在挖坑处做好标记，坑距3m，如直线坡度大于25时可转角。</w:t>
            </w:r>
          </w:p>
          <w:p w14:paraId="2FA04974">
            <w:pPr>
              <w:bidi w:val="0"/>
            </w:pPr>
            <w:r>
              <w:t>挖坑：要求坑口尽量小，以放入桩为限，坑深＞50cm，坑过大填土不易捣实，易发生斜桩或倒桩现象，尽量避开裸岩地段。</w:t>
            </w:r>
          </w:p>
          <w:p w14:paraId="41CCFAE5">
            <w:pPr>
              <w:bidi w:val="0"/>
            </w:pPr>
            <w:r>
              <w:t>栽桩：框架护栏采用购买成品，钢制立柱，施工时检查桩坑是否在一条直线上，然后栽桩，每隔3m栽一固定桩，地形起伏较大时，依地形加密。栽桩后再检查各个桩是否在一条直线上，以便紧线时不致斜桩，最后将桩坑夯实。</w:t>
            </w:r>
          </w:p>
          <w:p w14:paraId="6293A92C">
            <w:pPr>
              <w:bidi w:val="0"/>
            </w:pPr>
            <w:r>
              <w:t>网片安装：网片高度1.8m，紧线器拉紧。</w:t>
            </w:r>
          </w:p>
          <w:p w14:paraId="28730AA6">
            <w:pPr>
              <w:bidi w:val="0"/>
              <w:rPr>
                <w:rFonts w:hint="default"/>
                <w:highlight w:val="none"/>
                <w:lang w:val="en-US" w:eastAsia="zh-CN"/>
              </w:rPr>
            </w:pPr>
            <w:r>
              <w:t>2）根据国家和市县政府的有关规定，制定村规民约，并由乡镇人民政府行文公告，做到家喻户晓，人人自觉遵守，禁止人畜破坏，确保封育区内植被能迅速得到恢复。</w:t>
            </w:r>
          </w:p>
        </w:tc>
      </w:tr>
      <w:tr w14:paraId="17FF4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 w:type="pct"/>
            <w:tcBorders>
              <w:left w:val="single" w:color="auto" w:sz="4" w:space="0"/>
            </w:tcBorders>
            <w:noWrap w:val="0"/>
            <w:vAlign w:val="center"/>
          </w:tcPr>
          <w:p w14:paraId="0989A0F7">
            <w:pPr>
              <w:adjustRightInd w:val="0"/>
              <w:snapToGrid w:val="0"/>
              <w:ind w:left="0" w:leftChars="0" w:firstLine="0" w:firstLineChars="0"/>
              <w:jc w:val="both"/>
              <w:rPr>
                <w:rFonts w:hint="default" w:ascii="Times New Roman" w:hAnsi="Times New Roman" w:eastAsia="仿宋_GB2312"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24"/>
                <w:szCs w:val="24"/>
                <w:highlight w:val="none"/>
                <w:lang w:val="en-US" w:eastAsia="zh-CN"/>
                <w14:textFill>
                  <w14:solidFill>
                    <w14:schemeClr w14:val="tx1"/>
                  </w14:solidFill>
                </w14:textFill>
              </w:rPr>
              <w:t>其他</w:t>
            </w:r>
          </w:p>
        </w:tc>
        <w:tc>
          <w:tcPr>
            <w:tcW w:w="4725" w:type="pct"/>
            <w:noWrap w:val="0"/>
            <w:vAlign w:val="center"/>
          </w:tcPr>
          <w:p w14:paraId="525617AC">
            <w:pPr>
              <w:bidi w:val="0"/>
              <w:rPr>
                <w:rFonts w:hint="default"/>
                <w:highlight w:val="none"/>
                <w:lang w:val="en-US" w:eastAsia="zh-CN"/>
              </w:rPr>
            </w:pPr>
            <w:r>
              <w:rPr>
                <w:rFonts w:hint="eastAsia"/>
                <w:highlight w:val="none"/>
                <w:lang w:val="en-US" w:eastAsia="zh-CN"/>
              </w:rPr>
              <w:t>2.10</w:t>
            </w:r>
            <w:r>
              <w:rPr>
                <w:rFonts w:hint="default"/>
                <w:highlight w:val="none"/>
                <w:lang w:val="en-US" w:eastAsia="zh-CN"/>
              </w:rPr>
              <w:t>施工总进度</w:t>
            </w:r>
          </w:p>
          <w:p w14:paraId="15DAA578">
            <w:pPr>
              <w:bidi w:val="0"/>
              <w:rPr>
                <w:rFonts w:hint="default"/>
                <w:highlight w:val="none"/>
                <w:lang w:val="en-US" w:eastAsia="zh-CN"/>
              </w:rPr>
            </w:pPr>
            <w:r>
              <w:rPr>
                <w:rFonts w:hint="default"/>
                <w:highlight w:val="none"/>
                <w:lang w:val="en-US" w:eastAsia="zh-CN"/>
              </w:rPr>
              <w:t>在充分考虑现状条件、劳力状况、资金状况等因素后，项目计划春季开工建设，当年年底全面结束，计划总工期9个月。工程建设尽量避开农忙季节、雨季，分阶段进行。</w:t>
            </w:r>
          </w:p>
          <w:p w14:paraId="68BB6BB5">
            <w:pPr>
              <w:bidi w:val="0"/>
              <w:rPr>
                <w:rFonts w:hint="default"/>
                <w:highlight w:val="none"/>
                <w:lang w:val="en-US" w:eastAsia="zh-CN"/>
              </w:rPr>
            </w:pPr>
            <w:r>
              <w:rPr>
                <w:rFonts w:hint="default"/>
                <w:highlight w:val="none"/>
                <w:lang w:val="en-US" w:eastAsia="zh-CN"/>
              </w:rPr>
              <w:t>工程措施：主要包括沙化路铺设、阴沟治理、田间U型渠道；土方开挖采用挖掘机开挖，自卸汽车拉运，局部边缘采用人工挖装；土方夯填采用人工配合小型挖掘机推运、平整、压实机压实；砼施工采用搅拌机拌料，拖拉机拉运；工程部分的施工主要为</w:t>
            </w:r>
            <w:r>
              <w:rPr>
                <w:rFonts w:hint="eastAsia"/>
                <w:highlight w:val="none"/>
                <w:lang w:val="en-US" w:eastAsia="zh-CN"/>
              </w:rPr>
              <w:t>6</w:t>
            </w:r>
            <w:r>
              <w:rPr>
                <w:rFonts w:hint="default"/>
                <w:highlight w:val="none"/>
                <w:lang w:val="en-US" w:eastAsia="zh-CN"/>
              </w:rPr>
              <w:t>月中旬到</w:t>
            </w:r>
            <w:r>
              <w:rPr>
                <w:rFonts w:hint="eastAsia"/>
                <w:highlight w:val="none"/>
                <w:lang w:val="en-US" w:eastAsia="zh-CN"/>
              </w:rPr>
              <w:t>8</w:t>
            </w:r>
            <w:r>
              <w:rPr>
                <w:rFonts w:hint="default"/>
                <w:highlight w:val="none"/>
                <w:lang w:val="en-US" w:eastAsia="zh-CN"/>
              </w:rPr>
              <w:t>月、9月至10月完成。</w:t>
            </w:r>
          </w:p>
          <w:p w14:paraId="64786739">
            <w:pPr>
              <w:bidi w:val="0"/>
              <w:rPr>
                <w:rFonts w:hint="default"/>
                <w:highlight w:val="none"/>
                <w:lang w:val="en-US" w:eastAsia="zh-CN"/>
              </w:rPr>
            </w:pPr>
            <w:r>
              <w:rPr>
                <w:rFonts w:hint="default"/>
                <w:highlight w:val="none"/>
                <w:lang w:val="en-US" w:eastAsia="zh-CN"/>
              </w:rPr>
              <w:t>造林：尽可能在春季完成整地，有利于容蓄雨水，促进生土熟化；栽植时苗木扶直栽正，根系舒展，深浅适度，填土时应先填表土、湿土，后填生土干土，分层踩实，墒情不好时，要浇灌透水，再覆盖一层虚土，以利保墒；林草措施计划从</w:t>
            </w:r>
            <w:r>
              <w:rPr>
                <w:rFonts w:hint="eastAsia"/>
                <w:highlight w:val="none"/>
                <w:lang w:val="en-US" w:eastAsia="zh-CN"/>
              </w:rPr>
              <w:t>5</w:t>
            </w:r>
            <w:r>
              <w:rPr>
                <w:rFonts w:hint="default"/>
                <w:highlight w:val="none"/>
                <w:lang w:val="en-US" w:eastAsia="zh-CN"/>
              </w:rPr>
              <w:t>月初开始全面整地，</w:t>
            </w:r>
            <w:r>
              <w:rPr>
                <w:rFonts w:hint="eastAsia"/>
                <w:highlight w:val="none"/>
                <w:lang w:val="en-US" w:eastAsia="zh-CN"/>
              </w:rPr>
              <w:t>6</w:t>
            </w:r>
            <w:r>
              <w:rPr>
                <w:rFonts w:hint="default"/>
                <w:highlight w:val="none"/>
                <w:lang w:val="en-US" w:eastAsia="zh-CN"/>
              </w:rPr>
              <w:t>月末结束，整地和栽植交叉进行，栽植为</w:t>
            </w:r>
            <w:r>
              <w:rPr>
                <w:rFonts w:hint="eastAsia"/>
                <w:highlight w:val="none"/>
                <w:lang w:val="en-US" w:eastAsia="zh-CN"/>
              </w:rPr>
              <w:t>5</w:t>
            </w:r>
            <w:r>
              <w:rPr>
                <w:rFonts w:hint="default"/>
                <w:highlight w:val="none"/>
                <w:lang w:val="en-US" w:eastAsia="zh-CN"/>
              </w:rPr>
              <w:t>月中旬到</w:t>
            </w:r>
            <w:r>
              <w:rPr>
                <w:rFonts w:hint="eastAsia"/>
                <w:highlight w:val="none"/>
                <w:lang w:val="en-US" w:eastAsia="zh-CN"/>
              </w:rPr>
              <w:t>6</w:t>
            </w:r>
            <w:r>
              <w:rPr>
                <w:rFonts w:hint="default"/>
                <w:highlight w:val="none"/>
                <w:lang w:val="en-US" w:eastAsia="zh-CN"/>
              </w:rPr>
              <w:t>月末结束，9月至10月开展造林补植补种措施。</w:t>
            </w:r>
          </w:p>
          <w:p w14:paraId="754708D0">
            <w:pPr>
              <w:bidi w:val="0"/>
              <w:rPr>
                <w:rFonts w:hint="default"/>
                <w:highlight w:val="none"/>
                <w:lang w:val="en-US" w:eastAsia="zh-CN"/>
              </w:rPr>
            </w:pPr>
            <w:r>
              <w:rPr>
                <w:rFonts w:hint="default"/>
                <w:highlight w:val="none"/>
                <w:lang w:val="en-US" w:eastAsia="zh-CN"/>
              </w:rPr>
              <w:t>本项目综合治理进度安排详见表</w:t>
            </w:r>
            <w:r>
              <w:rPr>
                <w:rFonts w:hint="eastAsia"/>
                <w:highlight w:val="none"/>
                <w:lang w:val="en-US" w:eastAsia="zh-CN"/>
              </w:rPr>
              <w:t>2</w:t>
            </w:r>
            <w:r>
              <w:rPr>
                <w:rFonts w:hint="default"/>
                <w:highlight w:val="none"/>
                <w:lang w:val="en-US" w:eastAsia="zh-CN"/>
              </w:rPr>
              <w:t>.</w:t>
            </w:r>
            <w:r>
              <w:rPr>
                <w:rFonts w:hint="eastAsia"/>
                <w:highlight w:val="none"/>
                <w:lang w:val="en-US" w:eastAsia="zh-CN"/>
              </w:rPr>
              <w:t>10</w:t>
            </w:r>
            <w:r>
              <w:rPr>
                <w:rFonts w:hint="default"/>
                <w:highlight w:val="none"/>
                <w:lang w:val="en-US" w:eastAsia="zh-CN"/>
              </w:rPr>
              <w:t>-1。</w:t>
            </w:r>
          </w:p>
          <w:p w14:paraId="49F9FFB7">
            <w:pPr>
              <w:bidi w:val="0"/>
              <w:jc w:val="center"/>
              <w:rPr>
                <w:rFonts w:hint="default"/>
                <w:highlight w:val="none"/>
                <w:lang w:val="en-US" w:eastAsia="zh-CN"/>
              </w:rPr>
            </w:pPr>
            <w:r>
              <w:rPr>
                <w:rFonts w:hint="eastAsia"/>
                <w:highlight w:val="none"/>
                <w:lang w:val="en-US" w:eastAsia="zh-CN"/>
              </w:rPr>
              <w:t>表2.10-1施工</w:t>
            </w:r>
            <w:r>
              <w:rPr>
                <w:rFonts w:hint="default"/>
                <w:highlight w:val="none"/>
                <w:lang w:val="en-US" w:eastAsia="zh-CN"/>
              </w:rPr>
              <w:t>进度计划表</w:t>
            </w:r>
          </w:p>
          <w:tbl>
            <w:tblPr>
              <w:tblStyle w:val="79"/>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2"/>
              <w:gridCol w:w="599"/>
              <w:gridCol w:w="602"/>
              <w:gridCol w:w="569"/>
              <w:gridCol w:w="569"/>
              <w:gridCol w:w="569"/>
              <w:gridCol w:w="574"/>
              <w:gridCol w:w="574"/>
              <w:gridCol w:w="569"/>
              <w:gridCol w:w="574"/>
              <w:gridCol w:w="580"/>
              <w:gridCol w:w="771"/>
            </w:tblGrid>
            <w:tr w14:paraId="1461F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3" w:hRule="atLeast"/>
              </w:trPr>
              <w:tc>
                <w:tcPr>
                  <w:tcW w:w="742" w:type="pct"/>
                  <w:vMerge w:val="restart"/>
                  <w:tcBorders>
                    <w:bottom w:val="nil"/>
                  </w:tcBorders>
                  <w:vAlign w:val="center"/>
                </w:tcPr>
                <w:p w14:paraId="45FEF783">
                  <w:pPr>
                    <w:pStyle w:val="51"/>
                    <w:bidi w:val="0"/>
                  </w:pPr>
                  <w:r>
                    <w:t>施工进度</w:t>
                  </w:r>
                </w:p>
              </w:tc>
              <w:tc>
                <w:tcPr>
                  <w:tcW w:w="389" w:type="pct"/>
                  <w:vMerge w:val="restart"/>
                  <w:tcBorders>
                    <w:bottom w:val="nil"/>
                  </w:tcBorders>
                  <w:vAlign w:val="center"/>
                </w:tcPr>
                <w:p w14:paraId="3A39B1D7">
                  <w:pPr>
                    <w:pStyle w:val="51"/>
                    <w:bidi w:val="0"/>
                  </w:pPr>
                  <w:r>
                    <w:t>单位</w:t>
                  </w:r>
                </w:p>
              </w:tc>
              <w:tc>
                <w:tcPr>
                  <w:tcW w:w="391" w:type="pct"/>
                  <w:vMerge w:val="restart"/>
                  <w:tcBorders>
                    <w:bottom w:val="nil"/>
                  </w:tcBorders>
                  <w:vAlign w:val="center"/>
                </w:tcPr>
                <w:p w14:paraId="41A937C9">
                  <w:pPr>
                    <w:pStyle w:val="51"/>
                    <w:bidi w:val="0"/>
                  </w:pPr>
                  <w:r>
                    <w:t>数量</w:t>
                  </w:r>
                </w:p>
              </w:tc>
              <w:tc>
                <w:tcPr>
                  <w:tcW w:w="3476" w:type="pct"/>
                  <w:gridSpan w:val="9"/>
                  <w:vAlign w:val="center"/>
                </w:tcPr>
                <w:p w14:paraId="05F9112C">
                  <w:pPr>
                    <w:pStyle w:val="51"/>
                    <w:bidi w:val="0"/>
                  </w:pPr>
                  <w:r>
                    <w:t>实施进度</w:t>
                  </w:r>
                </w:p>
              </w:tc>
            </w:tr>
            <w:tr w14:paraId="66F3E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742" w:type="pct"/>
                  <w:vMerge w:val="continue"/>
                  <w:tcBorders>
                    <w:top w:val="nil"/>
                  </w:tcBorders>
                  <w:vAlign w:val="center"/>
                </w:tcPr>
                <w:p w14:paraId="4C83136F">
                  <w:pPr>
                    <w:pStyle w:val="51"/>
                    <w:bidi w:val="0"/>
                  </w:pPr>
                </w:p>
              </w:tc>
              <w:tc>
                <w:tcPr>
                  <w:tcW w:w="389" w:type="pct"/>
                  <w:vMerge w:val="continue"/>
                  <w:tcBorders>
                    <w:top w:val="nil"/>
                  </w:tcBorders>
                  <w:vAlign w:val="center"/>
                </w:tcPr>
                <w:p w14:paraId="49BA4A11">
                  <w:pPr>
                    <w:pStyle w:val="51"/>
                    <w:bidi w:val="0"/>
                  </w:pPr>
                </w:p>
              </w:tc>
              <w:tc>
                <w:tcPr>
                  <w:tcW w:w="391" w:type="pct"/>
                  <w:vMerge w:val="continue"/>
                  <w:tcBorders>
                    <w:top w:val="nil"/>
                  </w:tcBorders>
                  <w:vAlign w:val="center"/>
                </w:tcPr>
                <w:p w14:paraId="59D9B66F">
                  <w:pPr>
                    <w:pStyle w:val="51"/>
                    <w:bidi w:val="0"/>
                  </w:pPr>
                </w:p>
              </w:tc>
              <w:tc>
                <w:tcPr>
                  <w:tcW w:w="369" w:type="pct"/>
                  <w:vAlign w:val="center"/>
                </w:tcPr>
                <w:p w14:paraId="5FF064F0">
                  <w:pPr>
                    <w:pStyle w:val="51"/>
                    <w:bidi w:val="0"/>
                  </w:pPr>
                  <w:r>
                    <w:rPr>
                      <w:rFonts w:hint="eastAsia"/>
                      <w:lang w:val="en-US" w:eastAsia="zh-CN"/>
                    </w:rPr>
                    <w:t>4</w:t>
                  </w:r>
                  <w:r>
                    <w:t>月</w:t>
                  </w:r>
                </w:p>
              </w:tc>
              <w:tc>
                <w:tcPr>
                  <w:tcW w:w="369" w:type="pct"/>
                  <w:vAlign w:val="center"/>
                </w:tcPr>
                <w:p w14:paraId="5B9C02AE">
                  <w:pPr>
                    <w:pStyle w:val="51"/>
                    <w:bidi w:val="0"/>
                  </w:pPr>
                  <w:r>
                    <w:rPr>
                      <w:rFonts w:hint="eastAsia"/>
                      <w:lang w:val="en-US" w:eastAsia="zh-CN"/>
                    </w:rPr>
                    <w:t>5</w:t>
                  </w:r>
                  <w:r>
                    <w:t>月</w:t>
                  </w:r>
                </w:p>
              </w:tc>
              <w:tc>
                <w:tcPr>
                  <w:tcW w:w="369" w:type="pct"/>
                  <w:vAlign w:val="center"/>
                </w:tcPr>
                <w:p w14:paraId="75993EC5">
                  <w:pPr>
                    <w:pStyle w:val="51"/>
                    <w:bidi w:val="0"/>
                  </w:pPr>
                  <w:r>
                    <w:rPr>
                      <w:rFonts w:hint="eastAsia"/>
                      <w:lang w:val="en-US" w:eastAsia="zh-CN"/>
                    </w:rPr>
                    <w:t>6</w:t>
                  </w:r>
                  <w:r>
                    <w:t>月</w:t>
                  </w:r>
                </w:p>
              </w:tc>
              <w:tc>
                <w:tcPr>
                  <w:tcW w:w="373" w:type="pct"/>
                  <w:vAlign w:val="center"/>
                </w:tcPr>
                <w:p w14:paraId="153AC2EE">
                  <w:pPr>
                    <w:pStyle w:val="51"/>
                    <w:bidi w:val="0"/>
                  </w:pPr>
                  <w:r>
                    <w:rPr>
                      <w:rFonts w:hint="eastAsia"/>
                      <w:lang w:val="en-US" w:eastAsia="zh-CN"/>
                    </w:rPr>
                    <w:t>7</w:t>
                  </w:r>
                  <w:r>
                    <w:t>月</w:t>
                  </w:r>
                </w:p>
              </w:tc>
              <w:tc>
                <w:tcPr>
                  <w:tcW w:w="373" w:type="pct"/>
                  <w:vAlign w:val="center"/>
                </w:tcPr>
                <w:p w14:paraId="1D74A5A7">
                  <w:pPr>
                    <w:pStyle w:val="51"/>
                    <w:bidi w:val="0"/>
                  </w:pPr>
                  <w:r>
                    <w:rPr>
                      <w:rFonts w:hint="eastAsia"/>
                      <w:lang w:val="en-US" w:eastAsia="zh-CN"/>
                    </w:rPr>
                    <w:t>8</w:t>
                  </w:r>
                  <w:r>
                    <w:t>月</w:t>
                  </w:r>
                </w:p>
              </w:tc>
              <w:tc>
                <w:tcPr>
                  <w:tcW w:w="369" w:type="pct"/>
                  <w:vAlign w:val="center"/>
                </w:tcPr>
                <w:p w14:paraId="712A45C4">
                  <w:pPr>
                    <w:pStyle w:val="51"/>
                    <w:bidi w:val="0"/>
                  </w:pPr>
                  <w:r>
                    <w:rPr>
                      <w:rFonts w:hint="eastAsia"/>
                      <w:lang w:val="en-US" w:eastAsia="zh-CN"/>
                    </w:rPr>
                    <w:t>9</w:t>
                  </w:r>
                  <w:r>
                    <w:t>月</w:t>
                  </w:r>
                </w:p>
              </w:tc>
              <w:tc>
                <w:tcPr>
                  <w:tcW w:w="373" w:type="pct"/>
                  <w:vAlign w:val="center"/>
                </w:tcPr>
                <w:p w14:paraId="659F60F9">
                  <w:pPr>
                    <w:pStyle w:val="51"/>
                    <w:bidi w:val="0"/>
                  </w:pPr>
                  <w:r>
                    <w:t>1</w:t>
                  </w:r>
                  <w:r>
                    <w:rPr>
                      <w:rFonts w:hint="eastAsia"/>
                      <w:lang w:val="en-US" w:eastAsia="zh-CN"/>
                    </w:rPr>
                    <w:t>0</w:t>
                  </w:r>
                  <w:r>
                    <w:t>月</w:t>
                  </w:r>
                </w:p>
              </w:tc>
              <w:tc>
                <w:tcPr>
                  <w:tcW w:w="377" w:type="pct"/>
                  <w:vAlign w:val="center"/>
                </w:tcPr>
                <w:p w14:paraId="15D8D7D9">
                  <w:pPr>
                    <w:pStyle w:val="51"/>
                    <w:bidi w:val="0"/>
                  </w:pPr>
                  <w:r>
                    <w:t>1</w:t>
                  </w:r>
                  <w:r>
                    <w:rPr>
                      <w:rFonts w:hint="eastAsia"/>
                      <w:lang w:val="en-US" w:eastAsia="zh-CN"/>
                    </w:rPr>
                    <w:t>1</w:t>
                  </w:r>
                  <w:r>
                    <w:t>月</w:t>
                  </w:r>
                </w:p>
              </w:tc>
              <w:tc>
                <w:tcPr>
                  <w:tcW w:w="501" w:type="pct"/>
                  <w:vAlign w:val="center"/>
                </w:tcPr>
                <w:p w14:paraId="251F692C">
                  <w:pPr>
                    <w:pStyle w:val="51"/>
                    <w:bidi w:val="0"/>
                  </w:pPr>
                  <w:r>
                    <w:t>1</w:t>
                  </w:r>
                  <w:r>
                    <w:rPr>
                      <w:rFonts w:hint="eastAsia"/>
                      <w:lang w:val="en-US" w:eastAsia="zh-CN"/>
                    </w:rPr>
                    <w:t>2</w:t>
                  </w:r>
                  <w:r>
                    <w:t>月</w:t>
                  </w:r>
                </w:p>
              </w:tc>
            </w:tr>
            <w:tr w14:paraId="1D2F4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1523" w:type="pct"/>
                  <w:gridSpan w:val="3"/>
                  <w:vAlign w:val="center"/>
                </w:tcPr>
                <w:p w14:paraId="572B08FC">
                  <w:pPr>
                    <w:pStyle w:val="51"/>
                    <w:bidi w:val="0"/>
                  </w:pPr>
                  <w:r>
                    <w:t>施工准备</w:t>
                  </w:r>
                </w:p>
              </w:tc>
              <w:tc>
                <w:tcPr>
                  <w:tcW w:w="369" w:type="pct"/>
                  <w:vAlign w:val="center"/>
                </w:tcPr>
                <w:p w14:paraId="3EF144F8">
                  <w:pPr>
                    <w:pStyle w:val="51"/>
                    <w:bidi w:val="0"/>
                  </w:pPr>
                  <w:r>
                    <w:drawing>
                      <wp:inline distT="0" distB="0" distL="0" distR="0">
                        <wp:extent cx="219710" cy="28575"/>
                        <wp:effectExtent l="0" t="0" r="8890" b="9525"/>
                        <wp:docPr id="41" name="IM 38"/>
                        <wp:cNvGraphicFramePr/>
                        <a:graphic xmlns:a="http://schemas.openxmlformats.org/drawingml/2006/main">
                          <a:graphicData uri="http://schemas.openxmlformats.org/drawingml/2006/picture">
                            <pic:pic xmlns:pic="http://schemas.openxmlformats.org/drawingml/2006/picture">
                              <pic:nvPicPr>
                                <pic:cNvPr id="41" name="IM 38"/>
                                <pic:cNvPicPr/>
                              </pic:nvPicPr>
                              <pic:blipFill>
                                <a:blip r:embed="rId18"/>
                                <a:stretch>
                                  <a:fillRect/>
                                </a:stretch>
                              </pic:blipFill>
                              <pic:spPr>
                                <a:xfrm>
                                  <a:off x="0" y="0"/>
                                  <a:ext cx="219786" cy="29209"/>
                                </a:xfrm>
                                <a:prstGeom prst="rect">
                                  <a:avLst/>
                                </a:prstGeom>
                              </pic:spPr>
                            </pic:pic>
                          </a:graphicData>
                        </a:graphic>
                      </wp:inline>
                    </w:drawing>
                  </w:r>
                </w:p>
              </w:tc>
              <w:tc>
                <w:tcPr>
                  <w:tcW w:w="369" w:type="pct"/>
                  <w:vAlign w:val="center"/>
                </w:tcPr>
                <w:p w14:paraId="37FDA747">
                  <w:pPr>
                    <w:pStyle w:val="51"/>
                    <w:bidi w:val="0"/>
                  </w:pPr>
                </w:p>
              </w:tc>
              <w:tc>
                <w:tcPr>
                  <w:tcW w:w="369" w:type="pct"/>
                  <w:vAlign w:val="center"/>
                </w:tcPr>
                <w:p w14:paraId="3221A1BF">
                  <w:pPr>
                    <w:pStyle w:val="51"/>
                    <w:bidi w:val="0"/>
                  </w:pPr>
                </w:p>
              </w:tc>
              <w:tc>
                <w:tcPr>
                  <w:tcW w:w="373" w:type="pct"/>
                  <w:vAlign w:val="center"/>
                </w:tcPr>
                <w:p w14:paraId="56946E34">
                  <w:pPr>
                    <w:pStyle w:val="51"/>
                    <w:bidi w:val="0"/>
                  </w:pPr>
                </w:p>
              </w:tc>
              <w:tc>
                <w:tcPr>
                  <w:tcW w:w="373" w:type="pct"/>
                  <w:vAlign w:val="center"/>
                </w:tcPr>
                <w:p w14:paraId="08CA063D">
                  <w:pPr>
                    <w:pStyle w:val="51"/>
                    <w:bidi w:val="0"/>
                  </w:pPr>
                </w:p>
              </w:tc>
              <w:tc>
                <w:tcPr>
                  <w:tcW w:w="369" w:type="pct"/>
                  <w:vAlign w:val="center"/>
                </w:tcPr>
                <w:p w14:paraId="78964612">
                  <w:pPr>
                    <w:pStyle w:val="51"/>
                    <w:bidi w:val="0"/>
                  </w:pPr>
                </w:p>
              </w:tc>
              <w:tc>
                <w:tcPr>
                  <w:tcW w:w="373" w:type="pct"/>
                  <w:vAlign w:val="center"/>
                </w:tcPr>
                <w:p w14:paraId="5F66E4D2">
                  <w:pPr>
                    <w:pStyle w:val="51"/>
                    <w:bidi w:val="0"/>
                  </w:pPr>
                </w:p>
              </w:tc>
              <w:tc>
                <w:tcPr>
                  <w:tcW w:w="377" w:type="pct"/>
                  <w:vAlign w:val="center"/>
                </w:tcPr>
                <w:p w14:paraId="49C68013">
                  <w:pPr>
                    <w:pStyle w:val="51"/>
                    <w:bidi w:val="0"/>
                  </w:pPr>
                </w:p>
              </w:tc>
              <w:tc>
                <w:tcPr>
                  <w:tcW w:w="501" w:type="pct"/>
                  <w:vAlign w:val="center"/>
                </w:tcPr>
                <w:p w14:paraId="3F805028">
                  <w:pPr>
                    <w:pStyle w:val="51"/>
                    <w:bidi w:val="0"/>
                  </w:pPr>
                </w:p>
              </w:tc>
            </w:tr>
            <w:tr w14:paraId="515C7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1" w:hRule="atLeast"/>
              </w:trPr>
              <w:tc>
                <w:tcPr>
                  <w:tcW w:w="742" w:type="pct"/>
                  <w:vMerge w:val="restart"/>
                  <w:tcBorders>
                    <w:bottom w:val="nil"/>
                  </w:tcBorders>
                  <w:vAlign w:val="center"/>
                </w:tcPr>
                <w:p w14:paraId="767FB20E">
                  <w:pPr>
                    <w:pStyle w:val="51"/>
                    <w:bidi w:val="0"/>
                  </w:pPr>
                  <w:r>
                    <w:t>水保林</w:t>
                  </w:r>
                </w:p>
              </w:tc>
              <w:tc>
                <w:tcPr>
                  <w:tcW w:w="389" w:type="pct"/>
                  <w:vMerge w:val="restart"/>
                  <w:tcBorders>
                    <w:bottom w:val="nil"/>
                  </w:tcBorders>
                  <w:vAlign w:val="center"/>
                </w:tcPr>
                <w:p w14:paraId="3FE78A8C">
                  <w:pPr>
                    <w:pStyle w:val="51"/>
                    <w:bidi w:val="0"/>
                  </w:pPr>
                  <w:r>
                    <w:t>hm2</w:t>
                  </w:r>
                </w:p>
              </w:tc>
              <w:tc>
                <w:tcPr>
                  <w:tcW w:w="391" w:type="pct"/>
                  <w:vMerge w:val="restart"/>
                  <w:tcBorders>
                    <w:bottom w:val="nil"/>
                  </w:tcBorders>
                  <w:vAlign w:val="center"/>
                </w:tcPr>
                <w:p w14:paraId="5D17CEBD">
                  <w:pPr>
                    <w:pStyle w:val="51"/>
                    <w:bidi w:val="0"/>
                  </w:pPr>
                  <w:r>
                    <w:t>12.08</w:t>
                  </w:r>
                </w:p>
              </w:tc>
              <w:tc>
                <w:tcPr>
                  <w:tcW w:w="369" w:type="pct"/>
                  <w:vMerge w:val="restart"/>
                  <w:tcBorders>
                    <w:bottom w:val="nil"/>
                  </w:tcBorders>
                  <w:vAlign w:val="center"/>
                </w:tcPr>
                <w:p w14:paraId="44B2BEF4">
                  <w:pPr>
                    <w:pStyle w:val="51"/>
                    <w:bidi w:val="0"/>
                  </w:pPr>
                </w:p>
              </w:tc>
              <w:tc>
                <w:tcPr>
                  <w:tcW w:w="369" w:type="pct"/>
                  <w:tcBorders>
                    <w:bottom w:val="single" w:color="000000" w:sz="20" w:space="0"/>
                  </w:tcBorders>
                  <w:vAlign w:val="center"/>
                </w:tcPr>
                <w:p w14:paraId="7701E0AE">
                  <w:pPr>
                    <w:pStyle w:val="51"/>
                    <w:bidi w:val="0"/>
                  </w:pPr>
                </w:p>
              </w:tc>
              <w:tc>
                <w:tcPr>
                  <w:tcW w:w="369" w:type="pct"/>
                  <w:vMerge w:val="restart"/>
                  <w:tcBorders>
                    <w:bottom w:val="nil"/>
                  </w:tcBorders>
                  <w:vAlign w:val="center"/>
                </w:tcPr>
                <w:p w14:paraId="5A5615F5">
                  <w:pPr>
                    <w:pStyle w:val="51"/>
                    <w:bidi w:val="0"/>
                  </w:pPr>
                </w:p>
              </w:tc>
              <w:tc>
                <w:tcPr>
                  <w:tcW w:w="373" w:type="pct"/>
                  <w:vMerge w:val="restart"/>
                  <w:tcBorders>
                    <w:bottom w:val="nil"/>
                  </w:tcBorders>
                  <w:vAlign w:val="center"/>
                </w:tcPr>
                <w:p w14:paraId="75B2F761">
                  <w:pPr>
                    <w:pStyle w:val="51"/>
                    <w:bidi w:val="0"/>
                  </w:pPr>
                </w:p>
              </w:tc>
              <w:tc>
                <w:tcPr>
                  <w:tcW w:w="373" w:type="pct"/>
                  <w:vMerge w:val="restart"/>
                  <w:tcBorders>
                    <w:bottom w:val="nil"/>
                  </w:tcBorders>
                  <w:vAlign w:val="center"/>
                </w:tcPr>
                <w:p w14:paraId="0F868069">
                  <w:pPr>
                    <w:pStyle w:val="51"/>
                    <w:bidi w:val="0"/>
                  </w:pPr>
                </w:p>
              </w:tc>
              <w:tc>
                <w:tcPr>
                  <w:tcW w:w="369" w:type="pct"/>
                  <w:tcBorders>
                    <w:bottom w:val="single" w:color="000000" w:sz="18" w:space="0"/>
                  </w:tcBorders>
                  <w:vAlign w:val="center"/>
                </w:tcPr>
                <w:p w14:paraId="48FDE3C0">
                  <w:pPr>
                    <w:pStyle w:val="51"/>
                    <w:bidi w:val="0"/>
                  </w:pPr>
                </w:p>
              </w:tc>
              <w:tc>
                <w:tcPr>
                  <w:tcW w:w="373" w:type="pct"/>
                  <w:vMerge w:val="restart"/>
                  <w:tcBorders>
                    <w:bottom w:val="nil"/>
                  </w:tcBorders>
                  <w:vAlign w:val="center"/>
                </w:tcPr>
                <w:p w14:paraId="5E30F80F">
                  <w:pPr>
                    <w:pStyle w:val="51"/>
                    <w:bidi w:val="0"/>
                  </w:pPr>
                </w:p>
              </w:tc>
              <w:tc>
                <w:tcPr>
                  <w:tcW w:w="377" w:type="pct"/>
                  <w:vMerge w:val="restart"/>
                  <w:tcBorders>
                    <w:bottom w:val="nil"/>
                  </w:tcBorders>
                  <w:vAlign w:val="center"/>
                </w:tcPr>
                <w:p w14:paraId="2D509325">
                  <w:pPr>
                    <w:pStyle w:val="51"/>
                    <w:bidi w:val="0"/>
                  </w:pPr>
                </w:p>
              </w:tc>
              <w:tc>
                <w:tcPr>
                  <w:tcW w:w="501" w:type="pct"/>
                  <w:vMerge w:val="restart"/>
                  <w:tcBorders>
                    <w:bottom w:val="nil"/>
                  </w:tcBorders>
                  <w:vAlign w:val="center"/>
                </w:tcPr>
                <w:p w14:paraId="6886C494">
                  <w:pPr>
                    <w:pStyle w:val="51"/>
                    <w:bidi w:val="0"/>
                  </w:pPr>
                </w:p>
              </w:tc>
            </w:tr>
            <w:tr w14:paraId="523CE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2" w:hRule="atLeast"/>
              </w:trPr>
              <w:tc>
                <w:tcPr>
                  <w:tcW w:w="742" w:type="pct"/>
                  <w:vMerge w:val="continue"/>
                  <w:tcBorders>
                    <w:top w:val="nil"/>
                  </w:tcBorders>
                  <w:vAlign w:val="center"/>
                </w:tcPr>
                <w:p w14:paraId="795FCE54">
                  <w:pPr>
                    <w:pStyle w:val="51"/>
                    <w:bidi w:val="0"/>
                  </w:pPr>
                </w:p>
              </w:tc>
              <w:tc>
                <w:tcPr>
                  <w:tcW w:w="389" w:type="pct"/>
                  <w:vMerge w:val="continue"/>
                  <w:tcBorders>
                    <w:top w:val="nil"/>
                  </w:tcBorders>
                  <w:vAlign w:val="center"/>
                </w:tcPr>
                <w:p w14:paraId="36D4A9E2">
                  <w:pPr>
                    <w:pStyle w:val="51"/>
                    <w:bidi w:val="0"/>
                  </w:pPr>
                </w:p>
              </w:tc>
              <w:tc>
                <w:tcPr>
                  <w:tcW w:w="391" w:type="pct"/>
                  <w:vMerge w:val="continue"/>
                  <w:tcBorders>
                    <w:top w:val="nil"/>
                  </w:tcBorders>
                  <w:vAlign w:val="center"/>
                </w:tcPr>
                <w:p w14:paraId="63887F5D">
                  <w:pPr>
                    <w:pStyle w:val="51"/>
                    <w:bidi w:val="0"/>
                  </w:pPr>
                </w:p>
              </w:tc>
              <w:tc>
                <w:tcPr>
                  <w:tcW w:w="369" w:type="pct"/>
                  <w:vMerge w:val="continue"/>
                  <w:tcBorders>
                    <w:top w:val="nil"/>
                  </w:tcBorders>
                  <w:vAlign w:val="center"/>
                </w:tcPr>
                <w:p w14:paraId="2104F4E8">
                  <w:pPr>
                    <w:pStyle w:val="51"/>
                    <w:bidi w:val="0"/>
                  </w:pPr>
                </w:p>
              </w:tc>
              <w:tc>
                <w:tcPr>
                  <w:tcW w:w="369" w:type="pct"/>
                  <w:tcBorders>
                    <w:top w:val="single" w:color="000000" w:sz="20" w:space="0"/>
                  </w:tcBorders>
                  <w:vAlign w:val="center"/>
                </w:tcPr>
                <w:p w14:paraId="0E6964D5">
                  <w:pPr>
                    <w:pStyle w:val="51"/>
                    <w:bidi w:val="0"/>
                  </w:pPr>
                </w:p>
              </w:tc>
              <w:tc>
                <w:tcPr>
                  <w:tcW w:w="369" w:type="pct"/>
                  <w:vMerge w:val="continue"/>
                  <w:tcBorders>
                    <w:top w:val="nil"/>
                  </w:tcBorders>
                  <w:vAlign w:val="center"/>
                </w:tcPr>
                <w:p w14:paraId="0BE0F9DD">
                  <w:pPr>
                    <w:pStyle w:val="51"/>
                    <w:bidi w:val="0"/>
                  </w:pPr>
                </w:p>
              </w:tc>
              <w:tc>
                <w:tcPr>
                  <w:tcW w:w="373" w:type="pct"/>
                  <w:vMerge w:val="continue"/>
                  <w:tcBorders>
                    <w:top w:val="nil"/>
                  </w:tcBorders>
                  <w:vAlign w:val="center"/>
                </w:tcPr>
                <w:p w14:paraId="7ED9A863">
                  <w:pPr>
                    <w:pStyle w:val="51"/>
                    <w:bidi w:val="0"/>
                  </w:pPr>
                </w:p>
              </w:tc>
              <w:tc>
                <w:tcPr>
                  <w:tcW w:w="373" w:type="pct"/>
                  <w:vMerge w:val="continue"/>
                  <w:tcBorders>
                    <w:top w:val="nil"/>
                  </w:tcBorders>
                  <w:vAlign w:val="center"/>
                </w:tcPr>
                <w:p w14:paraId="027624A1">
                  <w:pPr>
                    <w:pStyle w:val="51"/>
                    <w:bidi w:val="0"/>
                  </w:pPr>
                </w:p>
              </w:tc>
              <w:tc>
                <w:tcPr>
                  <w:tcW w:w="369" w:type="pct"/>
                  <w:tcBorders>
                    <w:top w:val="single" w:color="000000" w:sz="18" w:space="0"/>
                  </w:tcBorders>
                  <w:vAlign w:val="center"/>
                </w:tcPr>
                <w:p w14:paraId="398258C9">
                  <w:pPr>
                    <w:pStyle w:val="51"/>
                    <w:bidi w:val="0"/>
                  </w:pPr>
                </w:p>
              </w:tc>
              <w:tc>
                <w:tcPr>
                  <w:tcW w:w="373" w:type="pct"/>
                  <w:vMerge w:val="continue"/>
                  <w:tcBorders>
                    <w:top w:val="nil"/>
                  </w:tcBorders>
                  <w:vAlign w:val="center"/>
                </w:tcPr>
                <w:p w14:paraId="64695A34">
                  <w:pPr>
                    <w:pStyle w:val="51"/>
                    <w:bidi w:val="0"/>
                  </w:pPr>
                </w:p>
              </w:tc>
              <w:tc>
                <w:tcPr>
                  <w:tcW w:w="377" w:type="pct"/>
                  <w:vMerge w:val="continue"/>
                  <w:tcBorders>
                    <w:top w:val="nil"/>
                  </w:tcBorders>
                  <w:vAlign w:val="center"/>
                </w:tcPr>
                <w:p w14:paraId="2652F2EF">
                  <w:pPr>
                    <w:pStyle w:val="51"/>
                    <w:bidi w:val="0"/>
                  </w:pPr>
                </w:p>
              </w:tc>
              <w:tc>
                <w:tcPr>
                  <w:tcW w:w="501" w:type="pct"/>
                  <w:vMerge w:val="continue"/>
                  <w:tcBorders>
                    <w:top w:val="nil"/>
                  </w:tcBorders>
                  <w:vAlign w:val="center"/>
                </w:tcPr>
                <w:p w14:paraId="1835A020">
                  <w:pPr>
                    <w:pStyle w:val="51"/>
                    <w:bidi w:val="0"/>
                  </w:pPr>
                </w:p>
              </w:tc>
            </w:tr>
            <w:tr w14:paraId="29E2A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8" w:hRule="atLeast"/>
              </w:trPr>
              <w:tc>
                <w:tcPr>
                  <w:tcW w:w="742" w:type="pct"/>
                  <w:vMerge w:val="restart"/>
                  <w:tcBorders>
                    <w:bottom w:val="nil"/>
                  </w:tcBorders>
                  <w:vAlign w:val="center"/>
                </w:tcPr>
                <w:p w14:paraId="548B6768">
                  <w:pPr>
                    <w:pStyle w:val="51"/>
                    <w:bidi w:val="0"/>
                  </w:pPr>
                  <w:r>
                    <w:t>阴沟治理</w:t>
                  </w:r>
                </w:p>
              </w:tc>
              <w:tc>
                <w:tcPr>
                  <w:tcW w:w="389" w:type="pct"/>
                  <w:vMerge w:val="restart"/>
                  <w:tcBorders>
                    <w:bottom w:val="nil"/>
                  </w:tcBorders>
                  <w:vAlign w:val="center"/>
                </w:tcPr>
                <w:p w14:paraId="693840D7">
                  <w:pPr>
                    <w:pStyle w:val="51"/>
                    <w:bidi w:val="0"/>
                  </w:pPr>
                  <w:r>
                    <w:t>km</w:t>
                  </w:r>
                </w:p>
              </w:tc>
              <w:tc>
                <w:tcPr>
                  <w:tcW w:w="391" w:type="pct"/>
                  <w:vMerge w:val="restart"/>
                  <w:tcBorders>
                    <w:bottom w:val="nil"/>
                  </w:tcBorders>
                  <w:vAlign w:val="center"/>
                </w:tcPr>
                <w:p w14:paraId="2A26FD64">
                  <w:pPr>
                    <w:pStyle w:val="51"/>
                    <w:bidi w:val="0"/>
                  </w:pPr>
                  <w:r>
                    <w:t>3.20</w:t>
                  </w:r>
                </w:p>
              </w:tc>
              <w:tc>
                <w:tcPr>
                  <w:tcW w:w="369" w:type="pct"/>
                  <w:vMerge w:val="restart"/>
                  <w:tcBorders>
                    <w:bottom w:val="nil"/>
                  </w:tcBorders>
                  <w:vAlign w:val="center"/>
                </w:tcPr>
                <w:p w14:paraId="7ED03846">
                  <w:pPr>
                    <w:pStyle w:val="51"/>
                    <w:bidi w:val="0"/>
                  </w:pPr>
                </w:p>
              </w:tc>
              <w:tc>
                <w:tcPr>
                  <w:tcW w:w="369" w:type="pct"/>
                  <w:vMerge w:val="restart"/>
                  <w:tcBorders>
                    <w:bottom w:val="nil"/>
                  </w:tcBorders>
                  <w:vAlign w:val="center"/>
                </w:tcPr>
                <w:p w14:paraId="5F81E417">
                  <w:pPr>
                    <w:pStyle w:val="51"/>
                    <w:bidi w:val="0"/>
                  </w:pPr>
                </w:p>
              </w:tc>
              <w:tc>
                <w:tcPr>
                  <w:tcW w:w="369" w:type="pct"/>
                  <w:vMerge w:val="restart"/>
                  <w:tcBorders>
                    <w:bottom w:val="nil"/>
                  </w:tcBorders>
                  <w:vAlign w:val="center"/>
                </w:tcPr>
                <w:p w14:paraId="2B14C2D1">
                  <w:pPr>
                    <w:pStyle w:val="51"/>
                    <w:bidi w:val="0"/>
                  </w:pPr>
                </w:p>
              </w:tc>
              <w:tc>
                <w:tcPr>
                  <w:tcW w:w="373" w:type="pct"/>
                  <w:vMerge w:val="restart"/>
                  <w:tcBorders>
                    <w:bottom w:val="nil"/>
                  </w:tcBorders>
                  <w:vAlign w:val="center"/>
                </w:tcPr>
                <w:p w14:paraId="3AC234BF">
                  <w:pPr>
                    <w:pStyle w:val="51"/>
                    <w:bidi w:val="0"/>
                  </w:pPr>
                </w:p>
              </w:tc>
              <w:tc>
                <w:tcPr>
                  <w:tcW w:w="373" w:type="pct"/>
                  <w:vMerge w:val="restart"/>
                  <w:tcBorders>
                    <w:bottom w:val="nil"/>
                  </w:tcBorders>
                  <w:vAlign w:val="center"/>
                </w:tcPr>
                <w:p w14:paraId="19C8E788">
                  <w:pPr>
                    <w:pStyle w:val="51"/>
                    <w:bidi w:val="0"/>
                  </w:pPr>
                </w:p>
              </w:tc>
              <w:tc>
                <w:tcPr>
                  <w:tcW w:w="369" w:type="pct"/>
                  <w:tcBorders>
                    <w:bottom w:val="single" w:color="000000" w:sz="22" w:space="0"/>
                  </w:tcBorders>
                  <w:vAlign w:val="center"/>
                </w:tcPr>
                <w:p w14:paraId="7D29E5F0">
                  <w:pPr>
                    <w:pStyle w:val="51"/>
                    <w:bidi w:val="0"/>
                  </w:pPr>
                </w:p>
              </w:tc>
              <w:tc>
                <w:tcPr>
                  <w:tcW w:w="373" w:type="pct"/>
                  <w:tcBorders>
                    <w:bottom w:val="single" w:color="000000" w:sz="22" w:space="0"/>
                  </w:tcBorders>
                  <w:vAlign w:val="center"/>
                </w:tcPr>
                <w:p w14:paraId="0DC849B0">
                  <w:pPr>
                    <w:pStyle w:val="51"/>
                    <w:bidi w:val="0"/>
                  </w:pPr>
                </w:p>
              </w:tc>
              <w:tc>
                <w:tcPr>
                  <w:tcW w:w="377" w:type="pct"/>
                  <w:tcBorders>
                    <w:bottom w:val="single" w:color="000000" w:sz="22" w:space="0"/>
                  </w:tcBorders>
                  <w:vAlign w:val="center"/>
                </w:tcPr>
                <w:p w14:paraId="3C1549A3">
                  <w:pPr>
                    <w:pStyle w:val="51"/>
                    <w:bidi w:val="0"/>
                  </w:pPr>
                </w:p>
              </w:tc>
              <w:tc>
                <w:tcPr>
                  <w:tcW w:w="501" w:type="pct"/>
                  <w:vMerge w:val="restart"/>
                  <w:tcBorders>
                    <w:bottom w:val="nil"/>
                  </w:tcBorders>
                  <w:vAlign w:val="center"/>
                </w:tcPr>
                <w:p w14:paraId="1D71A934">
                  <w:pPr>
                    <w:pStyle w:val="51"/>
                    <w:bidi w:val="0"/>
                  </w:pPr>
                </w:p>
              </w:tc>
            </w:tr>
            <w:tr w14:paraId="6C4EE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 w:hRule="atLeast"/>
              </w:trPr>
              <w:tc>
                <w:tcPr>
                  <w:tcW w:w="742" w:type="pct"/>
                  <w:vMerge w:val="continue"/>
                  <w:tcBorders>
                    <w:top w:val="nil"/>
                    <w:bottom w:val="nil"/>
                  </w:tcBorders>
                  <w:vAlign w:val="center"/>
                </w:tcPr>
                <w:p w14:paraId="6204CDF0">
                  <w:pPr>
                    <w:pStyle w:val="51"/>
                    <w:bidi w:val="0"/>
                  </w:pPr>
                </w:p>
              </w:tc>
              <w:tc>
                <w:tcPr>
                  <w:tcW w:w="389" w:type="pct"/>
                  <w:vMerge w:val="continue"/>
                  <w:tcBorders>
                    <w:top w:val="nil"/>
                    <w:bottom w:val="nil"/>
                  </w:tcBorders>
                  <w:vAlign w:val="center"/>
                </w:tcPr>
                <w:p w14:paraId="25350E3D">
                  <w:pPr>
                    <w:pStyle w:val="51"/>
                    <w:bidi w:val="0"/>
                  </w:pPr>
                </w:p>
              </w:tc>
              <w:tc>
                <w:tcPr>
                  <w:tcW w:w="391" w:type="pct"/>
                  <w:vMerge w:val="continue"/>
                  <w:tcBorders>
                    <w:top w:val="nil"/>
                    <w:bottom w:val="nil"/>
                  </w:tcBorders>
                  <w:vAlign w:val="center"/>
                </w:tcPr>
                <w:p w14:paraId="6FAEFC71">
                  <w:pPr>
                    <w:pStyle w:val="51"/>
                    <w:bidi w:val="0"/>
                  </w:pPr>
                </w:p>
              </w:tc>
              <w:tc>
                <w:tcPr>
                  <w:tcW w:w="369" w:type="pct"/>
                  <w:vMerge w:val="continue"/>
                  <w:tcBorders>
                    <w:top w:val="nil"/>
                    <w:bottom w:val="nil"/>
                  </w:tcBorders>
                  <w:vAlign w:val="center"/>
                </w:tcPr>
                <w:p w14:paraId="55A03ECB">
                  <w:pPr>
                    <w:pStyle w:val="51"/>
                    <w:bidi w:val="0"/>
                  </w:pPr>
                </w:p>
              </w:tc>
              <w:tc>
                <w:tcPr>
                  <w:tcW w:w="369" w:type="pct"/>
                  <w:vMerge w:val="continue"/>
                  <w:tcBorders>
                    <w:top w:val="nil"/>
                    <w:bottom w:val="single" w:color="000000" w:sz="20" w:space="0"/>
                  </w:tcBorders>
                  <w:vAlign w:val="center"/>
                </w:tcPr>
                <w:p w14:paraId="0B4A9D6D">
                  <w:pPr>
                    <w:pStyle w:val="51"/>
                    <w:bidi w:val="0"/>
                  </w:pPr>
                </w:p>
              </w:tc>
              <w:tc>
                <w:tcPr>
                  <w:tcW w:w="369" w:type="pct"/>
                  <w:vMerge w:val="continue"/>
                  <w:tcBorders>
                    <w:top w:val="nil"/>
                    <w:bottom w:val="nil"/>
                  </w:tcBorders>
                  <w:vAlign w:val="center"/>
                </w:tcPr>
                <w:p w14:paraId="16FA43B5">
                  <w:pPr>
                    <w:pStyle w:val="51"/>
                    <w:bidi w:val="0"/>
                  </w:pPr>
                </w:p>
              </w:tc>
              <w:tc>
                <w:tcPr>
                  <w:tcW w:w="373" w:type="pct"/>
                  <w:vMerge w:val="continue"/>
                  <w:tcBorders>
                    <w:top w:val="nil"/>
                    <w:bottom w:val="nil"/>
                  </w:tcBorders>
                  <w:vAlign w:val="center"/>
                </w:tcPr>
                <w:p w14:paraId="4CBC05E0">
                  <w:pPr>
                    <w:pStyle w:val="51"/>
                    <w:bidi w:val="0"/>
                  </w:pPr>
                </w:p>
              </w:tc>
              <w:tc>
                <w:tcPr>
                  <w:tcW w:w="373" w:type="pct"/>
                  <w:vMerge w:val="continue"/>
                  <w:tcBorders>
                    <w:top w:val="nil"/>
                    <w:bottom w:val="nil"/>
                  </w:tcBorders>
                  <w:vAlign w:val="center"/>
                </w:tcPr>
                <w:p w14:paraId="506616AD">
                  <w:pPr>
                    <w:pStyle w:val="51"/>
                    <w:bidi w:val="0"/>
                  </w:pPr>
                </w:p>
              </w:tc>
              <w:tc>
                <w:tcPr>
                  <w:tcW w:w="369" w:type="pct"/>
                  <w:vMerge w:val="restart"/>
                  <w:tcBorders>
                    <w:top w:val="single" w:color="000000" w:sz="22" w:space="0"/>
                    <w:bottom w:val="nil"/>
                  </w:tcBorders>
                  <w:vAlign w:val="center"/>
                </w:tcPr>
                <w:p w14:paraId="67D1899E">
                  <w:pPr>
                    <w:pStyle w:val="51"/>
                    <w:bidi w:val="0"/>
                  </w:pPr>
                </w:p>
              </w:tc>
              <w:tc>
                <w:tcPr>
                  <w:tcW w:w="373" w:type="pct"/>
                  <w:vMerge w:val="restart"/>
                  <w:tcBorders>
                    <w:top w:val="single" w:color="000000" w:sz="22" w:space="0"/>
                    <w:bottom w:val="nil"/>
                  </w:tcBorders>
                  <w:vAlign w:val="center"/>
                </w:tcPr>
                <w:p w14:paraId="4F8224A1">
                  <w:pPr>
                    <w:pStyle w:val="51"/>
                    <w:bidi w:val="0"/>
                  </w:pPr>
                </w:p>
              </w:tc>
              <w:tc>
                <w:tcPr>
                  <w:tcW w:w="377" w:type="pct"/>
                  <w:vMerge w:val="restart"/>
                  <w:tcBorders>
                    <w:top w:val="single" w:color="000000" w:sz="22" w:space="0"/>
                    <w:bottom w:val="nil"/>
                  </w:tcBorders>
                  <w:vAlign w:val="center"/>
                </w:tcPr>
                <w:p w14:paraId="61F65528">
                  <w:pPr>
                    <w:pStyle w:val="51"/>
                    <w:bidi w:val="0"/>
                  </w:pPr>
                </w:p>
              </w:tc>
              <w:tc>
                <w:tcPr>
                  <w:tcW w:w="501" w:type="pct"/>
                  <w:vMerge w:val="continue"/>
                  <w:tcBorders>
                    <w:top w:val="nil"/>
                    <w:bottom w:val="nil"/>
                  </w:tcBorders>
                  <w:vAlign w:val="center"/>
                </w:tcPr>
                <w:p w14:paraId="6722452F">
                  <w:pPr>
                    <w:pStyle w:val="51"/>
                    <w:bidi w:val="0"/>
                  </w:pPr>
                </w:p>
              </w:tc>
            </w:tr>
            <w:tr w14:paraId="28963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 w:hRule="atLeast"/>
              </w:trPr>
              <w:tc>
                <w:tcPr>
                  <w:tcW w:w="742" w:type="pct"/>
                  <w:vMerge w:val="continue"/>
                  <w:tcBorders>
                    <w:top w:val="nil"/>
                  </w:tcBorders>
                  <w:vAlign w:val="center"/>
                </w:tcPr>
                <w:p w14:paraId="19774FF8">
                  <w:pPr>
                    <w:pStyle w:val="51"/>
                    <w:bidi w:val="0"/>
                  </w:pPr>
                </w:p>
              </w:tc>
              <w:tc>
                <w:tcPr>
                  <w:tcW w:w="389" w:type="pct"/>
                  <w:vMerge w:val="continue"/>
                  <w:tcBorders>
                    <w:top w:val="nil"/>
                  </w:tcBorders>
                  <w:vAlign w:val="center"/>
                </w:tcPr>
                <w:p w14:paraId="4DD1D6FB">
                  <w:pPr>
                    <w:pStyle w:val="51"/>
                    <w:bidi w:val="0"/>
                  </w:pPr>
                </w:p>
              </w:tc>
              <w:tc>
                <w:tcPr>
                  <w:tcW w:w="391" w:type="pct"/>
                  <w:vMerge w:val="continue"/>
                  <w:tcBorders>
                    <w:top w:val="nil"/>
                  </w:tcBorders>
                  <w:vAlign w:val="center"/>
                </w:tcPr>
                <w:p w14:paraId="6A619792">
                  <w:pPr>
                    <w:pStyle w:val="51"/>
                    <w:bidi w:val="0"/>
                  </w:pPr>
                </w:p>
              </w:tc>
              <w:tc>
                <w:tcPr>
                  <w:tcW w:w="369" w:type="pct"/>
                  <w:vMerge w:val="continue"/>
                  <w:tcBorders>
                    <w:top w:val="nil"/>
                  </w:tcBorders>
                  <w:vAlign w:val="center"/>
                </w:tcPr>
                <w:p w14:paraId="3DDC4829">
                  <w:pPr>
                    <w:pStyle w:val="51"/>
                    <w:bidi w:val="0"/>
                  </w:pPr>
                </w:p>
              </w:tc>
              <w:tc>
                <w:tcPr>
                  <w:tcW w:w="369" w:type="pct"/>
                  <w:tcBorders>
                    <w:top w:val="single" w:color="000000" w:sz="20" w:space="0"/>
                  </w:tcBorders>
                  <w:vAlign w:val="center"/>
                </w:tcPr>
                <w:p w14:paraId="39191D58">
                  <w:pPr>
                    <w:pStyle w:val="51"/>
                    <w:bidi w:val="0"/>
                  </w:pPr>
                </w:p>
              </w:tc>
              <w:tc>
                <w:tcPr>
                  <w:tcW w:w="369" w:type="pct"/>
                  <w:vMerge w:val="continue"/>
                  <w:tcBorders>
                    <w:top w:val="nil"/>
                  </w:tcBorders>
                  <w:vAlign w:val="center"/>
                </w:tcPr>
                <w:p w14:paraId="2FEF691E">
                  <w:pPr>
                    <w:pStyle w:val="51"/>
                    <w:bidi w:val="0"/>
                  </w:pPr>
                </w:p>
              </w:tc>
              <w:tc>
                <w:tcPr>
                  <w:tcW w:w="373" w:type="pct"/>
                  <w:vMerge w:val="continue"/>
                  <w:tcBorders>
                    <w:top w:val="nil"/>
                  </w:tcBorders>
                  <w:vAlign w:val="center"/>
                </w:tcPr>
                <w:p w14:paraId="728D3ADC">
                  <w:pPr>
                    <w:pStyle w:val="51"/>
                    <w:bidi w:val="0"/>
                  </w:pPr>
                </w:p>
              </w:tc>
              <w:tc>
                <w:tcPr>
                  <w:tcW w:w="373" w:type="pct"/>
                  <w:vMerge w:val="continue"/>
                  <w:tcBorders>
                    <w:top w:val="nil"/>
                  </w:tcBorders>
                  <w:vAlign w:val="center"/>
                </w:tcPr>
                <w:p w14:paraId="1BD494FA">
                  <w:pPr>
                    <w:pStyle w:val="51"/>
                    <w:bidi w:val="0"/>
                  </w:pPr>
                </w:p>
              </w:tc>
              <w:tc>
                <w:tcPr>
                  <w:tcW w:w="369" w:type="pct"/>
                  <w:vMerge w:val="continue"/>
                  <w:tcBorders>
                    <w:top w:val="nil"/>
                  </w:tcBorders>
                  <w:vAlign w:val="center"/>
                </w:tcPr>
                <w:p w14:paraId="2004B6F6">
                  <w:pPr>
                    <w:pStyle w:val="51"/>
                    <w:bidi w:val="0"/>
                  </w:pPr>
                </w:p>
              </w:tc>
              <w:tc>
                <w:tcPr>
                  <w:tcW w:w="373" w:type="pct"/>
                  <w:vMerge w:val="continue"/>
                  <w:tcBorders>
                    <w:top w:val="nil"/>
                  </w:tcBorders>
                  <w:vAlign w:val="center"/>
                </w:tcPr>
                <w:p w14:paraId="2A998DBA">
                  <w:pPr>
                    <w:pStyle w:val="51"/>
                    <w:bidi w:val="0"/>
                  </w:pPr>
                </w:p>
              </w:tc>
              <w:tc>
                <w:tcPr>
                  <w:tcW w:w="377" w:type="pct"/>
                  <w:vMerge w:val="continue"/>
                  <w:tcBorders>
                    <w:top w:val="nil"/>
                  </w:tcBorders>
                  <w:vAlign w:val="center"/>
                </w:tcPr>
                <w:p w14:paraId="6A78B3DC">
                  <w:pPr>
                    <w:pStyle w:val="51"/>
                    <w:bidi w:val="0"/>
                  </w:pPr>
                </w:p>
              </w:tc>
              <w:tc>
                <w:tcPr>
                  <w:tcW w:w="501" w:type="pct"/>
                  <w:vMerge w:val="continue"/>
                  <w:tcBorders>
                    <w:top w:val="nil"/>
                  </w:tcBorders>
                  <w:vAlign w:val="center"/>
                </w:tcPr>
                <w:p w14:paraId="05E24F84">
                  <w:pPr>
                    <w:pStyle w:val="51"/>
                    <w:bidi w:val="0"/>
                  </w:pPr>
                </w:p>
              </w:tc>
            </w:tr>
            <w:tr w14:paraId="6255B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 w:hRule="atLeast"/>
              </w:trPr>
              <w:tc>
                <w:tcPr>
                  <w:tcW w:w="742" w:type="pct"/>
                  <w:vMerge w:val="restart"/>
                  <w:tcBorders>
                    <w:bottom w:val="nil"/>
                  </w:tcBorders>
                  <w:vAlign w:val="center"/>
                </w:tcPr>
                <w:p w14:paraId="6E531335">
                  <w:pPr>
                    <w:pStyle w:val="51"/>
                    <w:bidi w:val="0"/>
                  </w:pPr>
                  <w:r>
                    <w:t>农田退水渠</w:t>
                  </w:r>
                </w:p>
              </w:tc>
              <w:tc>
                <w:tcPr>
                  <w:tcW w:w="389" w:type="pct"/>
                  <w:vMerge w:val="restart"/>
                  <w:tcBorders>
                    <w:bottom w:val="nil"/>
                  </w:tcBorders>
                  <w:vAlign w:val="center"/>
                </w:tcPr>
                <w:p w14:paraId="063DB6B3">
                  <w:pPr>
                    <w:pStyle w:val="51"/>
                    <w:bidi w:val="0"/>
                  </w:pPr>
                  <w:r>
                    <w:t>km</w:t>
                  </w:r>
                </w:p>
              </w:tc>
              <w:tc>
                <w:tcPr>
                  <w:tcW w:w="391" w:type="pct"/>
                  <w:vMerge w:val="restart"/>
                  <w:tcBorders>
                    <w:bottom w:val="nil"/>
                  </w:tcBorders>
                  <w:vAlign w:val="center"/>
                </w:tcPr>
                <w:p w14:paraId="2259F1AE">
                  <w:pPr>
                    <w:pStyle w:val="51"/>
                    <w:bidi w:val="0"/>
                  </w:pPr>
                  <w:r>
                    <w:t>2.4</w:t>
                  </w:r>
                </w:p>
              </w:tc>
              <w:tc>
                <w:tcPr>
                  <w:tcW w:w="369" w:type="pct"/>
                  <w:vMerge w:val="restart"/>
                  <w:tcBorders>
                    <w:bottom w:val="nil"/>
                  </w:tcBorders>
                  <w:vAlign w:val="center"/>
                </w:tcPr>
                <w:p w14:paraId="5EDFD4E5">
                  <w:pPr>
                    <w:pStyle w:val="51"/>
                    <w:bidi w:val="0"/>
                  </w:pPr>
                </w:p>
              </w:tc>
              <w:tc>
                <w:tcPr>
                  <w:tcW w:w="369" w:type="pct"/>
                  <w:tcBorders>
                    <w:bottom w:val="single" w:color="000000" w:sz="20" w:space="0"/>
                  </w:tcBorders>
                  <w:vAlign w:val="center"/>
                </w:tcPr>
                <w:p w14:paraId="17CE8E0A">
                  <w:pPr>
                    <w:pStyle w:val="51"/>
                    <w:bidi w:val="0"/>
                  </w:pPr>
                </w:p>
              </w:tc>
              <w:tc>
                <w:tcPr>
                  <w:tcW w:w="369" w:type="pct"/>
                  <w:vMerge w:val="restart"/>
                  <w:tcBorders>
                    <w:bottom w:val="nil"/>
                  </w:tcBorders>
                  <w:vAlign w:val="center"/>
                </w:tcPr>
                <w:p w14:paraId="60DC7091">
                  <w:pPr>
                    <w:pStyle w:val="51"/>
                    <w:bidi w:val="0"/>
                  </w:pPr>
                </w:p>
              </w:tc>
              <w:tc>
                <w:tcPr>
                  <w:tcW w:w="373" w:type="pct"/>
                  <w:vMerge w:val="restart"/>
                  <w:tcBorders>
                    <w:bottom w:val="nil"/>
                  </w:tcBorders>
                  <w:vAlign w:val="center"/>
                </w:tcPr>
                <w:p w14:paraId="4596D51C">
                  <w:pPr>
                    <w:pStyle w:val="51"/>
                    <w:bidi w:val="0"/>
                  </w:pPr>
                </w:p>
              </w:tc>
              <w:tc>
                <w:tcPr>
                  <w:tcW w:w="373" w:type="pct"/>
                  <w:vMerge w:val="restart"/>
                  <w:tcBorders>
                    <w:bottom w:val="nil"/>
                  </w:tcBorders>
                  <w:vAlign w:val="center"/>
                </w:tcPr>
                <w:p w14:paraId="122F2E1D">
                  <w:pPr>
                    <w:pStyle w:val="51"/>
                    <w:bidi w:val="0"/>
                  </w:pPr>
                </w:p>
              </w:tc>
              <w:tc>
                <w:tcPr>
                  <w:tcW w:w="369" w:type="pct"/>
                  <w:vMerge w:val="restart"/>
                  <w:tcBorders>
                    <w:bottom w:val="nil"/>
                  </w:tcBorders>
                  <w:vAlign w:val="center"/>
                </w:tcPr>
                <w:p w14:paraId="7EB8A718">
                  <w:pPr>
                    <w:pStyle w:val="51"/>
                    <w:bidi w:val="0"/>
                  </w:pPr>
                </w:p>
              </w:tc>
              <w:tc>
                <w:tcPr>
                  <w:tcW w:w="373" w:type="pct"/>
                  <w:vMerge w:val="restart"/>
                  <w:tcBorders>
                    <w:bottom w:val="nil"/>
                  </w:tcBorders>
                  <w:vAlign w:val="center"/>
                </w:tcPr>
                <w:p w14:paraId="6EFCB58F">
                  <w:pPr>
                    <w:pStyle w:val="51"/>
                    <w:bidi w:val="0"/>
                  </w:pPr>
                </w:p>
              </w:tc>
              <w:tc>
                <w:tcPr>
                  <w:tcW w:w="377" w:type="pct"/>
                  <w:vMerge w:val="restart"/>
                  <w:tcBorders>
                    <w:bottom w:val="nil"/>
                  </w:tcBorders>
                  <w:vAlign w:val="center"/>
                </w:tcPr>
                <w:p w14:paraId="3CD1AD4C">
                  <w:pPr>
                    <w:pStyle w:val="51"/>
                    <w:bidi w:val="0"/>
                  </w:pPr>
                </w:p>
              </w:tc>
              <w:tc>
                <w:tcPr>
                  <w:tcW w:w="501" w:type="pct"/>
                  <w:vMerge w:val="restart"/>
                  <w:tcBorders>
                    <w:bottom w:val="nil"/>
                  </w:tcBorders>
                  <w:vAlign w:val="center"/>
                </w:tcPr>
                <w:p w14:paraId="0C44C83C">
                  <w:pPr>
                    <w:pStyle w:val="51"/>
                    <w:bidi w:val="0"/>
                  </w:pPr>
                </w:p>
              </w:tc>
            </w:tr>
            <w:tr w14:paraId="5B808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 w:hRule="atLeast"/>
              </w:trPr>
              <w:tc>
                <w:tcPr>
                  <w:tcW w:w="742" w:type="pct"/>
                  <w:vMerge w:val="continue"/>
                  <w:tcBorders>
                    <w:top w:val="nil"/>
                    <w:bottom w:val="nil"/>
                  </w:tcBorders>
                  <w:vAlign w:val="center"/>
                </w:tcPr>
                <w:p w14:paraId="2D46CF77">
                  <w:pPr>
                    <w:pStyle w:val="51"/>
                    <w:bidi w:val="0"/>
                  </w:pPr>
                </w:p>
              </w:tc>
              <w:tc>
                <w:tcPr>
                  <w:tcW w:w="389" w:type="pct"/>
                  <w:vMerge w:val="continue"/>
                  <w:tcBorders>
                    <w:top w:val="nil"/>
                    <w:bottom w:val="nil"/>
                  </w:tcBorders>
                  <w:vAlign w:val="center"/>
                </w:tcPr>
                <w:p w14:paraId="373B175C">
                  <w:pPr>
                    <w:pStyle w:val="51"/>
                    <w:bidi w:val="0"/>
                  </w:pPr>
                </w:p>
              </w:tc>
              <w:tc>
                <w:tcPr>
                  <w:tcW w:w="391" w:type="pct"/>
                  <w:vMerge w:val="continue"/>
                  <w:tcBorders>
                    <w:top w:val="nil"/>
                    <w:bottom w:val="nil"/>
                  </w:tcBorders>
                  <w:vAlign w:val="center"/>
                </w:tcPr>
                <w:p w14:paraId="0C042131">
                  <w:pPr>
                    <w:pStyle w:val="51"/>
                    <w:bidi w:val="0"/>
                  </w:pPr>
                </w:p>
              </w:tc>
              <w:tc>
                <w:tcPr>
                  <w:tcW w:w="369" w:type="pct"/>
                  <w:vMerge w:val="continue"/>
                  <w:tcBorders>
                    <w:top w:val="nil"/>
                    <w:bottom w:val="nil"/>
                  </w:tcBorders>
                  <w:vAlign w:val="center"/>
                </w:tcPr>
                <w:p w14:paraId="2F5B6C2C">
                  <w:pPr>
                    <w:pStyle w:val="51"/>
                    <w:bidi w:val="0"/>
                  </w:pPr>
                </w:p>
              </w:tc>
              <w:tc>
                <w:tcPr>
                  <w:tcW w:w="369" w:type="pct"/>
                  <w:vMerge w:val="restart"/>
                  <w:tcBorders>
                    <w:top w:val="single" w:color="000000" w:sz="20" w:space="0"/>
                    <w:bottom w:val="nil"/>
                  </w:tcBorders>
                  <w:vAlign w:val="center"/>
                </w:tcPr>
                <w:p w14:paraId="7F286C16">
                  <w:pPr>
                    <w:pStyle w:val="51"/>
                    <w:bidi w:val="0"/>
                  </w:pPr>
                </w:p>
              </w:tc>
              <w:tc>
                <w:tcPr>
                  <w:tcW w:w="369" w:type="pct"/>
                  <w:vMerge w:val="continue"/>
                  <w:tcBorders>
                    <w:top w:val="nil"/>
                    <w:bottom w:val="nil"/>
                  </w:tcBorders>
                  <w:vAlign w:val="center"/>
                </w:tcPr>
                <w:p w14:paraId="403B5E92">
                  <w:pPr>
                    <w:pStyle w:val="51"/>
                    <w:bidi w:val="0"/>
                  </w:pPr>
                </w:p>
              </w:tc>
              <w:tc>
                <w:tcPr>
                  <w:tcW w:w="373" w:type="pct"/>
                  <w:vMerge w:val="continue"/>
                  <w:tcBorders>
                    <w:top w:val="nil"/>
                    <w:bottom w:val="nil"/>
                  </w:tcBorders>
                  <w:vAlign w:val="center"/>
                </w:tcPr>
                <w:p w14:paraId="3C5E4E82">
                  <w:pPr>
                    <w:pStyle w:val="51"/>
                    <w:bidi w:val="0"/>
                  </w:pPr>
                </w:p>
              </w:tc>
              <w:tc>
                <w:tcPr>
                  <w:tcW w:w="373" w:type="pct"/>
                  <w:vMerge w:val="continue"/>
                  <w:tcBorders>
                    <w:top w:val="nil"/>
                    <w:bottom w:val="nil"/>
                  </w:tcBorders>
                  <w:vAlign w:val="center"/>
                </w:tcPr>
                <w:p w14:paraId="57DA2C6E">
                  <w:pPr>
                    <w:pStyle w:val="51"/>
                    <w:bidi w:val="0"/>
                  </w:pPr>
                </w:p>
              </w:tc>
              <w:tc>
                <w:tcPr>
                  <w:tcW w:w="369" w:type="pct"/>
                  <w:vMerge w:val="continue"/>
                  <w:tcBorders>
                    <w:top w:val="nil"/>
                    <w:bottom w:val="single" w:color="000000" w:sz="22" w:space="0"/>
                  </w:tcBorders>
                  <w:vAlign w:val="center"/>
                </w:tcPr>
                <w:p w14:paraId="2D8CE12B">
                  <w:pPr>
                    <w:pStyle w:val="51"/>
                    <w:bidi w:val="0"/>
                  </w:pPr>
                </w:p>
              </w:tc>
              <w:tc>
                <w:tcPr>
                  <w:tcW w:w="373" w:type="pct"/>
                  <w:vMerge w:val="continue"/>
                  <w:tcBorders>
                    <w:top w:val="nil"/>
                    <w:bottom w:val="single" w:color="000000" w:sz="22" w:space="0"/>
                  </w:tcBorders>
                  <w:vAlign w:val="center"/>
                </w:tcPr>
                <w:p w14:paraId="67BCC856">
                  <w:pPr>
                    <w:pStyle w:val="51"/>
                    <w:bidi w:val="0"/>
                  </w:pPr>
                </w:p>
              </w:tc>
              <w:tc>
                <w:tcPr>
                  <w:tcW w:w="377" w:type="pct"/>
                  <w:vMerge w:val="continue"/>
                  <w:tcBorders>
                    <w:top w:val="nil"/>
                    <w:bottom w:val="single" w:color="000000" w:sz="22" w:space="0"/>
                  </w:tcBorders>
                  <w:vAlign w:val="center"/>
                </w:tcPr>
                <w:p w14:paraId="38FD28DC">
                  <w:pPr>
                    <w:pStyle w:val="51"/>
                    <w:bidi w:val="0"/>
                  </w:pPr>
                </w:p>
              </w:tc>
              <w:tc>
                <w:tcPr>
                  <w:tcW w:w="501" w:type="pct"/>
                  <w:vMerge w:val="continue"/>
                  <w:tcBorders>
                    <w:top w:val="nil"/>
                    <w:bottom w:val="nil"/>
                  </w:tcBorders>
                  <w:vAlign w:val="center"/>
                </w:tcPr>
                <w:p w14:paraId="663DDC27">
                  <w:pPr>
                    <w:pStyle w:val="51"/>
                    <w:bidi w:val="0"/>
                  </w:pPr>
                </w:p>
              </w:tc>
            </w:tr>
            <w:tr w14:paraId="1E6EF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 w:hRule="atLeast"/>
              </w:trPr>
              <w:tc>
                <w:tcPr>
                  <w:tcW w:w="742" w:type="pct"/>
                  <w:vMerge w:val="continue"/>
                  <w:tcBorders>
                    <w:top w:val="nil"/>
                  </w:tcBorders>
                  <w:vAlign w:val="center"/>
                </w:tcPr>
                <w:p w14:paraId="00137D54">
                  <w:pPr>
                    <w:pStyle w:val="51"/>
                    <w:bidi w:val="0"/>
                  </w:pPr>
                </w:p>
              </w:tc>
              <w:tc>
                <w:tcPr>
                  <w:tcW w:w="389" w:type="pct"/>
                  <w:vMerge w:val="continue"/>
                  <w:tcBorders>
                    <w:top w:val="nil"/>
                  </w:tcBorders>
                  <w:vAlign w:val="center"/>
                </w:tcPr>
                <w:p w14:paraId="749FD821">
                  <w:pPr>
                    <w:pStyle w:val="51"/>
                    <w:bidi w:val="0"/>
                  </w:pPr>
                </w:p>
              </w:tc>
              <w:tc>
                <w:tcPr>
                  <w:tcW w:w="391" w:type="pct"/>
                  <w:vMerge w:val="continue"/>
                  <w:tcBorders>
                    <w:top w:val="nil"/>
                  </w:tcBorders>
                  <w:vAlign w:val="center"/>
                </w:tcPr>
                <w:p w14:paraId="465D1759">
                  <w:pPr>
                    <w:pStyle w:val="51"/>
                    <w:bidi w:val="0"/>
                  </w:pPr>
                </w:p>
              </w:tc>
              <w:tc>
                <w:tcPr>
                  <w:tcW w:w="369" w:type="pct"/>
                  <w:vMerge w:val="continue"/>
                  <w:tcBorders>
                    <w:top w:val="nil"/>
                  </w:tcBorders>
                  <w:vAlign w:val="center"/>
                </w:tcPr>
                <w:p w14:paraId="28533917">
                  <w:pPr>
                    <w:pStyle w:val="51"/>
                    <w:bidi w:val="0"/>
                  </w:pPr>
                </w:p>
              </w:tc>
              <w:tc>
                <w:tcPr>
                  <w:tcW w:w="369" w:type="pct"/>
                  <w:vMerge w:val="continue"/>
                  <w:tcBorders>
                    <w:top w:val="nil"/>
                  </w:tcBorders>
                  <w:vAlign w:val="center"/>
                </w:tcPr>
                <w:p w14:paraId="0A87748F">
                  <w:pPr>
                    <w:pStyle w:val="51"/>
                    <w:bidi w:val="0"/>
                  </w:pPr>
                </w:p>
              </w:tc>
              <w:tc>
                <w:tcPr>
                  <w:tcW w:w="369" w:type="pct"/>
                  <w:vMerge w:val="continue"/>
                  <w:tcBorders>
                    <w:top w:val="nil"/>
                  </w:tcBorders>
                  <w:vAlign w:val="center"/>
                </w:tcPr>
                <w:p w14:paraId="6BA71F08">
                  <w:pPr>
                    <w:pStyle w:val="51"/>
                    <w:bidi w:val="0"/>
                  </w:pPr>
                </w:p>
              </w:tc>
              <w:tc>
                <w:tcPr>
                  <w:tcW w:w="373" w:type="pct"/>
                  <w:vMerge w:val="continue"/>
                  <w:tcBorders>
                    <w:top w:val="nil"/>
                  </w:tcBorders>
                  <w:vAlign w:val="center"/>
                </w:tcPr>
                <w:p w14:paraId="1539B674">
                  <w:pPr>
                    <w:pStyle w:val="51"/>
                    <w:bidi w:val="0"/>
                  </w:pPr>
                </w:p>
              </w:tc>
              <w:tc>
                <w:tcPr>
                  <w:tcW w:w="373" w:type="pct"/>
                  <w:vMerge w:val="continue"/>
                  <w:tcBorders>
                    <w:top w:val="nil"/>
                  </w:tcBorders>
                  <w:vAlign w:val="center"/>
                </w:tcPr>
                <w:p w14:paraId="7CD1E7C5">
                  <w:pPr>
                    <w:pStyle w:val="51"/>
                    <w:bidi w:val="0"/>
                  </w:pPr>
                </w:p>
              </w:tc>
              <w:tc>
                <w:tcPr>
                  <w:tcW w:w="369" w:type="pct"/>
                  <w:tcBorders>
                    <w:top w:val="single" w:color="000000" w:sz="22" w:space="0"/>
                  </w:tcBorders>
                  <w:vAlign w:val="center"/>
                </w:tcPr>
                <w:p w14:paraId="7932E3DF">
                  <w:pPr>
                    <w:pStyle w:val="51"/>
                    <w:bidi w:val="0"/>
                  </w:pPr>
                </w:p>
              </w:tc>
              <w:tc>
                <w:tcPr>
                  <w:tcW w:w="373" w:type="pct"/>
                  <w:tcBorders>
                    <w:top w:val="single" w:color="000000" w:sz="22" w:space="0"/>
                  </w:tcBorders>
                  <w:vAlign w:val="center"/>
                </w:tcPr>
                <w:p w14:paraId="24958D70">
                  <w:pPr>
                    <w:pStyle w:val="51"/>
                    <w:bidi w:val="0"/>
                  </w:pPr>
                </w:p>
              </w:tc>
              <w:tc>
                <w:tcPr>
                  <w:tcW w:w="377" w:type="pct"/>
                  <w:tcBorders>
                    <w:top w:val="single" w:color="000000" w:sz="22" w:space="0"/>
                  </w:tcBorders>
                  <w:vAlign w:val="center"/>
                </w:tcPr>
                <w:p w14:paraId="4196BD76">
                  <w:pPr>
                    <w:pStyle w:val="51"/>
                    <w:bidi w:val="0"/>
                  </w:pPr>
                </w:p>
              </w:tc>
              <w:tc>
                <w:tcPr>
                  <w:tcW w:w="501" w:type="pct"/>
                  <w:vMerge w:val="continue"/>
                  <w:tcBorders>
                    <w:top w:val="nil"/>
                  </w:tcBorders>
                  <w:vAlign w:val="center"/>
                </w:tcPr>
                <w:p w14:paraId="348A60EB">
                  <w:pPr>
                    <w:pStyle w:val="51"/>
                    <w:bidi w:val="0"/>
                  </w:pPr>
                </w:p>
              </w:tc>
            </w:tr>
            <w:tr w14:paraId="60545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742" w:type="pct"/>
                  <w:vAlign w:val="center"/>
                </w:tcPr>
                <w:p w14:paraId="3D522103">
                  <w:pPr>
                    <w:pStyle w:val="51"/>
                    <w:bidi w:val="0"/>
                  </w:pPr>
                  <w:r>
                    <w:t>沙化路</w:t>
                  </w:r>
                </w:p>
              </w:tc>
              <w:tc>
                <w:tcPr>
                  <w:tcW w:w="389" w:type="pct"/>
                  <w:vAlign w:val="center"/>
                </w:tcPr>
                <w:p w14:paraId="42701ACC">
                  <w:pPr>
                    <w:pStyle w:val="51"/>
                    <w:bidi w:val="0"/>
                  </w:pPr>
                  <w:r>
                    <w:t>km</w:t>
                  </w:r>
                </w:p>
              </w:tc>
              <w:tc>
                <w:tcPr>
                  <w:tcW w:w="391" w:type="pct"/>
                  <w:vAlign w:val="center"/>
                </w:tcPr>
                <w:p w14:paraId="60995E1E">
                  <w:pPr>
                    <w:pStyle w:val="51"/>
                    <w:bidi w:val="0"/>
                  </w:pPr>
                  <w:r>
                    <w:t>0.75</w:t>
                  </w:r>
                </w:p>
              </w:tc>
              <w:tc>
                <w:tcPr>
                  <w:tcW w:w="369" w:type="pct"/>
                  <w:vAlign w:val="center"/>
                </w:tcPr>
                <w:p w14:paraId="056D8402">
                  <w:pPr>
                    <w:pStyle w:val="51"/>
                    <w:bidi w:val="0"/>
                  </w:pPr>
                </w:p>
              </w:tc>
              <w:tc>
                <w:tcPr>
                  <w:tcW w:w="369" w:type="pct"/>
                  <w:vAlign w:val="center"/>
                </w:tcPr>
                <w:p w14:paraId="7ADFCEA6">
                  <w:pPr>
                    <w:pStyle w:val="51"/>
                    <w:bidi w:val="0"/>
                  </w:pPr>
                </w:p>
              </w:tc>
              <w:tc>
                <w:tcPr>
                  <w:tcW w:w="369" w:type="pct"/>
                  <w:vAlign w:val="center"/>
                </w:tcPr>
                <w:p w14:paraId="125D31C2">
                  <w:pPr>
                    <w:pStyle w:val="51"/>
                    <w:bidi w:val="0"/>
                  </w:pPr>
                </w:p>
              </w:tc>
              <w:tc>
                <w:tcPr>
                  <w:tcW w:w="373" w:type="pct"/>
                  <w:vAlign w:val="center"/>
                </w:tcPr>
                <w:p w14:paraId="3CB4AFDB">
                  <w:pPr>
                    <w:pStyle w:val="51"/>
                    <w:bidi w:val="0"/>
                  </w:pPr>
                </w:p>
              </w:tc>
              <w:tc>
                <w:tcPr>
                  <w:tcW w:w="373" w:type="pct"/>
                  <w:vAlign w:val="center"/>
                </w:tcPr>
                <w:p w14:paraId="62FA8C36">
                  <w:pPr>
                    <w:pStyle w:val="51"/>
                    <w:bidi w:val="0"/>
                  </w:pPr>
                </w:p>
              </w:tc>
              <w:tc>
                <w:tcPr>
                  <w:tcW w:w="369" w:type="pct"/>
                  <w:vAlign w:val="center"/>
                </w:tcPr>
                <w:p w14:paraId="69F5F0E7">
                  <w:pPr>
                    <w:pStyle w:val="51"/>
                    <w:bidi w:val="0"/>
                  </w:pPr>
                </w:p>
              </w:tc>
              <w:tc>
                <w:tcPr>
                  <w:tcW w:w="373" w:type="pct"/>
                  <w:vAlign w:val="center"/>
                </w:tcPr>
                <w:p w14:paraId="3ED30E90">
                  <w:pPr>
                    <w:pStyle w:val="51"/>
                    <w:bidi w:val="0"/>
                  </w:pPr>
                </w:p>
              </w:tc>
              <w:tc>
                <w:tcPr>
                  <w:tcW w:w="377" w:type="pct"/>
                  <w:vAlign w:val="center"/>
                </w:tcPr>
                <w:p w14:paraId="1285EC64">
                  <w:pPr>
                    <w:pStyle w:val="51"/>
                    <w:bidi w:val="0"/>
                  </w:pPr>
                </w:p>
              </w:tc>
              <w:tc>
                <w:tcPr>
                  <w:tcW w:w="501" w:type="pct"/>
                  <w:vAlign w:val="center"/>
                </w:tcPr>
                <w:p w14:paraId="17B0420A">
                  <w:pPr>
                    <w:pStyle w:val="51"/>
                    <w:bidi w:val="0"/>
                  </w:pPr>
                </w:p>
              </w:tc>
            </w:tr>
            <w:tr w14:paraId="74C98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5" w:hRule="atLeast"/>
              </w:trPr>
              <w:tc>
                <w:tcPr>
                  <w:tcW w:w="742" w:type="pct"/>
                  <w:vMerge w:val="restart"/>
                  <w:tcBorders>
                    <w:bottom w:val="nil"/>
                  </w:tcBorders>
                  <w:vAlign w:val="center"/>
                </w:tcPr>
                <w:p w14:paraId="1B13C0E5">
                  <w:pPr>
                    <w:pStyle w:val="51"/>
                    <w:bidi w:val="0"/>
                  </w:pPr>
                  <w:r>
                    <w:t>封禁界碑</w:t>
                  </w:r>
                </w:p>
              </w:tc>
              <w:tc>
                <w:tcPr>
                  <w:tcW w:w="389" w:type="pct"/>
                  <w:vMerge w:val="restart"/>
                  <w:tcBorders>
                    <w:bottom w:val="nil"/>
                  </w:tcBorders>
                  <w:vAlign w:val="center"/>
                </w:tcPr>
                <w:p w14:paraId="6777DD05">
                  <w:pPr>
                    <w:pStyle w:val="51"/>
                    <w:bidi w:val="0"/>
                  </w:pPr>
                  <w:r>
                    <w:t>块</w:t>
                  </w:r>
                </w:p>
              </w:tc>
              <w:tc>
                <w:tcPr>
                  <w:tcW w:w="391" w:type="pct"/>
                  <w:vMerge w:val="restart"/>
                  <w:tcBorders>
                    <w:bottom w:val="nil"/>
                  </w:tcBorders>
                  <w:vAlign w:val="center"/>
                </w:tcPr>
                <w:p w14:paraId="4EE3962B">
                  <w:pPr>
                    <w:pStyle w:val="51"/>
                    <w:bidi w:val="0"/>
                  </w:pPr>
                  <w:r>
                    <w:t>1</w:t>
                  </w:r>
                </w:p>
              </w:tc>
              <w:tc>
                <w:tcPr>
                  <w:tcW w:w="369" w:type="pct"/>
                  <w:vMerge w:val="restart"/>
                  <w:tcBorders>
                    <w:bottom w:val="nil"/>
                  </w:tcBorders>
                  <w:vAlign w:val="center"/>
                </w:tcPr>
                <w:p w14:paraId="75CC369A">
                  <w:pPr>
                    <w:pStyle w:val="51"/>
                    <w:bidi w:val="0"/>
                  </w:pPr>
                </w:p>
              </w:tc>
              <w:tc>
                <w:tcPr>
                  <w:tcW w:w="369" w:type="pct"/>
                  <w:vMerge w:val="restart"/>
                  <w:tcBorders>
                    <w:bottom w:val="nil"/>
                  </w:tcBorders>
                  <w:vAlign w:val="center"/>
                </w:tcPr>
                <w:p w14:paraId="03C18617">
                  <w:pPr>
                    <w:pStyle w:val="51"/>
                    <w:bidi w:val="0"/>
                  </w:pPr>
                </w:p>
              </w:tc>
              <w:tc>
                <w:tcPr>
                  <w:tcW w:w="369" w:type="pct"/>
                  <w:vMerge w:val="restart"/>
                  <w:tcBorders>
                    <w:bottom w:val="nil"/>
                  </w:tcBorders>
                  <w:vAlign w:val="center"/>
                </w:tcPr>
                <w:p w14:paraId="064B3A09">
                  <w:pPr>
                    <w:pStyle w:val="51"/>
                    <w:bidi w:val="0"/>
                  </w:pPr>
                </w:p>
              </w:tc>
              <w:tc>
                <w:tcPr>
                  <w:tcW w:w="373" w:type="pct"/>
                  <w:vMerge w:val="restart"/>
                  <w:tcBorders>
                    <w:bottom w:val="nil"/>
                  </w:tcBorders>
                  <w:vAlign w:val="center"/>
                </w:tcPr>
                <w:p w14:paraId="04BA5A56">
                  <w:pPr>
                    <w:pStyle w:val="51"/>
                    <w:bidi w:val="0"/>
                  </w:pPr>
                </w:p>
              </w:tc>
              <w:tc>
                <w:tcPr>
                  <w:tcW w:w="373" w:type="pct"/>
                  <w:vMerge w:val="restart"/>
                  <w:tcBorders>
                    <w:bottom w:val="nil"/>
                  </w:tcBorders>
                  <w:vAlign w:val="center"/>
                </w:tcPr>
                <w:p w14:paraId="66D2F512">
                  <w:pPr>
                    <w:pStyle w:val="51"/>
                    <w:bidi w:val="0"/>
                  </w:pPr>
                </w:p>
              </w:tc>
              <w:tc>
                <w:tcPr>
                  <w:tcW w:w="369" w:type="pct"/>
                  <w:tcBorders>
                    <w:bottom w:val="single" w:color="000000" w:sz="18" w:space="0"/>
                  </w:tcBorders>
                  <w:vAlign w:val="center"/>
                </w:tcPr>
                <w:p w14:paraId="7740F150">
                  <w:pPr>
                    <w:pStyle w:val="51"/>
                    <w:bidi w:val="0"/>
                  </w:pPr>
                </w:p>
              </w:tc>
              <w:tc>
                <w:tcPr>
                  <w:tcW w:w="373" w:type="pct"/>
                  <w:vMerge w:val="restart"/>
                  <w:tcBorders>
                    <w:bottom w:val="nil"/>
                  </w:tcBorders>
                  <w:vAlign w:val="center"/>
                </w:tcPr>
                <w:p w14:paraId="0253EE65">
                  <w:pPr>
                    <w:pStyle w:val="51"/>
                    <w:bidi w:val="0"/>
                  </w:pPr>
                </w:p>
              </w:tc>
              <w:tc>
                <w:tcPr>
                  <w:tcW w:w="377" w:type="pct"/>
                  <w:vMerge w:val="restart"/>
                  <w:tcBorders>
                    <w:bottom w:val="nil"/>
                  </w:tcBorders>
                  <w:vAlign w:val="center"/>
                </w:tcPr>
                <w:p w14:paraId="4904B8FB">
                  <w:pPr>
                    <w:pStyle w:val="51"/>
                    <w:bidi w:val="0"/>
                  </w:pPr>
                </w:p>
              </w:tc>
              <w:tc>
                <w:tcPr>
                  <w:tcW w:w="501" w:type="pct"/>
                  <w:vMerge w:val="restart"/>
                  <w:tcBorders>
                    <w:bottom w:val="nil"/>
                  </w:tcBorders>
                  <w:vAlign w:val="center"/>
                </w:tcPr>
                <w:p w14:paraId="226D763A">
                  <w:pPr>
                    <w:pStyle w:val="51"/>
                    <w:bidi w:val="0"/>
                  </w:pPr>
                </w:p>
              </w:tc>
            </w:tr>
            <w:tr w14:paraId="64F8D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3" w:hRule="atLeast"/>
              </w:trPr>
              <w:tc>
                <w:tcPr>
                  <w:tcW w:w="742" w:type="pct"/>
                  <w:vMerge w:val="continue"/>
                  <w:tcBorders>
                    <w:top w:val="nil"/>
                  </w:tcBorders>
                  <w:vAlign w:val="center"/>
                </w:tcPr>
                <w:p w14:paraId="13E29033">
                  <w:pPr>
                    <w:pStyle w:val="51"/>
                    <w:bidi w:val="0"/>
                  </w:pPr>
                </w:p>
              </w:tc>
              <w:tc>
                <w:tcPr>
                  <w:tcW w:w="389" w:type="pct"/>
                  <w:vMerge w:val="continue"/>
                  <w:tcBorders>
                    <w:top w:val="nil"/>
                  </w:tcBorders>
                  <w:vAlign w:val="center"/>
                </w:tcPr>
                <w:p w14:paraId="1E0FFEFB">
                  <w:pPr>
                    <w:pStyle w:val="51"/>
                    <w:bidi w:val="0"/>
                  </w:pPr>
                </w:p>
              </w:tc>
              <w:tc>
                <w:tcPr>
                  <w:tcW w:w="391" w:type="pct"/>
                  <w:vMerge w:val="continue"/>
                  <w:tcBorders>
                    <w:top w:val="nil"/>
                  </w:tcBorders>
                  <w:vAlign w:val="center"/>
                </w:tcPr>
                <w:p w14:paraId="7C509196">
                  <w:pPr>
                    <w:pStyle w:val="51"/>
                    <w:bidi w:val="0"/>
                  </w:pPr>
                </w:p>
              </w:tc>
              <w:tc>
                <w:tcPr>
                  <w:tcW w:w="369" w:type="pct"/>
                  <w:vMerge w:val="continue"/>
                  <w:tcBorders>
                    <w:top w:val="nil"/>
                  </w:tcBorders>
                  <w:vAlign w:val="center"/>
                </w:tcPr>
                <w:p w14:paraId="7FC4C69F">
                  <w:pPr>
                    <w:pStyle w:val="51"/>
                    <w:bidi w:val="0"/>
                  </w:pPr>
                </w:p>
              </w:tc>
              <w:tc>
                <w:tcPr>
                  <w:tcW w:w="369" w:type="pct"/>
                  <w:vMerge w:val="continue"/>
                  <w:tcBorders>
                    <w:top w:val="nil"/>
                  </w:tcBorders>
                  <w:vAlign w:val="center"/>
                </w:tcPr>
                <w:p w14:paraId="038EEA36">
                  <w:pPr>
                    <w:pStyle w:val="51"/>
                    <w:bidi w:val="0"/>
                  </w:pPr>
                </w:p>
              </w:tc>
              <w:tc>
                <w:tcPr>
                  <w:tcW w:w="369" w:type="pct"/>
                  <w:vMerge w:val="continue"/>
                  <w:tcBorders>
                    <w:top w:val="nil"/>
                  </w:tcBorders>
                  <w:vAlign w:val="center"/>
                </w:tcPr>
                <w:p w14:paraId="4BE7CEAB">
                  <w:pPr>
                    <w:pStyle w:val="51"/>
                    <w:bidi w:val="0"/>
                  </w:pPr>
                </w:p>
              </w:tc>
              <w:tc>
                <w:tcPr>
                  <w:tcW w:w="373" w:type="pct"/>
                  <w:vMerge w:val="continue"/>
                  <w:tcBorders>
                    <w:top w:val="nil"/>
                  </w:tcBorders>
                  <w:vAlign w:val="center"/>
                </w:tcPr>
                <w:p w14:paraId="5439C50C">
                  <w:pPr>
                    <w:pStyle w:val="51"/>
                    <w:bidi w:val="0"/>
                  </w:pPr>
                </w:p>
              </w:tc>
              <w:tc>
                <w:tcPr>
                  <w:tcW w:w="373" w:type="pct"/>
                  <w:vMerge w:val="continue"/>
                  <w:tcBorders>
                    <w:top w:val="nil"/>
                  </w:tcBorders>
                  <w:vAlign w:val="center"/>
                </w:tcPr>
                <w:p w14:paraId="5B9E2826">
                  <w:pPr>
                    <w:pStyle w:val="51"/>
                    <w:bidi w:val="0"/>
                  </w:pPr>
                </w:p>
              </w:tc>
              <w:tc>
                <w:tcPr>
                  <w:tcW w:w="369" w:type="pct"/>
                  <w:tcBorders>
                    <w:top w:val="single" w:color="000000" w:sz="18" w:space="0"/>
                  </w:tcBorders>
                  <w:vAlign w:val="center"/>
                </w:tcPr>
                <w:p w14:paraId="504D7570">
                  <w:pPr>
                    <w:pStyle w:val="51"/>
                    <w:bidi w:val="0"/>
                  </w:pPr>
                </w:p>
              </w:tc>
              <w:tc>
                <w:tcPr>
                  <w:tcW w:w="373" w:type="pct"/>
                  <w:vMerge w:val="continue"/>
                  <w:tcBorders>
                    <w:top w:val="nil"/>
                  </w:tcBorders>
                  <w:vAlign w:val="center"/>
                </w:tcPr>
                <w:p w14:paraId="5D0066C3">
                  <w:pPr>
                    <w:pStyle w:val="51"/>
                    <w:bidi w:val="0"/>
                  </w:pPr>
                </w:p>
              </w:tc>
              <w:tc>
                <w:tcPr>
                  <w:tcW w:w="377" w:type="pct"/>
                  <w:vMerge w:val="continue"/>
                  <w:tcBorders>
                    <w:top w:val="nil"/>
                  </w:tcBorders>
                  <w:vAlign w:val="center"/>
                </w:tcPr>
                <w:p w14:paraId="360CDA84">
                  <w:pPr>
                    <w:pStyle w:val="51"/>
                    <w:bidi w:val="0"/>
                  </w:pPr>
                </w:p>
              </w:tc>
              <w:tc>
                <w:tcPr>
                  <w:tcW w:w="501" w:type="pct"/>
                  <w:vMerge w:val="continue"/>
                  <w:tcBorders>
                    <w:top w:val="nil"/>
                  </w:tcBorders>
                  <w:vAlign w:val="center"/>
                </w:tcPr>
                <w:p w14:paraId="0B67F696">
                  <w:pPr>
                    <w:pStyle w:val="51"/>
                    <w:bidi w:val="0"/>
                  </w:pPr>
                </w:p>
              </w:tc>
            </w:tr>
            <w:tr w14:paraId="2E13D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1" w:hRule="atLeast"/>
              </w:trPr>
              <w:tc>
                <w:tcPr>
                  <w:tcW w:w="742" w:type="pct"/>
                  <w:vMerge w:val="restart"/>
                  <w:tcBorders>
                    <w:bottom w:val="nil"/>
                  </w:tcBorders>
                  <w:vAlign w:val="center"/>
                </w:tcPr>
                <w:p w14:paraId="0EE4CD0E">
                  <w:pPr>
                    <w:pStyle w:val="51"/>
                    <w:bidi w:val="0"/>
                  </w:pPr>
                  <w:r>
                    <w:t>宣传牌</w:t>
                  </w:r>
                </w:p>
              </w:tc>
              <w:tc>
                <w:tcPr>
                  <w:tcW w:w="389" w:type="pct"/>
                  <w:vMerge w:val="restart"/>
                  <w:tcBorders>
                    <w:bottom w:val="nil"/>
                  </w:tcBorders>
                  <w:vAlign w:val="center"/>
                </w:tcPr>
                <w:p w14:paraId="5CCBB2A5">
                  <w:pPr>
                    <w:pStyle w:val="51"/>
                    <w:bidi w:val="0"/>
                  </w:pPr>
                  <w:r>
                    <w:t>块</w:t>
                  </w:r>
                </w:p>
              </w:tc>
              <w:tc>
                <w:tcPr>
                  <w:tcW w:w="391" w:type="pct"/>
                  <w:vMerge w:val="restart"/>
                  <w:tcBorders>
                    <w:bottom w:val="nil"/>
                  </w:tcBorders>
                  <w:vAlign w:val="center"/>
                </w:tcPr>
                <w:p w14:paraId="6C9EAC46">
                  <w:pPr>
                    <w:pStyle w:val="51"/>
                    <w:bidi w:val="0"/>
                  </w:pPr>
                  <w:r>
                    <w:t>1</w:t>
                  </w:r>
                </w:p>
              </w:tc>
              <w:tc>
                <w:tcPr>
                  <w:tcW w:w="369" w:type="pct"/>
                  <w:vMerge w:val="restart"/>
                  <w:tcBorders>
                    <w:bottom w:val="nil"/>
                  </w:tcBorders>
                  <w:vAlign w:val="center"/>
                </w:tcPr>
                <w:p w14:paraId="7C55C4A7">
                  <w:pPr>
                    <w:pStyle w:val="51"/>
                    <w:bidi w:val="0"/>
                  </w:pPr>
                </w:p>
              </w:tc>
              <w:tc>
                <w:tcPr>
                  <w:tcW w:w="369" w:type="pct"/>
                  <w:vMerge w:val="restart"/>
                  <w:tcBorders>
                    <w:bottom w:val="nil"/>
                  </w:tcBorders>
                  <w:vAlign w:val="center"/>
                </w:tcPr>
                <w:p w14:paraId="2EBCC152">
                  <w:pPr>
                    <w:pStyle w:val="51"/>
                    <w:bidi w:val="0"/>
                  </w:pPr>
                </w:p>
              </w:tc>
              <w:tc>
                <w:tcPr>
                  <w:tcW w:w="369" w:type="pct"/>
                  <w:vMerge w:val="restart"/>
                  <w:tcBorders>
                    <w:bottom w:val="nil"/>
                  </w:tcBorders>
                  <w:vAlign w:val="center"/>
                </w:tcPr>
                <w:p w14:paraId="4D344E37">
                  <w:pPr>
                    <w:pStyle w:val="51"/>
                    <w:bidi w:val="0"/>
                  </w:pPr>
                </w:p>
              </w:tc>
              <w:tc>
                <w:tcPr>
                  <w:tcW w:w="373" w:type="pct"/>
                  <w:vMerge w:val="restart"/>
                  <w:tcBorders>
                    <w:bottom w:val="nil"/>
                  </w:tcBorders>
                  <w:vAlign w:val="center"/>
                </w:tcPr>
                <w:p w14:paraId="2A737BF7">
                  <w:pPr>
                    <w:pStyle w:val="51"/>
                    <w:bidi w:val="0"/>
                  </w:pPr>
                </w:p>
              </w:tc>
              <w:tc>
                <w:tcPr>
                  <w:tcW w:w="373" w:type="pct"/>
                  <w:vMerge w:val="restart"/>
                  <w:tcBorders>
                    <w:bottom w:val="nil"/>
                  </w:tcBorders>
                  <w:vAlign w:val="center"/>
                </w:tcPr>
                <w:p w14:paraId="60FB7D4E">
                  <w:pPr>
                    <w:pStyle w:val="51"/>
                    <w:bidi w:val="0"/>
                  </w:pPr>
                </w:p>
              </w:tc>
              <w:tc>
                <w:tcPr>
                  <w:tcW w:w="369" w:type="pct"/>
                  <w:tcBorders>
                    <w:bottom w:val="single" w:color="000000" w:sz="18" w:space="0"/>
                  </w:tcBorders>
                  <w:vAlign w:val="center"/>
                </w:tcPr>
                <w:p w14:paraId="72BD946C">
                  <w:pPr>
                    <w:pStyle w:val="51"/>
                    <w:bidi w:val="0"/>
                  </w:pPr>
                </w:p>
              </w:tc>
              <w:tc>
                <w:tcPr>
                  <w:tcW w:w="373" w:type="pct"/>
                  <w:tcBorders>
                    <w:bottom w:val="single" w:color="000000" w:sz="18" w:space="0"/>
                  </w:tcBorders>
                  <w:vAlign w:val="center"/>
                </w:tcPr>
                <w:p w14:paraId="6C48F8AA">
                  <w:pPr>
                    <w:pStyle w:val="51"/>
                    <w:bidi w:val="0"/>
                  </w:pPr>
                </w:p>
              </w:tc>
              <w:tc>
                <w:tcPr>
                  <w:tcW w:w="377" w:type="pct"/>
                  <w:vMerge w:val="restart"/>
                  <w:tcBorders>
                    <w:bottom w:val="nil"/>
                  </w:tcBorders>
                  <w:vAlign w:val="center"/>
                </w:tcPr>
                <w:p w14:paraId="2EA07EBA">
                  <w:pPr>
                    <w:pStyle w:val="51"/>
                    <w:bidi w:val="0"/>
                  </w:pPr>
                </w:p>
              </w:tc>
              <w:tc>
                <w:tcPr>
                  <w:tcW w:w="501" w:type="pct"/>
                  <w:vMerge w:val="restart"/>
                  <w:tcBorders>
                    <w:bottom w:val="nil"/>
                  </w:tcBorders>
                  <w:vAlign w:val="center"/>
                </w:tcPr>
                <w:p w14:paraId="4681DB3D">
                  <w:pPr>
                    <w:pStyle w:val="51"/>
                    <w:bidi w:val="0"/>
                  </w:pPr>
                </w:p>
              </w:tc>
            </w:tr>
            <w:tr w14:paraId="6DA1F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7" w:hRule="atLeast"/>
              </w:trPr>
              <w:tc>
                <w:tcPr>
                  <w:tcW w:w="742" w:type="pct"/>
                  <w:vMerge w:val="continue"/>
                  <w:tcBorders>
                    <w:top w:val="nil"/>
                  </w:tcBorders>
                  <w:vAlign w:val="center"/>
                </w:tcPr>
                <w:p w14:paraId="2DE25A5C">
                  <w:pPr>
                    <w:pStyle w:val="51"/>
                    <w:bidi w:val="0"/>
                  </w:pPr>
                </w:p>
              </w:tc>
              <w:tc>
                <w:tcPr>
                  <w:tcW w:w="389" w:type="pct"/>
                  <w:vMerge w:val="continue"/>
                  <w:tcBorders>
                    <w:top w:val="nil"/>
                  </w:tcBorders>
                  <w:vAlign w:val="center"/>
                </w:tcPr>
                <w:p w14:paraId="5054DF46">
                  <w:pPr>
                    <w:pStyle w:val="51"/>
                    <w:bidi w:val="0"/>
                  </w:pPr>
                </w:p>
              </w:tc>
              <w:tc>
                <w:tcPr>
                  <w:tcW w:w="391" w:type="pct"/>
                  <w:vMerge w:val="continue"/>
                  <w:tcBorders>
                    <w:top w:val="nil"/>
                  </w:tcBorders>
                  <w:vAlign w:val="center"/>
                </w:tcPr>
                <w:p w14:paraId="5F299D05">
                  <w:pPr>
                    <w:pStyle w:val="51"/>
                    <w:bidi w:val="0"/>
                  </w:pPr>
                </w:p>
              </w:tc>
              <w:tc>
                <w:tcPr>
                  <w:tcW w:w="369" w:type="pct"/>
                  <w:vMerge w:val="continue"/>
                  <w:tcBorders>
                    <w:top w:val="nil"/>
                  </w:tcBorders>
                  <w:vAlign w:val="center"/>
                </w:tcPr>
                <w:p w14:paraId="31F3DD70">
                  <w:pPr>
                    <w:pStyle w:val="51"/>
                    <w:bidi w:val="0"/>
                  </w:pPr>
                </w:p>
              </w:tc>
              <w:tc>
                <w:tcPr>
                  <w:tcW w:w="369" w:type="pct"/>
                  <w:vMerge w:val="continue"/>
                  <w:tcBorders>
                    <w:top w:val="nil"/>
                  </w:tcBorders>
                  <w:vAlign w:val="center"/>
                </w:tcPr>
                <w:p w14:paraId="74C0B90A">
                  <w:pPr>
                    <w:pStyle w:val="51"/>
                    <w:bidi w:val="0"/>
                  </w:pPr>
                </w:p>
              </w:tc>
              <w:tc>
                <w:tcPr>
                  <w:tcW w:w="369" w:type="pct"/>
                  <w:vMerge w:val="continue"/>
                  <w:tcBorders>
                    <w:top w:val="nil"/>
                  </w:tcBorders>
                  <w:vAlign w:val="center"/>
                </w:tcPr>
                <w:p w14:paraId="7DCFB0EC">
                  <w:pPr>
                    <w:pStyle w:val="51"/>
                    <w:bidi w:val="0"/>
                  </w:pPr>
                </w:p>
              </w:tc>
              <w:tc>
                <w:tcPr>
                  <w:tcW w:w="373" w:type="pct"/>
                  <w:vMerge w:val="continue"/>
                  <w:tcBorders>
                    <w:top w:val="nil"/>
                  </w:tcBorders>
                  <w:vAlign w:val="center"/>
                </w:tcPr>
                <w:p w14:paraId="6CACF2C5">
                  <w:pPr>
                    <w:pStyle w:val="51"/>
                    <w:bidi w:val="0"/>
                  </w:pPr>
                </w:p>
              </w:tc>
              <w:tc>
                <w:tcPr>
                  <w:tcW w:w="373" w:type="pct"/>
                  <w:vMerge w:val="continue"/>
                  <w:tcBorders>
                    <w:top w:val="nil"/>
                  </w:tcBorders>
                  <w:vAlign w:val="center"/>
                </w:tcPr>
                <w:p w14:paraId="42789928">
                  <w:pPr>
                    <w:pStyle w:val="51"/>
                    <w:bidi w:val="0"/>
                  </w:pPr>
                </w:p>
              </w:tc>
              <w:tc>
                <w:tcPr>
                  <w:tcW w:w="369" w:type="pct"/>
                  <w:tcBorders>
                    <w:top w:val="single" w:color="000000" w:sz="18" w:space="0"/>
                  </w:tcBorders>
                  <w:vAlign w:val="center"/>
                </w:tcPr>
                <w:p w14:paraId="3CCCE315">
                  <w:pPr>
                    <w:pStyle w:val="51"/>
                    <w:bidi w:val="0"/>
                  </w:pPr>
                </w:p>
              </w:tc>
              <w:tc>
                <w:tcPr>
                  <w:tcW w:w="373" w:type="pct"/>
                  <w:tcBorders>
                    <w:top w:val="single" w:color="000000" w:sz="18" w:space="0"/>
                  </w:tcBorders>
                  <w:vAlign w:val="center"/>
                </w:tcPr>
                <w:p w14:paraId="1F52A605">
                  <w:pPr>
                    <w:pStyle w:val="51"/>
                    <w:bidi w:val="0"/>
                  </w:pPr>
                </w:p>
              </w:tc>
              <w:tc>
                <w:tcPr>
                  <w:tcW w:w="377" w:type="pct"/>
                  <w:vMerge w:val="continue"/>
                  <w:tcBorders>
                    <w:top w:val="nil"/>
                  </w:tcBorders>
                  <w:vAlign w:val="center"/>
                </w:tcPr>
                <w:p w14:paraId="087029E9">
                  <w:pPr>
                    <w:pStyle w:val="51"/>
                    <w:bidi w:val="0"/>
                  </w:pPr>
                </w:p>
              </w:tc>
              <w:tc>
                <w:tcPr>
                  <w:tcW w:w="501" w:type="pct"/>
                  <w:vMerge w:val="continue"/>
                  <w:tcBorders>
                    <w:top w:val="nil"/>
                  </w:tcBorders>
                  <w:vAlign w:val="center"/>
                </w:tcPr>
                <w:p w14:paraId="308CE505">
                  <w:pPr>
                    <w:pStyle w:val="51"/>
                    <w:bidi w:val="0"/>
                  </w:pPr>
                </w:p>
              </w:tc>
            </w:tr>
            <w:tr w14:paraId="5B772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0" w:hRule="atLeast"/>
              </w:trPr>
              <w:tc>
                <w:tcPr>
                  <w:tcW w:w="742" w:type="pct"/>
                  <w:vMerge w:val="restart"/>
                  <w:tcBorders>
                    <w:bottom w:val="nil"/>
                  </w:tcBorders>
                  <w:vAlign w:val="center"/>
                </w:tcPr>
                <w:p w14:paraId="44FB7261">
                  <w:pPr>
                    <w:pStyle w:val="51"/>
                    <w:bidi w:val="0"/>
                  </w:pPr>
                  <w:r>
                    <w:t>封禁标语牌</w:t>
                  </w:r>
                </w:p>
              </w:tc>
              <w:tc>
                <w:tcPr>
                  <w:tcW w:w="389" w:type="pct"/>
                  <w:vMerge w:val="restart"/>
                  <w:tcBorders>
                    <w:bottom w:val="nil"/>
                  </w:tcBorders>
                  <w:vAlign w:val="center"/>
                </w:tcPr>
                <w:p w14:paraId="7C363FD3">
                  <w:pPr>
                    <w:pStyle w:val="51"/>
                    <w:bidi w:val="0"/>
                  </w:pPr>
                  <w:r>
                    <w:t>块</w:t>
                  </w:r>
                </w:p>
              </w:tc>
              <w:tc>
                <w:tcPr>
                  <w:tcW w:w="391" w:type="pct"/>
                  <w:vMerge w:val="restart"/>
                  <w:tcBorders>
                    <w:bottom w:val="nil"/>
                  </w:tcBorders>
                  <w:vAlign w:val="center"/>
                </w:tcPr>
                <w:p w14:paraId="406976FE">
                  <w:pPr>
                    <w:pStyle w:val="51"/>
                    <w:bidi w:val="0"/>
                  </w:pPr>
                  <w:r>
                    <w:t>1</w:t>
                  </w:r>
                </w:p>
              </w:tc>
              <w:tc>
                <w:tcPr>
                  <w:tcW w:w="369" w:type="pct"/>
                  <w:vMerge w:val="restart"/>
                  <w:tcBorders>
                    <w:bottom w:val="nil"/>
                  </w:tcBorders>
                  <w:vAlign w:val="center"/>
                </w:tcPr>
                <w:p w14:paraId="4E4380A1">
                  <w:pPr>
                    <w:pStyle w:val="51"/>
                    <w:bidi w:val="0"/>
                  </w:pPr>
                </w:p>
              </w:tc>
              <w:tc>
                <w:tcPr>
                  <w:tcW w:w="369" w:type="pct"/>
                  <w:tcBorders>
                    <w:bottom w:val="single" w:color="000000" w:sz="18" w:space="0"/>
                  </w:tcBorders>
                  <w:vAlign w:val="center"/>
                </w:tcPr>
                <w:p w14:paraId="1E8F9E18">
                  <w:pPr>
                    <w:pStyle w:val="51"/>
                    <w:bidi w:val="0"/>
                  </w:pPr>
                </w:p>
              </w:tc>
              <w:tc>
                <w:tcPr>
                  <w:tcW w:w="369" w:type="pct"/>
                  <w:tcBorders>
                    <w:bottom w:val="single" w:color="000000" w:sz="18" w:space="0"/>
                  </w:tcBorders>
                  <w:vAlign w:val="center"/>
                </w:tcPr>
                <w:p w14:paraId="2DFB6EEA">
                  <w:pPr>
                    <w:pStyle w:val="51"/>
                    <w:bidi w:val="0"/>
                  </w:pPr>
                </w:p>
              </w:tc>
              <w:tc>
                <w:tcPr>
                  <w:tcW w:w="373" w:type="pct"/>
                  <w:tcBorders>
                    <w:bottom w:val="single" w:color="000000" w:sz="18" w:space="0"/>
                  </w:tcBorders>
                  <w:vAlign w:val="center"/>
                </w:tcPr>
                <w:p w14:paraId="320A2013">
                  <w:pPr>
                    <w:pStyle w:val="51"/>
                    <w:bidi w:val="0"/>
                  </w:pPr>
                </w:p>
              </w:tc>
              <w:tc>
                <w:tcPr>
                  <w:tcW w:w="373" w:type="pct"/>
                  <w:tcBorders>
                    <w:bottom w:val="single" w:color="000000" w:sz="18" w:space="0"/>
                  </w:tcBorders>
                  <w:vAlign w:val="center"/>
                </w:tcPr>
                <w:p w14:paraId="6CBA2155">
                  <w:pPr>
                    <w:pStyle w:val="51"/>
                    <w:bidi w:val="0"/>
                  </w:pPr>
                </w:p>
              </w:tc>
              <w:tc>
                <w:tcPr>
                  <w:tcW w:w="369" w:type="pct"/>
                  <w:tcBorders>
                    <w:bottom w:val="single" w:color="000000" w:sz="18" w:space="0"/>
                  </w:tcBorders>
                  <w:vAlign w:val="center"/>
                </w:tcPr>
                <w:p w14:paraId="3C35D24D">
                  <w:pPr>
                    <w:pStyle w:val="51"/>
                    <w:bidi w:val="0"/>
                  </w:pPr>
                </w:p>
              </w:tc>
              <w:tc>
                <w:tcPr>
                  <w:tcW w:w="373" w:type="pct"/>
                  <w:tcBorders>
                    <w:bottom w:val="single" w:color="000000" w:sz="18" w:space="0"/>
                  </w:tcBorders>
                  <w:vAlign w:val="center"/>
                </w:tcPr>
                <w:p w14:paraId="6EA87F05">
                  <w:pPr>
                    <w:pStyle w:val="51"/>
                    <w:bidi w:val="0"/>
                  </w:pPr>
                </w:p>
              </w:tc>
              <w:tc>
                <w:tcPr>
                  <w:tcW w:w="377" w:type="pct"/>
                  <w:vMerge w:val="restart"/>
                  <w:tcBorders>
                    <w:bottom w:val="nil"/>
                  </w:tcBorders>
                  <w:vAlign w:val="center"/>
                </w:tcPr>
                <w:p w14:paraId="267FED75">
                  <w:pPr>
                    <w:pStyle w:val="51"/>
                    <w:bidi w:val="0"/>
                  </w:pPr>
                </w:p>
              </w:tc>
              <w:tc>
                <w:tcPr>
                  <w:tcW w:w="501" w:type="pct"/>
                  <w:vMerge w:val="restart"/>
                  <w:tcBorders>
                    <w:bottom w:val="nil"/>
                  </w:tcBorders>
                  <w:vAlign w:val="center"/>
                </w:tcPr>
                <w:p w14:paraId="7C4A3B89">
                  <w:pPr>
                    <w:pStyle w:val="51"/>
                    <w:bidi w:val="0"/>
                  </w:pPr>
                </w:p>
              </w:tc>
            </w:tr>
            <w:tr w14:paraId="31D2F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9" w:hRule="atLeast"/>
              </w:trPr>
              <w:tc>
                <w:tcPr>
                  <w:tcW w:w="742" w:type="pct"/>
                  <w:vMerge w:val="continue"/>
                  <w:tcBorders>
                    <w:top w:val="nil"/>
                  </w:tcBorders>
                  <w:vAlign w:val="center"/>
                </w:tcPr>
                <w:p w14:paraId="2A8D5B73">
                  <w:pPr>
                    <w:pStyle w:val="51"/>
                    <w:bidi w:val="0"/>
                  </w:pPr>
                </w:p>
              </w:tc>
              <w:tc>
                <w:tcPr>
                  <w:tcW w:w="389" w:type="pct"/>
                  <w:vMerge w:val="continue"/>
                  <w:tcBorders>
                    <w:top w:val="nil"/>
                  </w:tcBorders>
                  <w:vAlign w:val="center"/>
                </w:tcPr>
                <w:p w14:paraId="3C215067">
                  <w:pPr>
                    <w:pStyle w:val="51"/>
                    <w:bidi w:val="0"/>
                  </w:pPr>
                </w:p>
              </w:tc>
              <w:tc>
                <w:tcPr>
                  <w:tcW w:w="391" w:type="pct"/>
                  <w:vMerge w:val="continue"/>
                  <w:tcBorders>
                    <w:top w:val="nil"/>
                  </w:tcBorders>
                  <w:vAlign w:val="center"/>
                </w:tcPr>
                <w:p w14:paraId="49DB2ED9">
                  <w:pPr>
                    <w:pStyle w:val="51"/>
                    <w:bidi w:val="0"/>
                  </w:pPr>
                </w:p>
              </w:tc>
              <w:tc>
                <w:tcPr>
                  <w:tcW w:w="369" w:type="pct"/>
                  <w:vMerge w:val="continue"/>
                  <w:tcBorders>
                    <w:top w:val="nil"/>
                  </w:tcBorders>
                  <w:vAlign w:val="center"/>
                </w:tcPr>
                <w:p w14:paraId="40B6B38D">
                  <w:pPr>
                    <w:pStyle w:val="51"/>
                    <w:bidi w:val="0"/>
                  </w:pPr>
                </w:p>
              </w:tc>
              <w:tc>
                <w:tcPr>
                  <w:tcW w:w="369" w:type="pct"/>
                  <w:tcBorders>
                    <w:top w:val="single" w:color="000000" w:sz="18" w:space="0"/>
                  </w:tcBorders>
                  <w:vAlign w:val="center"/>
                </w:tcPr>
                <w:p w14:paraId="0ADB7F95">
                  <w:pPr>
                    <w:pStyle w:val="51"/>
                    <w:bidi w:val="0"/>
                  </w:pPr>
                </w:p>
              </w:tc>
              <w:tc>
                <w:tcPr>
                  <w:tcW w:w="369" w:type="pct"/>
                  <w:tcBorders>
                    <w:top w:val="single" w:color="000000" w:sz="18" w:space="0"/>
                  </w:tcBorders>
                  <w:vAlign w:val="center"/>
                </w:tcPr>
                <w:p w14:paraId="6349F5CB">
                  <w:pPr>
                    <w:pStyle w:val="51"/>
                    <w:bidi w:val="0"/>
                  </w:pPr>
                </w:p>
              </w:tc>
              <w:tc>
                <w:tcPr>
                  <w:tcW w:w="373" w:type="pct"/>
                  <w:tcBorders>
                    <w:top w:val="single" w:color="000000" w:sz="18" w:space="0"/>
                  </w:tcBorders>
                  <w:vAlign w:val="center"/>
                </w:tcPr>
                <w:p w14:paraId="6FB6889F">
                  <w:pPr>
                    <w:pStyle w:val="51"/>
                    <w:bidi w:val="0"/>
                  </w:pPr>
                </w:p>
              </w:tc>
              <w:tc>
                <w:tcPr>
                  <w:tcW w:w="373" w:type="pct"/>
                  <w:tcBorders>
                    <w:top w:val="single" w:color="000000" w:sz="18" w:space="0"/>
                  </w:tcBorders>
                  <w:vAlign w:val="center"/>
                </w:tcPr>
                <w:p w14:paraId="50ECF0D6">
                  <w:pPr>
                    <w:pStyle w:val="51"/>
                    <w:bidi w:val="0"/>
                  </w:pPr>
                </w:p>
              </w:tc>
              <w:tc>
                <w:tcPr>
                  <w:tcW w:w="369" w:type="pct"/>
                  <w:tcBorders>
                    <w:top w:val="single" w:color="000000" w:sz="18" w:space="0"/>
                  </w:tcBorders>
                  <w:vAlign w:val="center"/>
                </w:tcPr>
                <w:p w14:paraId="3F86FF73">
                  <w:pPr>
                    <w:pStyle w:val="51"/>
                    <w:bidi w:val="0"/>
                  </w:pPr>
                </w:p>
              </w:tc>
              <w:tc>
                <w:tcPr>
                  <w:tcW w:w="373" w:type="pct"/>
                  <w:tcBorders>
                    <w:top w:val="single" w:color="000000" w:sz="18" w:space="0"/>
                  </w:tcBorders>
                  <w:vAlign w:val="center"/>
                </w:tcPr>
                <w:p w14:paraId="1A04C6DC">
                  <w:pPr>
                    <w:pStyle w:val="51"/>
                    <w:bidi w:val="0"/>
                  </w:pPr>
                </w:p>
              </w:tc>
              <w:tc>
                <w:tcPr>
                  <w:tcW w:w="377" w:type="pct"/>
                  <w:vMerge w:val="continue"/>
                  <w:tcBorders>
                    <w:top w:val="nil"/>
                  </w:tcBorders>
                  <w:vAlign w:val="center"/>
                </w:tcPr>
                <w:p w14:paraId="01021DFD">
                  <w:pPr>
                    <w:pStyle w:val="51"/>
                    <w:bidi w:val="0"/>
                  </w:pPr>
                </w:p>
              </w:tc>
              <w:tc>
                <w:tcPr>
                  <w:tcW w:w="501" w:type="pct"/>
                  <w:vMerge w:val="continue"/>
                  <w:tcBorders>
                    <w:top w:val="nil"/>
                  </w:tcBorders>
                  <w:vAlign w:val="center"/>
                </w:tcPr>
                <w:p w14:paraId="6CFA0BC6">
                  <w:pPr>
                    <w:pStyle w:val="51"/>
                    <w:bidi w:val="0"/>
                  </w:pPr>
                </w:p>
              </w:tc>
            </w:tr>
            <w:tr w14:paraId="2A162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9" w:hRule="atLeast"/>
              </w:trPr>
              <w:tc>
                <w:tcPr>
                  <w:tcW w:w="1523" w:type="pct"/>
                  <w:gridSpan w:val="3"/>
                  <w:vAlign w:val="center"/>
                </w:tcPr>
                <w:p w14:paraId="7AD3F6DC">
                  <w:pPr>
                    <w:pStyle w:val="51"/>
                    <w:bidi w:val="0"/>
                  </w:pPr>
                  <w:r>
                    <w:t>施工退场</w:t>
                  </w:r>
                </w:p>
              </w:tc>
              <w:tc>
                <w:tcPr>
                  <w:tcW w:w="369" w:type="pct"/>
                  <w:vAlign w:val="center"/>
                </w:tcPr>
                <w:p w14:paraId="0F2AD5C0">
                  <w:pPr>
                    <w:pStyle w:val="51"/>
                    <w:bidi w:val="0"/>
                  </w:pPr>
                </w:p>
              </w:tc>
              <w:tc>
                <w:tcPr>
                  <w:tcW w:w="369" w:type="pct"/>
                  <w:vAlign w:val="center"/>
                </w:tcPr>
                <w:p w14:paraId="561D0F67">
                  <w:pPr>
                    <w:pStyle w:val="51"/>
                    <w:bidi w:val="0"/>
                  </w:pPr>
                </w:p>
              </w:tc>
              <w:tc>
                <w:tcPr>
                  <w:tcW w:w="369" w:type="pct"/>
                  <w:vAlign w:val="center"/>
                </w:tcPr>
                <w:p w14:paraId="554F1110">
                  <w:pPr>
                    <w:pStyle w:val="51"/>
                    <w:bidi w:val="0"/>
                  </w:pPr>
                </w:p>
              </w:tc>
              <w:tc>
                <w:tcPr>
                  <w:tcW w:w="373" w:type="pct"/>
                  <w:vAlign w:val="center"/>
                </w:tcPr>
                <w:p w14:paraId="40F76F45">
                  <w:pPr>
                    <w:pStyle w:val="51"/>
                    <w:bidi w:val="0"/>
                  </w:pPr>
                </w:p>
              </w:tc>
              <w:tc>
                <w:tcPr>
                  <w:tcW w:w="373" w:type="pct"/>
                  <w:vAlign w:val="center"/>
                </w:tcPr>
                <w:p w14:paraId="7B3B8C0D">
                  <w:pPr>
                    <w:pStyle w:val="51"/>
                    <w:bidi w:val="0"/>
                  </w:pPr>
                </w:p>
              </w:tc>
              <w:tc>
                <w:tcPr>
                  <w:tcW w:w="369" w:type="pct"/>
                  <w:vAlign w:val="center"/>
                </w:tcPr>
                <w:p w14:paraId="6F10E3FE">
                  <w:pPr>
                    <w:pStyle w:val="51"/>
                    <w:bidi w:val="0"/>
                  </w:pPr>
                </w:p>
              </w:tc>
              <w:tc>
                <w:tcPr>
                  <w:tcW w:w="373" w:type="pct"/>
                  <w:vAlign w:val="center"/>
                </w:tcPr>
                <w:p w14:paraId="59199E44">
                  <w:pPr>
                    <w:pStyle w:val="51"/>
                    <w:bidi w:val="0"/>
                  </w:pPr>
                </w:p>
              </w:tc>
              <w:tc>
                <w:tcPr>
                  <w:tcW w:w="377" w:type="pct"/>
                  <w:vAlign w:val="center"/>
                </w:tcPr>
                <w:p w14:paraId="0870C70F">
                  <w:pPr>
                    <w:pStyle w:val="51"/>
                    <w:bidi w:val="0"/>
                  </w:pPr>
                </w:p>
              </w:tc>
              <w:tc>
                <w:tcPr>
                  <w:tcW w:w="501" w:type="pct"/>
                  <w:vAlign w:val="center"/>
                </w:tcPr>
                <w:p w14:paraId="73F8A588">
                  <w:pPr>
                    <w:pStyle w:val="51"/>
                    <w:bidi w:val="0"/>
                  </w:pPr>
                  <w:r>
                    <w:drawing>
                      <wp:inline distT="0" distB="0" distL="0" distR="0">
                        <wp:extent cx="453390" cy="28575"/>
                        <wp:effectExtent l="0" t="0" r="3810" b="9525"/>
                        <wp:docPr id="42" name="IM 40"/>
                        <wp:cNvGraphicFramePr/>
                        <a:graphic xmlns:a="http://schemas.openxmlformats.org/drawingml/2006/main">
                          <a:graphicData uri="http://schemas.openxmlformats.org/drawingml/2006/picture">
                            <pic:pic xmlns:pic="http://schemas.openxmlformats.org/drawingml/2006/picture">
                              <pic:nvPicPr>
                                <pic:cNvPr id="42" name="IM 40"/>
                                <pic:cNvPicPr/>
                              </pic:nvPicPr>
                              <pic:blipFill>
                                <a:blip r:embed="rId19"/>
                                <a:stretch>
                                  <a:fillRect/>
                                </a:stretch>
                              </pic:blipFill>
                              <pic:spPr>
                                <a:xfrm>
                                  <a:off x="0" y="0"/>
                                  <a:ext cx="453440" cy="29209"/>
                                </a:xfrm>
                                <a:prstGeom prst="rect">
                                  <a:avLst/>
                                </a:prstGeom>
                              </pic:spPr>
                            </pic:pic>
                          </a:graphicData>
                        </a:graphic>
                      </wp:inline>
                    </w:drawing>
                  </w:r>
                </w:p>
              </w:tc>
            </w:tr>
          </w:tbl>
          <w:p w14:paraId="01D20699">
            <w:pPr>
              <w:bidi w:val="0"/>
              <w:rPr>
                <w:rFonts w:hint="default"/>
                <w:highlight w:val="none"/>
                <w:lang w:val="en-US" w:eastAsia="zh-CN"/>
              </w:rPr>
            </w:pPr>
          </w:p>
        </w:tc>
      </w:tr>
    </w:tbl>
    <w:p w14:paraId="41978490">
      <w:pPr>
        <w:pStyle w:val="24"/>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0"/>
        <w:rPr>
          <w:rFonts w:hint="default" w:ascii="Times New Roman" w:hAnsi="Times New Roman" w:eastAsia="仿宋" w:cs="Times New Roman"/>
          <w:snapToGrid w:val="0"/>
          <w:sz w:val="30"/>
          <w:szCs w:val="30"/>
        </w:rPr>
      </w:pPr>
      <w:r>
        <w:rPr>
          <w:rFonts w:hint="default" w:ascii="Times New Roman" w:hAnsi="Times New Roman" w:eastAsia="仿宋" w:cs="Times New Roman"/>
          <w:b/>
          <w:bCs/>
        </w:rPr>
        <w:br w:type="page"/>
      </w:r>
      <w:r>
        <w:rPr>
          <w:rFonts w:hint="default" w:ascii="Times New Roman" w:hAnsi="Times New Roman" w:eastAsia="仿宋" w:cs="Times New Roman"/>
          <w:b/>
          <w:bCs/>
          <w:snapToGrid w:val="0"/>
          <w:sz w:val="30"/>
          <w:szCs w:val="30"/>
        </w:rPr>
        <w:t>三、生态环境现状、保护目标及评价标准</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5"/>
        <w:gridCol w:w="7767"/>
      </w:tblGrid>
      <w:tr w14:paraId="321147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3" w:type="pct"/>
            <w:noWrap w:val="0"/>
            <w:vAlign w:val="center"/>
          </w:tcPr>
          <w:p w14:paraId="76E4FCFD">
            <w:pPr>
              <w:adjustRightInd w:val="0"/>
              <w:snapToGrid w:val="0"/>
              <w:ind w:left="0" w:leftChars="0" w:firstLine="0" w:firstLineChars="0"/>
              <w:jc w:val="both"/>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生态环境现状</w:t>
            </w:r>
          </w:p>
        </w:tc>
        <w:tc>
          <w:tcPr>
            <w:tcW w:w="4556" w:type="pct"/>
            <w:noWrap w:val="0"/>
            <w:vAlign w:val="center"/>
          </w:tcPr>
          <w:p w14:paraId="551AEDB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3.1生态环境现状</w:t>
            </w:r>
          </w:p>
          <w:p w14:paraId="7A7288B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3.1.1</w:t>
            </w:r>
            <w:r>
              <w:rPr>
                <w:rFonts w:hint="eastAsia" w:ascii="宋体" w:hAnsi="宋体" w:eastAsia="宋体" w:cs="宋体"/>
                <w:b/>
                <w:bCs/>
                <w:color w:val="000000" w:themeColor="text1"/>
                <w:sz w:val="28"/>
                <w:szCs w:val="28"/>
                <w14:textFill>
                  <w14:solidFill>
                    <w14:schemeClr w14:val="tx1"/>
                  </w14:solidFill>
                </w14:textFill>
              </w:rPr>
              <w:t>生态功能区划</w:t>
            </w:r>
          </w:p>
          <w:p w14:paraId="4F5CA804">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（1）甘肃省生态功能区划</w:t>
            </w:r>
          </w:p>
          <w:p w14:paraId="6799B489">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jc w:val="left"/>
              <w:textAlignment w:val="auto"/>
              <w:rPr>
                <w:rFonts w:hint="eastAsia" w:ascii="宋体" w:hAnsi="宋体" w:eastAsia="宋体" w:cs="宋体"/>
                <w:color w:val="000000" w:themeColor="text1"/>
                <w:spacing w:val="-3"/>
                <w:sz w:val="24"/>
                <w:szCs w:val="24"/>
                <w:lang w:val="en-US" w:eastAsia="zh-CN"/>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根据《甘肃省生态功能区划》，本项目所在区域属于“河西走廊干旱荒漠、绿洲农业生态亚区”“41、绿洲两侧农牧业及沙漠化控制生态功能区”</w:t>
            </w:r>
            <w:r>
              <w:rPr>
                <w:rFonts w:hint="eastAsia" w:ascii="宋体" w:hAnsi="宋体" w:eastAsia="宋体" w:cs="宋体"/>
                <w:color w:val="000000" w:themeColor="text1"/>
                <w:spacing w:val="-3"/>
                <w:sz w:val="24"/>
                <w:szCs w:val="24"/>
                <w:lang w:eastAsia="zh-CN"/>
                <w14:textFill>
                  <w14:solidFill>
                    <w14:schemeClr w14:val="tx1"/>
                  </w14:solidFill>
                </w14:textFill>
              </w:rPr>
              <w:t>。</w:t>
            </w:r>
            <w:r>
              <w:rPr>
                <w:rFonts w:hint="eastAsia" w:ascii="宋体" w:hAnsi="宋体" w:eastAsia="宋体" w:cs="宋体"/>
                <w:color w:val="000000" w:themeColor="text1"/>
                <w:spacing w:val="-3"/>
                <w:sz w:val="24"/>
                <w:szCs w:val="24"/>
                <w:lang w:val="en-US" w:eastAsia="zh-CN"/>
                <w14:textFill>
                  <w14:solidFill>
                    <w14:schemeClr w14:val="tx1"/>
                  </w14:solidFill>
                </w14:textFill>
              </w:rPr>
              <w:t>项目与甘肃省生态功能区划位置关系见附图。</w:t>
            </w:r>
          </w:p>
          <w:p w14:paraId="176C55AA">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（2）张掖市生态功能区划</w:t>
            </w:r>
          </w:p>
          <w:p w14:paraId="6603D24C">
            <w:pPr>
              <w:keepNext w:val="0"/>
              <w:keepLines w:val="0"/>
              <w:pageBreakBefore w:val="0"/>
              <w:widowControl w:val="0"/>
              <w:kinsoku/>
              <w:wordWrap/>
              <w:overflowPunct/>
              <w:topLinePunct w:val="0"/>
              <w:autoSpaceDE/>
              <w:autoSpaceDN/>
              <w:bidi w:val="0"/>
              <w:adjustRightInd w:val="0"/>
              <w:snapToGrid w:val="0"/>
              <w:spacing w:line="360" w:lineRule="auto"/>
              <w:ind w:left="0" w:right="0" w:firstLine="468"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根据《张掖市生态功能区划》功能区划分，本项目属于“II-2中部绿洲灌溉农业发展亚区”</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pacing w:val="-3"/>
                <w:sz w:val="24"/>
                <w:szCs w:val="24"/>
                <w:lang w:val="en-US" w:eastAsia="zh-CN"/>
                <w14:textFill>
                  <w14:solidFill>
                    <w14:schemeClr w14:val="tx1"/>
                  </w14:solidFill>
                </w14:textFill>
              </w:rPr>
              <w:t>项目与张掖市生态功能区划位置关系见附图。</w:t>
            </w:r>
          </w:p>
          <w:p w14:paraId="4E5B134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left"/>
              <w:textAlignment w:val="auto"/>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3.1.2项目区域生态环境现状</w:t>
            </w:r>
          </w:p>
          <w:p w14:paraId="4F3612E5">
            <w:pPr>
              <w:pStyle w:val="80"/>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pacing w:val="-2"/>
                <w:sz w:val="24"/>
                <w:szCs w:val="28"/>
                <w14:textFill>
                  <w14:solidFill>
                    <w14:schemeClr w14:val="tx1"/>
                  </w14:solidFill>
                </w14:textFill>
              </w:rPr>
              <w:t>（1）调查范围、方法和内容</w:t>
            </w:r>
          </w:p>
          <w:p w14:paraId="5108E4CD">
            <w:pPr>
              <w:pStyle w:val="80"/>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pacing w:val="-2"/>
                <w:sz w:val="24"/>
                <w:szCs w:val="28"/>
                <w14:textFill>
                  <w14:solidFill>
                    <w14:schemeClr w14:val="tx1"/>
                  </w14:solidFill>
                </w14:textFill>
              </w:rPr>
              <w:t>根据《环境影响评价技术导则生态环境》（HJ19-2022）中的生态环境现状调</w:t>
            </w:r>
            <w:r>
              <w:rPr>
                <w:rFonts w:hint="eastAsia" w:ascii="宋体" w:hAnsi="宋体" w:eastAsia="宋体" w:cs="宋体"/>
                <w:color w:val="000000" w:themeColor="text1"/>
                <w:spacing w:val="1"/>
                <w:sz w:val="24"/>
                <w:szCs w:val="28"/>
                <w14:textFill>
                  <w14:solidFill>
                    <w14:schemeClr w14:val="tx1"/>
                  </w14:solidFill>
                </w14:textFill>
              </w:rPr>
              <w:t>查范围的划分依据，针对项目区域的生态影响范围，本次生态调查范围确定为项目</w:t>
            </w:r>
            <w:r>
              <w:rPr>
                <w:rFonts w:hint="eastAsia" w:ascii="宋体" w:hAnsi="宋体" w:eastAsia="宋体" w:cs="宋体"/>
                <w:color w:val="000000" w:themeColor="text1"/>
                <w:spacing w:val="-4"/>
                <w:sz w:val="24"/>
                <w:szCs w:val="28"/>
                <w14:textFill>
                  <w14:solidFill>
                    <w14:schemeClr w14:val="tx1"/>
                  </w14:solidFill>
                </w14:textFill>
              </w:rPr>
              <w:t>占地</w:t>
            </w:r>
            <w:r>
              <w:rPr>
                <w:rFonts w:hint="eastAsia" w:ascii="宋体" w:hAnsi="宋体" w:eastAsia="宋体" w:cs="宋体"/>
                <w:color w:val="000000" w:themeColor="text1"/>
                <w:spacing w:val="-4"/>
                <w:sz w:val="24"/>
                <w:szCs w:val="28"/>
                <w:lang w:val="en-US" w:eastAsia="zh-CN"/>
                <w14:textFill>
                  <w14:solidFill>
                    <w14:schemeClr w14:val="tx1"/>
                  </w14:solidFill>
                </w14:textFill>
              </w:rPr>
              <w:t>周边5</w:t>
            </w:r>
            <w:r>
              <w:rPr>
                <w:rFonts w:hint="eastAsia" w:ascii="宋体" w:hAnsi="宋体" w:eastAsia="宋体" w:cs="宋体"/>
                <w:color w:val="000000" w:themeColor="text1"/>
                <w:spacing w:val="-4"/>
                <w:sz w:val="24"/>
                <w:szCs w:val="28"/>
                <w14:textFill>
                  <w14:solidFill>
                    <w14:schemeClr w14:val="tx1"/>
                  </w14:solidFill>
                </w14:textFill>
              </w:rPr>
              <w:t>00m的范围，确定生态调查范围面积为</w:t>
            </w:r>
            <w:r>
              <w:rPr>
                <w:rFonts w:hint="eastAsia" w:ascii="宋体" w:hAnsi="宋体" w:eastAsia="宋体" w:cs="宋体"/>
                <w:color w:val="000000" w:themeColor="text1"/>
                <w:spacing w:val="-4"/>
                <w:sz w:val="24"/>
                <w:szCs w:val="28"/>
                <w:lang w:val="en-US" w:eastAsia="zh-CN"/>
                <w14:textFill>
                  <w14:solidFill>
                    <w14:schemeClr w14:val="tx1"/>
                  </w14:solidFill>
                </w14:textFill>
              </w:rPr>
              <w:t>3692.1h</w:t>
            </w:r>
            <w:r>
              <w:rPr>
                <w:rFonts w:hint="eastAsia" w:ascii="宋体" w:hAnsi="宋体" w:eastAsia="宋体" w:cs="宋体"/>
                <w:color w:val="000000" w:themeColor="text1"/>
                <w:spacing w:val="-4"/>
                <w:sz w:val="24"/>
                <w:szCs w:val="28"/>
                <w14:textFill>
                  <w14:solidFill>
                    <w14:schemeClr w14:val="tx1"/>
                  </w14:solidFill>
                </w14:textFill>
              </w:rPr>
              <w:t>m</w:t>
            </w:r>
            <w:r>
              <w:rPr>
                <w:rFonts w:hint="eastAsia" w:ascii="宋体" w:hAnsi="宋体" w:eastAsia="宋体" w:cs="宋体"/>
                <w:color w:val="000000" w:themeColor="text1"/>
                <w:spacing w:val="-4"/>
                <w:sz w:val="24"/>
                <w:szCs w:val="28"/>
                <w:vertAlign w:val="superscript"/>
                <w:lang w:val="en-US" w:eastAsia="zh-CN"/>
                <w14:textFill>
                  <w14:solidFill>
                    <w14:schemeClr w14:val="tx1"/>
                  </w14:solidFill>
                </w14:textFill>
              </w:rPr>
              <w:t>2</w:t>
            </w:r>
            <w:r>
              <w:rPr>
                <w:rFonts w:hint="eastAsia" w:ascii="宋体" w:hAnsi="宋体" w:eastAsia="宋体" w:cs="宋体"/>
                <w:color w:val="000000" w:themeColor="text1"/>
                <w:spacing w:val="-4"/>
                <w:sz w:val="24"/>
                <w:szCs w:val="28"/>
                <w14:textFill>
                  <w14:solidFill>
                    <w14:schemeClr w14:val="tx1"/>
                  </w14:solidFill>
                </w14:textFill>
              </w:rPr>
              <w:t>。</w:t>
            </w:r>
          </w:p>
          <w:p w14:paraId="20844B6E">
            <w:pPr>
              <w:pStyle w:val="80"/>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textAlignment w:val="auto"/>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pacing w:val="-3"/>
                <w:sz w:val="24"/>
                <w:szCs w:val="28"/>
                <w14:textFill>
                  <w14:solidFill>
                    <w14:schemeClr w14:val="tx1"/>
                  </w14:solidFill>
                </w14:textFill>
              </w:rPr>
              <w:t>（2）调查内容</w:t>
            </w:r>
          </w:p>
          <w:p w14:paraId="5809DEFA">
            <w:pPr>
              <w:pStyle w:val="80"/>
              <w:keepNext w:val="0"/>
              <w:keepLines w:val="0"/>
              <w:pageBreakBefore w:val="0"/>
              <w:widowControl w:val="0"/>
              <w:kinsoku/>
              <w:wordWrap/>
              <w:overflowPunct/>
              <w:topLinePunct w:val="0"/>
              <w:autoSpaceDE/>
              <w:autoSpaceDN/>
              <w:bidi w:val="0"/>
              <w:adjustRightInd/>
              <w:snapToGrid/>
              <w:spacing w:line="360" w:lineRule="auto"/>
              <w:ind w:left="0" w:right="0" w:firstLine="484" w:firstLineChars="200"/>
              <w:textAlignment w:val="auto"/>
              <w:rPr>
                <w:rFonts w:hint="eastAsia" w:ascii="宋体" w:hAnsi="宋体" w:eastAsia="宋体" w:cs="宋体"/>
                <w:color w:val="000000" w:themeColor="text1"/>
                <w:spacing w:val="1"/>
                <w:position w:val="16"/>
                <w:sz w:val="24"/>
                <w:szCs w:val="28"/>
                <w14:textFill>
                  <w14:solidFill>
                    <w14:schemeClr w14:val="tx1"/>
                  </w14:solidFill>
                </w14:textFill>
              </w:rPr>
            </w:pPr>
            <w:r>
              <w:rPr>
                <w:rFonts w:hint="eastAsia" w:ascii="宋体" w:hAnsi="宋体" w:eastAsia="宋体" w:cs="宋体"/>
                <w:color w:val="000000" w:themeColor="text1"/>
                <w:spacing w:val="1"/>
                <w:position w:val="16"/>
                <w:sz w:val="24"/>
                <w:szCs w:val="28"/>
                <w14:textFill>
                  <w14:solidFill>
                    <w14:schemeClr w14:val="tx1"/>
                  </w14:solidFill>
                </w14:textFill>
              </w:rPr>
              <w:t>包括工程</w:t>
            </w:r>
            <w:r>
              <w:rPr>
                <w:rFonts w:hint="eastAsia" w:ascii="宋体" w:hAnsi="宋体" w:eastAsia="宋体" w:cs="宋体"/>
                <w:color w:val="000000" w:themeColor="text1"/>
                <w:spacing w:val="1"/>
                <w:position w:val="16"/>
                <w:sz w:val="24"/>
                <w:szCs w:val="28"/>
                <w:lang w:val="en-US" w:eastAsia="zh-CN"/>
                <w14:textFill>
                  <w14:solidFill>
                    <w14:schemeClr w14:val="tx1"/>
                  </w14:solidFill>
                </w14:textFill>
              </w:rPr>
              <w:t>评价</w:t>
            </w:r>
            <w:r>
              <w:rPr>
                <w:rFonts w:hint="eastAsia" w:ascii="宋体" w:hAnsi="宋体" w:eastAsia="宋体" w:cs="宋体"/>
                <w:color w:val="000000" w:themeColor="text1"/>
                <w:spacing w:val="1"/>
                <w:position w:val="16"/>
                <w:sz w:val="24"/>
                <w:szCs w:val="28"/>
                <w14:textFill>
                  <w14:solidFill>
                    <w14:schemeClr w14:val="tx1"/>
                  </w14:solidFill>
                </w14:textFill>
              </w:rPr>
              <w:t>区域土地利用类型、植被类型和评价区主要生态问题调查。</w:t>
            </w:r>
          </w:p>
          <w:p w14:paraId="32ED84F0">
            <w:pPr>
              <w:pStyle w:val="80"/>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textAlignment w:val="auto"/>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pacing w:val="-3"/>
                <w:sz w:val="24"/>
                <w:szCs w:val="28"/>
                <w14:textFill>
                  <w14:solidFill>
                    <w14:schemeClr w14:val="tx1"/>
                  </w14:solidFill>
                </w14:textFill>
              </w:rPr>
              <w:t>（3）调查方法</w:t>
            </w:r>
          </w:p>
          <w:p w14:paraId="670DE1E4">
            <w:pPr>
              <w:ind w:firstLine="480" w:firstLineChars="20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为了科学准确地反映项目区植被类型、土地利用现状等主要生态环境要素信息，本次工作采用3S技术结合的方法进行环境影响项目区生态环境信息的获取。首先，根据国家或相关行业规范，结合遥感图像的时相与空间分辨率，建立土地利用现状、植被类型分类或分级体系；其次，对</w:t>
            </w:r>
            <w:r>
              <w:rPr>
                <w:rFonts w:hint="eastAsia" w:ascii="宋体" w:hAnsi="宋体" w:eastAsia="宋体" w:cs="宋体"/>
                <w:color w:val="000000" w:themeColor="text1"/>
                <w:sz w:val="24"/>
                <w:szCs w:val="28"/>
                <w:lang w:val="en-US" w:eastAsia="zh-CN"/>
                <w14:textFill>
                  <w14:solidFill>
                    <w14:schemeClr w14:val="tx1"/>
                  </w14:solidFill>
                </w14:textFill>
              </w:rPr>
              <w:t>哨兵2号</w:t>
            </w:r>
            <w:r>
              <w:rPr>
                <w:rFonts w:hint="eastAsia" w:ascii="宋体" w:hAnsi="宋体" w:eastAsia="宋体" w:cs="宋体"/>
                <w:color w:val="000000" w:themeColor="text1"/>
                <w:sz w:val="24"/>
                <w:szCs w:val="28"/>
                <w14:textFill>
                  <w14:solidFill>
                    <w14:schemeClr w14:val="tx1"/>
                  </w14:solidFill>
                </w14:textFill>
              </w:rPr>
              <w:t>（Sentinel-2）</w:t>
            </w:r>
            <w:r>
              <w:rPr>
                <w:rFonts w:hint="eastAsia" w:ascii="宋体" w:hAnsi="宋体" w:eastAsia="宋体" w:cs="宋体"/>
                <w:color w:val="000000" w:themeColor="text1"/>
                <w:sz w:val="24"/>
                <w:szCs w:val="28"/>
                <w:lang w:val="en-US" w:eastAsia="zh-CN"/>
                <w14:textFill>
                  <w14:solidFill>
                    <w14:schemeClr w14:val="tx1"/>
                  </w14:solidFill>
                </w14:textFill>
              </w:rPr>
              <w:t>卫星</w:t>
            </w:r>
            <w:r>
              <w:rPr>
                <w:rFonts w:hint="eastAsia" w:ascii="宋体" w:hAnsi="宋体" w:eastAsia="宋体" w:cs="宋体"/>
                <w:color w:val="000000" w:themeColor="text1"/>
                <w:sz w:val="24"/>
                <w:szCs w:val="28"/>
                <w14:textFill>
                  <w14:solidFill>
                    <w14:schemeClr w14:val="tx1"/>
                  </w14:solidFill>
                </w14:textFill>
              </w:rPr>
              <w:t>遥感图像数据进行</w:t>
            </w:r>
            <w:r>
              <w:rPr>
                <w:rFonts w:hint="eastAsia" w:ascii="宋体" w:hAnsi="宋体" w:eastAsia="宋体" w:cs="宋体"/>
                <w:color w:val="000000" w:themeColor="text1"/>
                <w:sz w:val="24"/>
                <w:szCs w:val="28"/>
                <w:lang w:val="en-US" w:eastAsia="zh-CN"/>
                <w14:textFill>
                  <w14:solidFill>
                    <w14:schemeClr w14:val="tx1"/>
                  </w14:solidFill>
                </w14:textFill>
              </w:rPr>
              <w:t>几何校正、图像镶嵌、图像增强</w:t>
            </w:r>
            <w:r>
              <w:rPr>
                <w:rFonts w:hint="eastAsia" w:ascii="宋体" w:hAnsi="宋体" w:eastAsia="宋体" w:cs="宋体"/>
                <w:color w:val="000000" w:themeColor="text1"/>
                <w:sz w:val="24"/>
                <w:szCs w:val="28"/>
                <w14:textFill>
                  <w14:solidFill>
                    <w14:schemeClr w14:val="tx1"/>
                  </w14:solidFill>
                </w14:textFill>
              </w:rPr>
              <w:t>等预处理；第三，以</w:t>
            </w:r>
            <w:r>
              <w:rPr>
                <w:rFonts w:hint="eastAsia" w:ascii="宋体" w:hAnsi="宋体" w:cs="宋体"/>
                <w:color w:val="000000" w:themeColor="text1"/>
                <w:sz w:val="24"/>
                <w:szCs w:val="28"/>
                <w:lang w:val="en-US" w:eastAsia="zh-CN"/>
                <w14:textFill>
                  <w14:solidFill>
                    <w14:schemeClr w14:val="tx1"/>
                  </w14:solidFill>
                </w14:textFill>
              </w:rPr>
              <w:t>评价</w:t>
            </w:r>
            <w:r>
              <w:rPr>
                <w:rFonts w:hint="eastAsia" w:ascii="宋体" w:hAnsi="宋体" w:eastAsia="宋体" w:cs="宋体"/>
                <w:color w:val="000000" w:themeColor="text1"/>
                <w:sz w:val="24"/>
                <w:szCs w:val="28"/>
                <w14:textFill>
                  <w14:solidFill>
                    <w14:schemeClr w14:val="tx1"/>
                  </w14:solidFill>
                </w14:textFill>
              </w:rPr>
              <w:t>区</w:t>
            </w:r>
            <w:r>
              <w:rPr>
                <w:rFonts w:hint="eastAsia" w:ascii="宋体" w:hAnsi="宋体" w:eastAsia="宋体" w:cs="宋体"/>
                <w:color w:val="000000" w:themeColor="text1"/>
                <w:sz w:val="24"/>
                <w:szCs w:val="28"/>
                <w:lang w:val="en-US" w:eastAsia="zh-CN"/>
                <w14:textFill>
                  <w14:solidFill>
                    <w14:schemeClr w14:val="tx1"/>
                  </w14:solidFill>
                </w14:textFill>
              </w:rPr>
              <w:t>哨兵2号</w:t>
            </w:r>
            <w:r>
              <w:rPr>
                <w:rFonts w:hint="eastAsia" w:ascii="宋体" w:hAnsi="宋体" w:eastAsia="宋体" w:cs="宋体"/>
                <w:color w:val="000000" w:themeColor="text1"/>
                <w:sz w:val="24"/>
                <w:szCs w:val="28"/>
                <w14:textFill>
                  <w14:solidFill>
                    <w14:schemeClr w14:val="tx1"/>
                  </w14:solidFill>
                </w14:textFill>
              </w:rPr>
              <w:t>（Sentinel-2）</w:t>
            </w:r>
            <w:r>
              <w:rPr>
                <w:rFonts w:hint="eastAsia" w:ascii="宋体" w:hAnsi="宋体" w:eastAsia="宋体" w:cs="宋体"/>
                <w:color w:val="000000" w:themeColor="text1"/>
                <w:sz w:val="24"/>
                <w:szCs w:val="28"/>
                <w:lang w:val="en-US" w:eastAsia="zh-CN"/>
                <w14:textFill>
                  <w14:solidFill>
                    <w14:schemeClr w14:val="tx1"/>
                  </w14:solidFill>
                </w14:textFill>
              </w:rPr>
              <w:t>卫星</w:t>
            </w:r>
            <w:r>
              <w:rPr>
                <w:rFonts w:hint="eastAsia" w:ascii="宋体" w:hAnsi="宋体" w:eastAsia="宋体" w:cs="宋体"/>
                <w:color w:val="000000" w:themeColor="text1"/>
                <w:sz w:val="24"/>
                <w:szCs w:val="28"/>
                <w14:textFill>
                  <w14:solidFill>
                    <w14:schemeClr w14:val="tx1"/>
                  </w14:solidFill>
                </w14:textFill>
              </w:rPr>
              <w:t>遥感影像为信息源，结合项目区的相关资料，建立基于土地利用现状、植被类型分类分级系统的遥感解译标志，采用人机交互目视判读对遥感数据进行解译，编制项目区土地利用现状、植被类型生态环境专题图件。第四，采用专业制图软件ARCGIS进行专题图件数字化，并进行分类面积统计。</w:t>
            </w:r>
          </w:p>
          <w:p w14:paraId="5AF04956">
            <w:pPr>
              <w:ind w:firstLine="480" w:firstLineChars="20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w:t>
            </w:r>
            <w:r>
              <w:rPr>
                <w:rFonts w:hint="eastAsia" w:ascii="宋体" w:hAnsi="宋体" w:eastAsia="宋体" w:cs="宋体"/>
                <w:color w:val="000000" w:themeColor="text1"/>
                <w:sz w:val="24"/>
                <w:szCs w:val="28"/>
                <w:lang w:val="en-US" w:eastAsia="zh-CN"/>
                <w14:textFill>
                  <w14:solidFill>
                    <w14:schemeClr w14:val="tx1"/>
                  </w14:solidFill>
                </w14:textFill>
              </w:rPr>
              <w:t>4</w:t>
            </w:r>
            <w:r>
              <w:rPr>
                <w:rFonts w:hint="eastAsia" w:ascii="宋体" w:hAnsi="宋体" w:eastAsia="宋体" w:cs="宋体"/>
                <w:color w:val="000000" w:themeColor="text1"/>
                <w:sz w:val="24"/>
                <w:szCs w:val="28"/>
                <w14:textFill>
                  <w14:solidFill>
                    <w14:schemeClr w14:val="tx1"/>
                  </w14:solidFill>
                </w14:textFill>
              </w:rPr>
              <w:t>）遥感信息源的选取</w:t>
            </w:r>
          </w:p>
          <w:p w14:paraId="2941A6B7">
            <w:pPr>
              <w:ind w:firstLine="480" w:firstLineChars="20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以202</w:t>
            </w:r>
            <w:r>
              <w:rPr>
                <w:rFonts w:hint="eastAsia" w:ascii="宋体" w:hAnsi="宋体" w:cs="宋体"/>
                <w:color w:val="000000" w:themeColor="text1"/>
                <w:sz w:val="24"/>
                <w:szCs w:val="28"/>
                <w:lang w:val="en-US" w:eastAsia="zh-CN"/>
                <w14:textFill>
                  <w14:solidFill>
                    <w14:schemeClr w14:val="tx1"/>
                  </w14:solidFill>
                </w14:textFill>
              </w:rPr>
              <w:t>5</w:t>
            </w:r>
            <w:r>
              <w:rPr>
                <w:rFonts w:hint="eastAsia" w:ascii="宋体" w:hAnsi="宋体" w:eastAsia="宋体" w:cs="宋体"/>
                <w:color w:val="000000" w:themeColor="text1"/>
                <w:sz w:val="24"/>
                <w:szCs w:val="28"/>
                <w14:textFill>
                  <w14:solidFill>
                    <w14:schemeClr w14:val="tx1"/>
                  </w14:solidFill>
                </w14:textFill>
              </w:rPr>
              <w:t>年</w:t>
            </w:r>
            <w:r>
              <w:rPr>
                <w:rFonts w:hint="eastAsia" w:ascii="宋体" w:hAnsi="宋体" w:eastAsia="宋体" w:cs="宋体"/>
                <w:color w:val="000000" w:themeColor="text1"/>
                <w:sz w:val="24"/>
                <w:szCs w:val="28"/>
                <w:lang w:val="en-US" w:eastAsia="zh-CN"/>
                <w14:textFill>
                  <w14:solidFill>
                    <w14:schemeClr w14:val="tx1"/>
                  </w14:solidFill>
                </w14:textFill>
              </w:rPr>
              <w:t>8</w:t>
            </w:r>
            <w:r>
              <w:rPr>
                <w:rFonts w:hint="eastAsia" w:ascii="宋体" w:hAnsi="宋体" w:eastAsia="宋体" w:cs="宋体"/>
                <w:color w:val="000000" w:themeColor="text1"/>
                <w:sz w:val="24"/>
                <w:szCs w:val="28"/>
                <w14:textFill>
                  <w14:solidFill>
                    <w14:schemeClr w14:val="tx1"/>
                  </w14:solidFill>
                </w14:textFill>
              </w:rPr>
              <w:t>月</w:t>
            </w:r>
            <w:r>
              <w:rPr>
                <w:rFonts w:hint="eastAsia" w:ascii="宋体" w:hAnsi="宋体" w:eastAsia="宋体" w:cs="宋体"/>
                <w:color w:val="000000" w:themeColor="text1"/>
                <w:sz w:val="24"/>
                <w:szCs w:val="28"/>
                <w:lang w:val="en-US" w:eastAsia="zh-CN"/>
                <w14:textFill>
                  <w14:solidFill>
                    <w14:schemeClr w14:val="tx1"/>
                  </w14:solidFill>
                </w14:textFill>
              </w:rPr>
              <w:t>13日</w:t>
            </w:r>
            <w:r>
              <w:rPr>
                <w:rFonts w:hint="eastAsia" w:ascii="宋体" w:hAnsi="宋体" w:eastAsia="宋体" w:cs="宋体"/>
                <w:color w:val="000000" w:themeColor="text1"/>
                <w:sz w:val="24"/>
                <w:szCs w:val="28"/>
                <w14:textFill>
                  <w14:solidFill>
                    <w14:schemeClr w14:val="tx1"/>
                  </w14:solidFill>
                </w14:textFill>
              </w:rPr>
              <w:t>的哨兵2号（Sentinel-2）卫星影像数据作为基本信息源，</w:t>
            </w:r>
            <w:r>
              <w:rPr>
                <w:rFonts w:hint="eastAsia" w:ascii="宋体" w:hAnsi="宋体" w:eastAsia="宋体" w:cs="宋体"/>
                <w:color w:val="000000" w:themeColor="text1"/>
                <w:sz w:val="24"/>
                <w:szCs w:val="28"/>
                <w:lang w:val="en-US" w:eastAsia="zh-CN"/>
                <w14:textFill>
                  <w14:solidFill>
                    <w14:schemeClr w14:val="tx1"/>
                  </w14:solidFill>
                </w14:textFill>
              </w:rPr>
              <w:t>提取第2、3、4、8波段，</w:t>
            </w:r>
            <w:r>
              <w:rPr>
                <w:rFonts w:hint="eastAsia" w:ascii="宋体" w:hAnsi="宋体" w:eastAsia="宋体" w:cs="宋体"/>
                <w:color w:val="000000" w:themeColor="text1"/>
                <w:sz w:val="24"/>
                <w:szCs w:val="28"/>
                <w14:textFill>
                  <w14:solidFill>
                    <w14:schemeClr w14:val="tx1"/>
                  </w14:solidFill>
                </w14:textFill>
              </w:rPr>
              <w:t>分辨率</w:t>
            </w:r>
            <w:r>
              <w:rPr>
                <w:rFonts w:hint="eastAsia" w:ascii="宋体" w:hAnsi="宋体" w:eastAsia="宋体" w:cs="宋体"/>
                <w:color w:val="000000" w:themeColor="text1"/>
                <w:sz w:val="24"/>
                <w:szCs w:val="28"/>
                <w:lang w:val="en-US" w:eastAsia="zh-CN"/>
                <w14:textFill>
                  <w14:solidFill>
                    <w14:schemeClr w14:val="tx1"/>
                  </w14:solidFill>
                </w14:textFill>
              </w:rPr>
              <w:t>为10</w:t>
            </w:r>
            <w:r>
              <w:rPr>
                <w:rFonts w:hint="eastAsia" w:ascii="宋体" w:hAnsi="宋体" w:eastAsia="宋体" w:cs="宋体"/>
                <w:color w:val="000000" w:themeColor="text1"/>
                <w:sz w:val="24"/>
                <w:szCs w:val="28"/>
                <w14:textFill>
                  <w14:solidFill>
                    <w14:schemeClr w14:val="tx1"/>
                  </w14:solidFill>
                </w14:textFill>
              </w:rPr>
              <w:t>米，经</w:t>
            </w:r>
            <w:r>
              <w:rPr>
                <w:rFonts w:hint="eastAsia" w:ascii="宋体" w:hAnsi="宋体" w:eastAsia="宋体" w:cs="宋体"/>
                <w:color w:val="000000" w:themeColor="text1"/>
                <w:sz w:val="24"/>
                <w:szCs w:val="28"/>
                <w:lang w:val="en-US" w:eastAsia="zh-CN"/>
                <w14:textFill>
                  <w14:solidFill>
                    <w14:schemeClr w14:val="tx1"/>
                  </w14:solidFill>
                </w14:textFill>
              </w:rPr>
              <w:t>波段组合</w:t>
            </w:r>
            <w:r>
              <w:rPr>
                <w:rFonts w:hint="eastAsia" w:ascii="宋体" w:hAnsi="宋体" w:eastAsia="宋体" w:cs="宋体"/>
                <w:color w:val="000000" w:themeColor="text1"/>
                <w:sz w:val="24"/>
                <w:szCs w:val="28"/>
                <w14:textFill>
                  <w14:solidFill>
                    <w14:schemeClr w14:val="tx1"/>
                  </w14:solidFill>
                </w14:textFill>
              </w:rPr>
              <w:t>处理后的图像地表信息丰富，有利于生态环境因子遥感解译标志的建立，保证了各生态环境要素解译成果的准确性。</w:t>
            </w:r>
          </w:p>
          <w:p w14:paraId="46F3A5C7">
            <w:pPr>
              <w:ind w:firstLine="480" w:firstLineChars="200"/>
              <w:outlineLvl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w:t>
            </w:r>
            <w:r>
              <w:rPr>
                <w:rFonts w:hint="eastAsia" w:ascii="宋体" w:hAnsi="宋体" w:eastAsia="宋体" w:cs="宋体"/>
                <w:color w:val="000000" w:themeColor="text1"/>
                <w:sz w:val="24"/>
                <w:szCs w:val="28"/>
                <w:lang w:val="en-US" w:eastAsia="zh-CN"/>
                <w14:textFill>
                  <w14:solidFill>
                    <w14:schemeClr w14:val="tx1"/>
                  </w14:solidFill>
                </w14:textFill>
              </w:rPr>
              <w:t>5</w:t>
            </w:r>
            <w:r>
              <w:rPr>
                <w:rFonts w:hint="eastAsia" w:ascii="宋体" w:hAnsi="宋体" w:eastAsia="宋体" w:cs="宋体"/>
                <w:color w:val="000000" w:themeColor="text1"/>
                <w:sz w:val="24"/>
                <w:szCs w:val="28"/>
                <w14:textFill>
                  <w14:solidFill>
                    <w14:schemeClr w14:val="tx1"/>
                  </w14:solidFill>
                </w14:textFill>
              </w:rPr>
              <w:t>）</w:t>
            </w:r>
            <w:r>
              <w:rPr>
                <w:rFonts w:hint="eastAsia" w:ascii="宋体" w:hAnsi="宋体" w:eastAsia="宋体" w:cs="宋体"/>
                <w:color w:val="000000" w:themeColor="text1"/>
                <w:sz w:val="24"/>
                <w:szCs w:val="28"/>
                <w:lang w:val="en-US" w:eastAsia="zh-CN"/>
                <w14:textFill>
                  <w14:solidFill>
                    <w14:schemeClr w14:val="tx1"/>
                  </w14:solidFill>
                </w14:textFill>
              </w:rPr>
              <w:t>哨兵2号</w:t>
            </w:r>
            <w:r>
              <w:rPr>
                <w:rFonts w:hint="eastAsia" w:ascii="宋体" w:hAnsi="宋体" w:eastAsia="宋体" w:cs="宋体"/>
                <w:color w:val="000000" w:themeColor="text1"/>
                <w:sz w:val="24"/>
                <w:szCs w:val="28"/>
                <w14:textFill>
                  <w14:solidFill>
                    <w14:schemeClr w14:val="tx1"/>
                  </w14:solidFill>
                </w14:textFill>
              </w:rPr>
              <w:t>（Sentinel-2）</w:t>
            </w:r>
            <w:r>
              <w:rPr>
                <w:rFonts w:hint="eastAsia" w:ascii="宋体" w:hAnsi="宋体" w:eastAsia="宋体" w:cs="宋体"/>
                <w:color w:val="000000" w:themeColor="text1"/>
                <w:sz w:val="24"/>
                <w:szCs w:val="28"/>
                <w:lang w:val="en-US" w:eastAsia="zh-CN"/>
                <w14:textFill>
                  <w14:solidFill>
                    <w14:schemeClr w14:val="tx1"/>
                  </w14:solidFill>
                </w14:textFill>
              </w:rPr>
              <w:t>卫星</w:t>
            </w:r>
            <w:r>
              <w:rPr>
                <w:rFonts w:hint="eastAsia" w:ascii="宋体" w:hAnsi="宋体" w:eastAsia="宋体" w:cs="宋体"/>
                <w:color w:val="000000" w:themeColor="text1"/>
                <w:sz w:val="24"/>
                <w:szCs w:val="28"/>
                <w14:textFill>
                  <w14:solidFill>
                    <w14:schemeClr w14:val="tx1"/>
                  </w14:solidFill>
                </w14:textFill>
              </w:rPr>
              <w:t>影像图处理</w:t>
            </w:r>
          </w:p>
          <w:p w14:paraId="4C1BD466">
            <w:pPr>
              <w:ind w:firstLine="480" w:firstLineChars="200"/>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在</w:t>
            </w:r>
            <w:r>
              <w:rPr>
                <w:rFonts w:hint="eastAsia" w:ascii="宋体" w:hAnsi="宋体" w:eastAsia="宋体" w:cs="宋体"/>
                <w:color w:val="000000" w:themeColor="text1"/>
                <w:sz w:val="24"/>
                <w:szCs w:val="28"/>
                <w:lang w:val="en-US" w:eastAsia="zh-CN"/>
                <w14:textFill>
                  <w14:solidFill>
                    <w14:schemeClr w14:val="tx1"/>
                  </w14:solidFill>
                </w14:textFill>
              </w:rPr>
              <w:t>ENVI</w:t>
            </w:r>
            <w:r>
              <w:rPr>
                <w:rFonts w:hint="eastAsia" w:ascii="宋体" w:hAnsi="宋体" w:eastAsia="宋体" w:cs="宋体"/>
                <w:color w:val="000000" w:themeColor="text1"/>
                <w:sz w:val="24"/>
                <w:szCs w:val="28"/>
                <w14:textFill>
                  <w14:solidFill>
                    <w14:schemeClr w14:val="tx1"/>
                  </w14:solidFill>
                </w14:textFill>
              </w:rPr>
              <w:t>等遥感图像处理软件的支持下，对哨兵2号（Sentinel-2）卫星影像数据进行了</w:t>
            </w:r>
            <w:r>
              <w:rPr>
                <w:rFonts w:hint="eastAsia" w:ascii="宋体" w:hAnsi="宋体" w:eastAsia="宋体" w:cs="宋体"/>
                <w:color w:val="000000" w:themeColor="text1"/>
                <w:sz w:val="24"/>
                <w:szCs w:val="28"/>
                <w:lang w:val="en-US" w:eastAsia="zh-CN"/>
                <w14:textFill>
                  <w14:solidFill>
                    <w14:schemeClr w14:val="tx1"/>
                  </w14:solidFill>
                </w14:textFill>
              </w:rPr>
              <w:t>几何校正、图像镶嵌、图像增强、波段重组</w:t>
            </w:r>
            <w:r>
              <w:rPr>
                <w:rFonts w:hint="eastAsia" w:ascii="宋体" w:hAnsi="宋体" w:eastAsia="宋体" w:cs="宋体"/>
                <w:color w:val="000000" w:themeColor="text1"/>
                <w:sz w:val="24"/>
                <w:szCs w:val="28"/>
                <w14:textFill>
                  <w14:solidFill>
                    <w14:schemeClr w14:val="tx1"/>
                  </w14:solidFill>
                </w14:textFill>
              </w:rPr>
              <w:t>等预处理。根据土地利用现状、植被类型生态环境要素的地物光谱特征的差异性，选择</w:t>
            </w:r>
            <w:r>
              <w:rPr>
                <w:rFonts w:hint="eastAsia" w:ascii="宋体" w:hAnsi="宋体" w:eastAsia="宋体" w:cs="宋体"/>
                <w:color w:val="000000" w:themeColor="text1"/>
                <w:sz w:val="24"/>
                <w:szCs w:val="28"/>
                <w:lang w:val="en-US" w:eastAsia="zh-CN"/>
                <w14:textFill>
                  <w14:solidFill>
                    <w14:schemeClr w14:val="tx1"/>
                  </w14:solidFill>
                </w14:textFill>
              </w:rPr>
              <w:t>2、3、4</w:t>
            </w:r>
            <w:r>
              <w:rPr>
                <w:rFonts w:hint="eastAsia" w:ascii="宋体" w:hAnsi="宋体" w:eastAsia="宋体" w:cs="宋体"/>
                <w:color w:val="000000" w:themeColor="text1"/>
                <w:sz w:val="24"/>
                <w:szCs w:val="28"/>
                <w:highlight w:val="none"/>
                <w14:textFill>
                  <w14:solidFill>
                    <w14:schemeClr w14:val="tx1"/>
                  </w14:solidFill>
                </w14:textFill>
              </w:rPr>
              <w:t>波段合成方案，合成图像色彩丰富、层次分明，地类边界明显，有利于生态要素的判读解译。</w:t>
            </w:r>
          </w:p>
          <w:p w14:paraId="335B47CE">
            <w:pPr>
              <w:keepNext w:val="0"/>
              <w:keepLines w:val="0"/>
              <w:pageBreakBefore w:val="0"/>
              <w:widowControl w:val="0"/>
              <w:kinsoku/>
              <w:wordWrap/>
              <w:overflowPunct/>
              <w:topLinePunct w:val="0"/>
              <w:autoSpaceDE/>
              <w:autoSpaceDN/>
              <w:bidi w:val="0"/>
              <w:spacing w:line="360" w:lineRule="auto"/>
              <w:ind w:left="0" w:right="0" w:firstLine="460" w:firstLineChars="200"/>
              <w:textAlignment w:val="auto"/>
              <w:rPr>
                <w:rFonts w:hint="eastAsia" w:ascii="宋体" w:hAnsi="宋体" w:eastAsia="宋体" w:cs="宋体"/>
                <w:color w:val="000000" w:themeColor="text1"/>
                <w:spacing w:val="-5"/>
                <w:sz w:val="24"/>
                <w:szCs w:val="28"/>
                <w:highlight w:val="none"/>
                <w14:textFill>
                  <w14:solidFill>
                    <w14:schemeClr w14:val="tx1"/>
                  </w14:solidFill>
                </w14:textFill>
              </w:rPr>
            </w:pPr>
            <w:r>
              <w:rPr>
                <w:rFonts w:hint="eastAsia" w:ascii="宋体" w:hAnsi="宋体" w:eastAsia="宋体" w:cs="宋体"/>
                <w:color w:val="000000" w:themeColor="text1"/>
                <w:spacing w:val="-5"/>
                <w:sz w:val="24"/>
                <w:szCs w:val="28"/>
                <w:highlight w:val="none"/>
                <w14:textFill>
                  <w14:solidFill>
                    <w14:schemeClr w14:val="tx1"/>
                  </w14:solidFill>
                </w14:textFill>
              </w:rPr>
              <w:t>土地利用类型划分依据见表3-</w:t>
            </w:r>
            <w:r>
              <w:rPr>
                <w:rFonts w:hint="eastAsia" w:ascii="宋体" w:hAnsi="宋体" w:eastAsia="宋体" w:cs="宋体"/>
                <w:color w:val="000000" w:themeColor="text1"/>
                <w:spacing w:val="-5"/>
                <w:sz w:val="24"/>
                <w:szCs w:val="28"/>
                <w:highlight w:val="none"/>
                <w:lang w:val="en-US" w:eastAsia="zh-CN"/>
                <w14:textFill>
                  <w14:solidFill>
                    <w14:schemeClr w14:val="tx1"/>
                  </w14:solidFill>
                </w14:textFill>
              </w:rPr>
              <w:t>1</w:t>
            </w:r>
            <w:r>
              <w:rPr>
                <w:rFonts w:hint="eastAsia" w:ascii="宋体" w:hAnsi="宋体" w:eastAsia="宋体" w:cs="宋体"/>
                <w:color w:val="000000" w:themeColor="text1"/>
                <w:spacing w:val="-5"/>
                <w:sz w:val="24"/>
                <w:szCs w:val="28"/>
                <w:highlight w:val="none"/>
                <w14:textFill>
                  <w14:solidFill>
                    <w14:schemeClr w14:val="tx1"/>
                  </w14:solidFill>
                </w14:textFill>
              </w:rPr>
              <w:t>。</w:t>
            </w:r>
          </w:p>
          <w:p w14:paraId="2479E09D">
            <w:pPr>
              <w:pStyle w:val="63"/>
              <w:bidi w:val="0"/>
              <w:rPr>
                <w:rFonts w:hint="eastAsia"/>
              </w:rPr>
            </w:pPr>
            <w:r>
              <w:rPr>
                <w:rFonts w:hint="eastAsia"/>
              </w:rPr>
              <w:t>表3-</w:t>
            </w:r>
            <w:r>
              <w:rPr>
                <w:rFonts w:hint="eastAsia"/>
                <w:lang w:val="en-US" w:eastAsia="zh-CN"/>
              </w:rPr>
              <w:t>1</w:t>
            </w:r>
            <w:r>
              <w:rPr>
                <w:rFonts w:hint="eastAsia"/>
              </w:rPr>
              <w:t>土地利用类型划分表</w:t>
            </w:r>
          </w:p>
          <w:p w14:paraId="27F543E3">
            <w:pPr>
              <w:spacing w:line="107" w:lineRule="auto"/>
              <w:rPr>
                <w:rFonts w:hint="eastAsia" w:ascii="宋体" w:hAnsi="宋体" w:eastAsia="宋体" w:cs="宋体"/>
                <w:color w:val="000000" w:themeColor="text1"/>
                <w:sz w:val="2"/>
                <w:highlight w:val="none"/>
                <w14:textFill>
                  <w14:solidFill>
                    <w14:schemeClr w14:val="tx1"/>
                  </w14:solidFill>
                </w14:textFill>
              </w:rPr>
            </w:pPr>
          </w:p>
          <w:tbl>
            <w:tblPr>
              <w:tblStyle w:val="79"/>
              <w:tblW w:w="4980" w:type="pct"/>
              <w:tblInd w:w="2"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fixed"/>
              <w:tblCellMar>
                <w:top w:w="0" w:type="dxa"/>
                <w:left w:w="0" w:type="dxa"/>
                <w:bottom w:w="0" w:type="dxa"/>
                <w:right w:w="0" w:type="dxa"/>
              </w:tblCellMar>
            </w:tblPr>
            <w:tblGrid>
              <w:gridCol w:w="694"/>
              <w:gridCol w:w="645"/>
              <w:gridCol w:w="713"/>
              <w:gridCol w:w="1113"/>
              <w:gridCol w:w="4350"/>
            </w:tblGrid>
            <w:tr w14:paraId="43E385F1">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74" w:hRule="atLeast"/>
              </w:trPr>
              <w:tc>
                <w:tcPr>
                  <w:tcW w:w="891" w:type="pct"/>
                  <w:gridSpan w:val="2"/>
                  <w:tcBorders>
                    <w:top w:val="single" w:color="000000" w:sz="12" w:space="0"/>
                    <w:left w:val="nil"/>
                    <w:tl2br w:val="nil"/>
                  </w:tcBorders>
                  <w:shd w:val="clear" w:color="auto" w:fill="FFFFFF"/>
                  <w:vAlign w:val="center"/>
                </w:tcPr>
                <w:p w14:paraId="7D10F11E">
                  <w:pPr>
                    <w:pStyle w:val="70"/>
                    <w:bidi w:val="0"/>
                    <w:rPr>
                      <w:rFonts w:hint="eastAsia"/>
                      <w:highlight w:val="none"/>
                    </w:rPr>
                  </w:pPr>
                  <w:r>
                    <w:rPr>
                      <w:rFonts w:hint="eastAsia"/>
                      <w:highlight w:val="none"/>
                    </w:rPr>
                    <w:t>一级类</w:t>
                  </w:r>
                </w:p>
              </w:tc>
              <w:tc>
                <w:tcPr>
                  <w:tcW w:w="1214" w:type="pct"/>
                  <w:gridSpan w:val="2"/>
                  <w:tcBorders>
                    <w:top w:val="single" w:color="000000" w:sz="12" w:space="0"/>
                  </w:tcBorders>
                  <w:shd w:val="clear" w:color="auto" w:fill="FFFFFF"/>
                  <w:vAlign w:val="center"/>
                </w:tcPr>
                <w:p w14:paraId="7F941313">
                  <w:pPr>
                    <w:pStyle w:val="70"/>
                    <w:bidi w:val="0"/>
                    <w:rPr>
                      <w:rFonts w:hint="eastAsia"/>
                      <w:highlight w:val="none"/>
                    </w:rPr>
                  </w:pPr>
                  <w:r>
                    <w:rPr>
                      <w:rFonts w:hint="eastAsia"/>
                      <w:highlight w:val="none"/>
                    </w:rPr>
                    <w:t>二级类</w:t>
                  </w:r>
                </w:p>
              </w:tc>
              <w:tc>
                <w:tcPr>
                  <w:tcW w:w="2894" w:type="pct"/>
                  <w:vMerge w:val="restart"/>
                  <w:tcBorders>
                    <w:top w:val="single" w:color="000000" w:sz="12" w:space="0"/>
                    <w:right w:val="nil"/>
                  </w:tcBorders>
                  <w:shd w:val="clear" w:color="auto" w:fill="FFFFFF"/>
                  <w:vAlign w:val="center"/>
                </w:tcPr>
                <w:p w14:paraId="7A399D8C">
                  <w:pPr>
                    <w:pStyle w:val="70"/>
                    <w:bidi w:val="0"/>
                    <w:rPr>
                      <w:rFonts w:hint="eastAsia"/>
                      <w:highlight w:val="none"/>
                    </w:rPr>
                  </w:pPr>
                  <w:r>
                    <w:rPr>
                      <w:rFonts w:hint="eastAsia"/>
                      <w:highlight w:val="none"/>
                    </w:rPr>
                    <w:t>划分标准</w:t>
                  </w:r>
                </w:p>
              </w:tc>
            </w:tr>
            <w:tr w14:paraId="46BBBCDA">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462" w:type="pct"/>
                  <w:tcBorders>
                    <w:left w:val="nil"/>
                  </w:tcBorders>
                  <w:shd w:val="clear" w:color="auto" w:fill="FFFFFF"/>
                  <w:vAlign w:val="center"/>
                </w:tcPr>
                <w:p w14:paraId="14B46BA4">
                  <w:pPr>
                    <w:pStyle w:val="70"/>
                    <w:bidi w:val="0"/>
                    <w:rPr>
                      <w:rFonts w:hint="eastAsia"/>
                      <w:highlight w:val="none"/>
                    </w:rPr>
                  </w:pPr>
                  <w:r>
                    <w:rPr>
                      <w:rFonts w:hint="eastAsia"/>
                      <w:highlight w:val="none"/>
                    </w:rPr>
                    <w:t>类别编码</w:t>
                  </w:r>
                </w:p>
              </w:tc>
              <w:tc>
                <w:tcPr>
                  <w:tcW w:w="428" w:type="pct"/>
                  <w:shd w:val="clear" w:color="auto" w:fill="FFFFFF"/>
                  <w:vAlign w:val="center"/>
                </w:tcPr>
                <w:p w14:paraId="5B1D388B">
                  <w:pPr>
                    <w:pStyle w:val="70"/>
                    <w:bidi w:val="0"/>
                    <w:rPr>
                      <w:rFonts w:hint="eastAsia"/>
                      <w:highlight w:val="none"/>
                    </w:rPr>
                  </w:pPr>
                  <w:r>
                    <w:rPr>
                      <w:rFonts w:hint="eastAsia"/>
                      <w:highlight w:val="none"/>
                    </w:rPr>
                    <w:t>类别名称</w:t>
                  </w:r>
                </w:p>
              </w:tc>
              <w:tc>
                <w:tcPr>
                  <w:tcW w:w="474" w:type="pct"/>
                  <w:shd w:val="clear" w:color="auto" w:fill="FFFFFF"/>
                  <w:vAlign w:val="center"/>
                </w:tcPr>
                <w:p w14:paraId="7DD0A258">
                  <w:pPr>
                    <w:pStyle w:val="70"/>
                    <w:bidi w:val="0"/>
                    <w:rPr>
                      <w:rFonts w:hint="eastAsia"/>
                      <w:highlight w:val="none"/>
                    </w:rPr>
                  </w:pPr>
                  <w:r>
                    <w:rPr>
                      <w:rFonts w:hint="eastAsia"/>
                      <w:highlight w:val="none"/>
                    </w:rPr>
                    <w:t>类别编码</w:t>
                  </w:r>
                </w:p>
              </w:tc>
              <w:tc>
                <w:tcPr>
                  <w:tcW w:w="740" w:type="pct"/>
                  <w:shd w:val="clear" w:color="auto" w:fill="FFFFFF"/>
                  <w:vAlign w:val="center"/>
                </w:tcPr>
                <w:p w14:paraId="4F55A763">
                  <w:pPr>
                    <w:pStyle w:val="70"/>
                    <w:bidi w:val="0"/>
                    <w:rPr>
                      <w:rFonts w:hint="eastAsia"/>
                      <w:highlight w:val="none"/>
                    </w:rPr>
                  </w:pPr>
                  <w:r>
                    <w:rPr>
                      <w:rFonts w:hint="eastAsia"/>
                      <w:highlight w:val="none"/>
                    </w:rPr>
                    <w:t>类别名称</w:t>
                  </w:r>
                </w:p>
              </w:tc>
              <w:tc>
                <w:tcPr>
                  <w:tcW w:w="2894" w:type="pct"/>
                  <w:vMerge w:val="continue"/>
                  <w:tcBorders>
                    <w:right w:val="nil"/>
                  </w:tcBorders>
                  <w:shd w:val="clear" w:color="auto" w:fill="FFFFFF"/>
                  <w:vAlign w:val="center"/>
                </w:tcPr>
                <w:p w14:paraId="59A96361">
                  <w:pPr>
                    <w:pStyle w:val="70"/>
                    <w:bidi w:val="0"/>
                    <w:rPr>
                      <w:rFonts w:hint="eastAsia"/>
                      <w:highlight w:val="none"/>
                    </w:rPr>
                  </w:pPr>
                </w:p>
              </w:tc>
            </w:tr>
            <w:tr w14:paraId="35E363E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462" w:type="pct"/>
                  <w:tcBorders>
                    <w:left w:val="nil"/>
                  </w:tcBorders>
                  <w:shd w:val="clear" w:color="auto" w:fill="FFFFFF"/>
                  <w:vAlign w:val="center"/>
                </w:tcPr>
                <w:p w14:paraId="05472755">
                  <w:pPr>
                    <w:pStyle w:val="70"/>
                    <w:bidi w:val="0"/>
                    <w:rPr>
                      <w:rFonts w:hint="eastAsia"/>
                      <w:highlight w:val="none"/>
                      <w:lang w:val="en-US" w:eastAsia="zh-CN"/>
                    </w:rPr>
                  </w:pPr>
                  <w:r>
                    <w:rPr>
                      <w:rFonts w:hint="eastAsia"/>
                      <w:highlight w:val="none"/>
                      <w:lang w:val="en-US" w:eastAsia="zh-CN"/>
                    </w:rPr>
                    <w:t>01</w:t>
                  </w:r>
                </w:p>
              </w:tc>
              <w:tc>
                <w:tcPr>
                  <w:tcW w:w="428" w:type="pct"/>
                  <w:shd w:val="clear" w:color="auto" w:fill="FFFFFF"/>
                  <w:vAlign w:val="center"/>
                </w:tcPr>
                <w:p w14:paraId="0A7C15AF">
                  <w:pPr>
                    <w:pStyle w:val="70"/>
                    <w:bidi w:val="0"/>
                    <w:rPr>
                      <w:rFonts w:hint="eastAsia"/>
                      <w:highlight w:val="none"/>
                      <w:lang w:val="en-US" w:eastAsia="zh-CN"/>
                    </w:rPr>
                  </w:pPr>
                  <w:r>
                    <w:rPr>
                      <w:rFonts w:hint="eastAsia"/>
                      <w:highlight w:val="none"/>
                      <w:lang w:val="en-US" w:eastAsia="zh-CN"/>
                    </w:rPr>
                    <w:t>耕地</w:t>
                  </w:r>
                </w:p>
              </w:tc>
              <w:tc>
                <w:tcPr>
                  <w:tcW w:w="474" w:type="pct"/>
                  <w:shd w:val="clear" w:color="auto" w:fill="FFFFFF"/>
                  <w:vAlign w:val="center"/>
                </w:tcPr>
                <w:p w14:paraId="7AA0A75C">
                  <w:pPr>
                    <w:pStyle w:val="70"/>
                    <w:bidi w:val="0"/>
                    <w:rPr>
                      <w:rFonts w:hint="eastAsia"/>
                      <w:highlight w:val="none"/>
                      <w:lang w:val="en-US" w:eastAsia="zh-CN"/>
                    </w:rPr>
                  </w:pPr>
                  <w:r>
                    <w:rPr>
                      <w:rFonts w:hint="eastAsia"/>
                      <w:highlight w:val="none"/>
                      <w:lang w:val="en-US" w:eastAsia="zh-CN"/>
                    </w:rPr>
                    <w:t>0102</w:t>
                  </w:r>
                </w:p>
              </w:tc>
              <w:tc>
                <w:tcPr>
                  <w:tcW w:w="740" w:type="pct"/>
                  <w:shd w:val="clear" w:color="auto" w:fill="FFFFFF"/>
                  <w:vAlign w:val="center"/>
                </w:tcPr>
                <w:p w14:paraId="0D2BB678">
                  <w:pPr>
                    <w:pStyle w:val="70"/>
                    <w:bidi w:val="0"/>
                    <w:rPr>
                      <w:rFonts w:hint="eastAsia"/>
                      <w:highlight w:val="none"/>
                      <w:lang w:val="en-US" w:eastAsia="zh-CN"/>
                    </w:rPr>
                  </w:pPr>
                  <w:r>
                    <w:rPr>
                      <w:rFonts w:hint="eastAsia"/>
                      <w:highlight w:val="none"/>
                      <w:lang w:val="en-US" w:eastAsia="zh-CN"/>
                    </w:rPr>
                    <w:t>水浇地</w:t>
                  </w:r>
                </w:p>
              </w:tc>
              <w:tc>
                <w:tcPr>
                  <w:tcW w:w="2894" w:type="pct"/>
                  <w:tcBorders>
                    <w:right w:val="nil"/>
                  </w:tcBorders>
                  <w:shd w:val="clear" w:color="auto" w:fill="FFFFFF"/>
                  <w:vAlign w:val="center"/>
                </w:tcPr>
                <w:p w14:paraId="311CB92F">
                  <w:pPr>
                    <w:pStyle w:val="70"/>
                    <w:bidi w:val="0"/>
                    <w:rPr>
                      <w:rFonts w:hint="eastAsia"/>
                      <w:highlight w:val="none"/>
                      <w:lang w:val="en-US" w:eastAsia="zh-CN"/>
                    </w:rPr>
                  </w:pPr>
                  <w:r>
                    <w:rPr>
                      <w:rFonts w:hint="eastAsia"/>
                      <w:highlight w:val="none"/>
                      <w:lang w:val="en-US" w:eastAsia="zh-CN"/>
                    </w:rPr>
                    <w:t>指有水源保证和灌溉设施,在一般年景能正常灌测,种植早生农作物(含蔬菜)的耕地。包括种植蔬菜的非工厂化的大棚用地</w:t>
                  </w:r>
                </w:p>
              </w:tc>
            </w:tr>
            <w:tr w14:paraId="370EFF6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462" w:type="pct"/>
                  <w:tcBorders>
                    <w:left w:val="nil"/>
                  </w:tcBorders>
                  <w:shd w:val="clear" w:color="auto" w:fill="FFFFFF"/>
                  <w:vAlign w:val="center"/>
                </w:tcPr>
                <w:p w14:paraId="4E8B2108">
                  <w:pPr>
                    <w:pStyle w:val="70"/>
                    <w:bidi w:val="0"/>
                    <w:rPr>
                      <w:rFonts w:hint="eastAsia"/>
                      <w:highlight w:val="none"/>
                      <w:lang w:val="en-US" w:eastAsia="zh-CN"/>
                    </w:rPr>
                  </w:pPr>
                  <w:r>
                    <w:rPr>
                      <w:rFonts w:hint="eastAsia"/>
                      <w:highlight w:val="none"/>
                      <w:lang w:val="en-US" w:eastAsia="zh-CN"/>
                    </w:rPr>
                    <w:t>04</w:t>
                  </w:r>
                </w:p>
              </w:tc>
              <w:tc>
                <w:tcPr>
                  <w:tcW w:w="428" w:type="pct"/>
                  <w:shd w:val="clear" w:color="auto" w:fill="FFFFFF"/>
                  <w:vAlign w:val="center"/>
                </w:tcPr>
                <w:p w14:paraId="138B91E5">
                  <w:pPr>
                    <w:pStyle w:val="70"/>
                    <w:bidi w:val="0"/>
                    <w:rPr>
                      <w:rFonts w:hint="eastAsia"/>
                      <w:highlight w:val="none"/>
                      <w:lang w:val="en-US" w:eastAsia="en-US"/>
                    </w:rPr>
                  </w:pPr>
                  <w:r>
                    <w:rPr>
                      <w:rFonts w:hint="eastAsia"/>
                      <w:highlight w:val="none"/>
                      <w:lang w:val="en-US" w:eastAsia="zh-CN"/>
                    </w:rPr>
                    <w:t>草地</w:t>
                  </w:r>
                </w:p>
              </w:tc>
              <w:tc>
                <w:tcPr>
                  <w:tcW w:w="474" w:type="pct"/>
                  <w:shd w:val="clear" w:color="auto" w:fill="FFFFFF"/>
                  <w:vAlign w:val="center"/>
                </w:tcPr>
                <w:p w14:paraId="3EA8DF16">
                  <w:pPr>
                    <w:pStyle w:val="70"/>
                    <w:bidi w:val="0"/>
                    <w:rPr>
                      <w:rFonts w:hint="eastAsia"/>
                      <w:highlight w:val="none"/>
                      <w:lang w:val="en-US" w:eastAsia="zh-CN"/>
                    </w:rPr>
                  </w:pPr>
                  <w:r>
                    <w:rPr>
                      <w:rFonts w:hint="eastAsia"/>
                      <w:highlight w:val="none"/>
                      <w:lang w:val="en-US" w:eastAsia="zh-CN"/>
                    </w:rPr>
                    <w:t>0402</w:t>
                  </w:r>
                </w:p>
              </w:tc>
              <w:tc>
                <w:tcPr>
                  <w:tcW w:w="740" w:type="pct"/>
                  <w:shd w:val="clear" w:color="auto" w:fill="FFFFFF"/>
                  <w:vAlign w:val="center"/>
                </w:tcPr>
                <w:p w14:paraId="65E53B2C">
                  <w:pPr>
                    <w:pStyle w:val="70"/>
                    <w:bidi w:val="0"/>
                    <w:rPr>
                      <w:rFonts w:hint="default"/>
                      <w:highlight w:val="none"/>
                      <w:lang w:val="en-US" w:eastAsia="zh-CN"/>
                    </w:rPr>
                  </w:pPr>
                  <w:r>
                    <w:rPr>
                      <w:rFonts w:hint="eastAsia"/>
                      <w:highlight w:val="none"/>
                      <w:lang w:val="en-US" w:eastAsia="zh-CN"/>
                    </w:rPr>
                    <w:t>沼泽草地</w:t>
                  </w:r>
                </w:p>
              </w:tc>
              <w:tc>
                <w:tcPr>
                  <w:tcW w:w="2894" w:type="pct"/>
                  <w:tcBorders>
                    <w:right w:val="nil"/>
                  </w:tcBorders>
                  <w:shd w:val="clear" w:color="auto" w:fill="FFFFFF"/>
                  <w:vAlign w:val="center"/>
                </w:tcPr>
                <w:p w14:paraId="2FBA75F7">
                  <w:pPr>
                    <w:pStyle w:val="70"/>
                    <w:bidi w:val="0"/>
                    <w:rPr>
                      <w:rFonts w:hint="default"/>
                      <w:highlight w:val="none"/>
                      <w:lang w:val="en-US" w:eastAsia="zh-CN"/>
                    </w:rPr>
                  </w:pPr>
                  <w:r>
                    <w:rPr>
                      <w:rFonts w:hint="eastAsia"/>
                      <w:highlight w:val="none"/>
                      <w:lang w:val="en-US" w:eastAsia="zh-CN"/>
                    </w:rPr>
                    <w:t>指以天然草本植物为主的沼泽化的低地草甸、高寒草甸</w:t>
                  </w:r>
                </w:p>
              </w:tc>
            </w:tr>
            <w:tr w14:paraId="1B27630B">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62" w:type="pct"/>
                  <w:tcBorders>
                    <w:left w:val="nil"/>
                  </w:tcBorders>
                  <w:shd w:val="clear" w:color="auto" w:fill="FFFFFF"/>
                  <w:vAlign w:val="center"/>
                </w:tcPr>
                <w:p w14:paraId="48D03AD9">
                  <w:pPr>
                    <w:pStyle w:val="70"/>
                    <w:bidi w:val="0"/>
                    <w:rPr>
                      <w:rFonts w:hint="default" w:eastAsia="宋体"/>
                      <w:highlight w:val="none"/>
                      <w:lang w:val="en-US" w:eastAsia="zh-CN"/>
                    </w:rPr>
                  </w:pPr>
                  <w:r>
                    <w:rPr>
                      <w:rFonts w:hint="eastAsia"/>
                      <w:highlight w:val="none"/>
                      <w:lang w:val="en-US" w:eastAsia="zh-CN"/>
                    </w:rPr>
                    <w:t>07</w:t>
                  </w:r>
                </w:p>
              </w:tc>
              <w:tc>
                <w:tcPr>
                  <w:tcW w:w="428" w:type="pct"/>
                  <w:shd w:val="clear" w:color="auto" w:fill="FFFFFF"/>
                  <w:vAlign w:val="center"/>
                </w:tcPr>
                <w:p w14:paraId="47AB949D">
                  <w:pPr>
                    <w:pStyle w:val="70"/>
                    <w:bidi w:val="0"/>
                    <w:rPr>
                      <w:rFonts w:hint="eastAsia"/>
                      <w:highlight w:val="none"/>
                      <w:lang w:val="en-US" w:eastAsia="zh-CN"/>
                    </w:rPr>
                  </w:pPr>
                  <w:r>
                    <w:rPr>
                      <w:rFonts w:hint="eastAsia"/>
                      <w:highlight w:val="none"/>
                      <w:lang w:val="en-US" w:eastAsia="zh-CN"/>
                    </w:rPr>
                    <w:t>住宅</w:t>
                  </w:r>
                  <w:r>
                    <w:rPr>
                      <w:rFonts w:hint="eastAsia"/>
                      <w:highlight w:val="none"/>
                    </w:rPr>
                    <w:t>用地</w:t>
                  </w:r>
                </w:p>
              </w:tc>
              <w:tc>
                <w:tcPr>
                  <w:tcW w:w="474" w:type="pct"/>
                  <w:shd w:val="clear" w:color="auto" w:fill="FFFFFF"/>
                  <w:vAlign w:val="center"/>
                </w:tcPr>
                <w:p w14:paraId="18BAAE36">
                  <w:pPr>
                    <w:pStyle w:val="70"/>
                    <w:bidi w:val="0"/>
                    <w:ind w:firstLine="0" w:firstLineChars="0"/>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1004</w:t>
                  </w:r>
                </w:p>
              </w:tc>
              <w:tc>
                <w:tcPr>
                  <w:tcW w:w="740" w:type="pct"/>
                  <w:shd w:val="clear" w:color="auto" w:fill="FFFFFF"/>
                  <w:vAlign w:val="center"/>
                </w:tcPr>
                <w:p w14:paraId="44DA2960">
                  <w:pPr>
                    <w:pStyle w:val="70"/>
                    <w:bidi w:val="0"/>
                    <w:ind w:firstLine="0" w:firstLineChars="0"/>
                    <w:rPr>
                      <w:rFonts w:hint="eastAsia" w:ascii="Times New Roman" w:hAnsi="Times New Roman" w:eastAsia="宋体" w:cs="Times New Roman"/>
                      <w:kern w:val="2"/>
                      <w:sz w:val="21"/>
                      <w:szCs w:val="24"/>
                      <w:highlight w:val="none"/>
                      <w:lang w:val="en-US" w:eastAsia="en-US" w:bidi="ar-SA"/>
                    </w:rPr>
                  </w:pPr>
                  <w:r>
                    <w:rPr>
                      <w:rFonts w:hint="eastAsia"/>
                      <w:highlight w:val="none"/>
                      <w:lang w:val="en-US" w:eastAsia="zh-CN"/>
                    </w:rPr>
                    <w:t>农村宅基地</w:t>
                  </w:r>
                </w:p>
              </w:tc>
              <w:tc>
                <w:tcPr>
                  <w:tcW w:w="2894" w:type="pct"/>
                  <w:tcBorders>
                    <w:right w:val="nil"/>
                  </w:tcBorders>
                  <w:shd w:val="clear" w:color="auto" w:fill="FFFFFF"/>
                  <w:vAlign w:val="center"/>
                </w:tcPr>
                <w:p w14:paraId="3F568647">
                  <w:pPr>
                    <w:pStyle w:val="70"/>
                    <w:bidi w:val="0"/>
                    <w:ind w:firstLine="0" w:firstLineChars="0"/>
                    <w:rPr>
                      <w:rFonts w:hint="eastAsia" w:ascii="Times New Roman" w:hAnsi="Times New Roman" w:eastAsia="宋体" w:cs="Times New Roman"/>
                      <w:kern w:val="2"/>
                      <w:sz w:val="21"/>
                      <w:szCs w:val="24"/>
                      <w:highlight w:val="none"/>
                      <w:lang w:val="en-US" w:eastAsia="zh-CN" w:bidi="ar-SA"/>
                    </w:rPr>
                  </w:pPr>
                  <w:r>
                    <w:rPr>
                      <w:rFonts w:hint="eastAsia"/>
                      <w:highlight w:val="none"/>
                    </w:rPr>
                    <w:t>指农村用于生活居住的宅基地</w:t>
                  </w:r>
                </w:p>
              </w:tc>
            </w:tr>
            <w:tr w14:paraId="782D48E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462" w:type="pct"/>
                  <w:tcBorders>
                    <w:left w:val="nil"/>
                  </w:tcBorders>
                  <w:shd w:val="clear" w:color="auto" w:fill="FFFFFF"/>
                  <w:vAlign w:val="center"/>
                </w:tcPr>
                <w:p w14:paraId="342687CF">
                  <w:pPr>
                    <w:pStyle w:val="70"/>
                    <w:bidi w:val="0"/>
                    <w:rPr>
                      <w:rFonts w:hint="default" w:eastAsia="宋体"/>
                      <w:highlight w:val="none"/>
                      <w:lang w:val="en-US" w:eastAsia="zh-CN"/>
                    </w:rPr>
                  </w:pPr>
                  <w:r>
                    <w:rPr>
                      <w:rFonts w:hint="eastAsia"/>
                      <w:highlight w:val="none"/>
                      <w:lang w:val="en-US" w:eastAsia="zh-CN"/>
                    </w:rPr>
                    <w:t>10</w:t>
                  </w:r>
                </w:p>
              </w:tc>
              <w:tc>
                <w:tcPr>
                  <w:tcW w:w="428" w:type="pct"/>
                  <w:shd w:val="clear" w:color="auto" w:fill="FFFFFF"/>
                  <w:vAlign w:val="center"/>
                </w:tcPr>
                <w:p w14:paraId="71AD54B0">
                  <w:pPr>
                    <w:pStyle w:val="70"/>
                    <w:bidi w:val="0"/>
                    <w:rPr>
                      <w:rFonts w:hint="default" w:eastAsia="宋体"/>
                      <w:highlight w:val="none"/>
                      <w:lang w:val="en-US" w:eastAsia="zh-CN"/>
                    </w:rPr>
                  </w:pPr>
                  <w:r>
                    <w:rPr>
                      <w:rFonts w:hint="eastAsia"/>
                      <w:highlight w:val="none"/>
                      <w:lang w:val="en-US" w:eastAsia="zh-CN"/>
                    </w:rPr>
                    <w:t>交通运输用地</w:t>
                  </w:r>
                </w:p>
              </w:tc>
              <w:tc>
                <w:tcPr>
                  <w:tcW w:w="474" w:type="pct"/>
                  <w:shd w:val="clear" w:color="auto" w:fill="FFFFFF"/>
                  <w:vAlign w:val="center"/>
                </w:tcPr>
                <w:p w14:paraId="52F67906">
                  <w:pPr>
                    <w:pStyle w:val="70"/>
                    <w:bidi w:val="0"/>
                    <w:ind w:firstLine="0" w:firstLineChars="0"/>
                    <w:rPr>
                      <w:rFonts w:hint="eastAsia" w:ascii="Times New Roman" w:hAnsi="Times New Roman" w:eastAsia="宋体" w:cs="Times New Roman"/>
                      <w:kern w:val="2"/>
                      <w:sz w:val="21"/>
                      <w:szCs w:val="24"/>
                      <w:highlight w:val="none"/>
                      <w:lang w:val="en-US" w:eastAsia="zh-CN" w:bidi="ar-SA"/>
                    </w:rPr>
                  </w:pPr>
                  <w:r>
                    <w:rPr>
                      <w:rFonts w:hint="eastAsia"/>
                      <w:highlight w:val="none"/>
                    </w:rPr>
                    <w:t>100</w:t>
                  </w:r>
                  <w:r>
                    <w:rPr>
                      <w:rFonts w:hint="eastAsia"/>
                      <w:highlight w:val="none"/>
                      <w:lang w:val="en-US" w:eastAsia="zh-CN"/>
                    </w:rPr>
                    <w:t>6</w:t>
                  </w:r>
                </w:p>
              </w:tc>
              <w:tc>
                <w:tcPr>
                  <w:tcW w:w="740" w:type="pct"/>
                  <w:shd w:val="clear" w:color="auto" w:fill="FFFFFF"/>
                  <w:vAlign w:val="center"/>
                </w:tcPr>
                <w:p w14:paraId="413FDC39">
                  <w:pPr>
                    <w:pStyle w:val="70"/>
                    <w:bidi w:val="0"/>
                    <w:ind w:firstLine="0" w:firstLineChars="0"/>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农村道路</w:t>
                  </w:r>
                </w:p>
              </w:tc>
              <w:tc>
                <w:tcPr>
                  <w:tcW w:w="2894" w:type="pct"/>
                  <w:tcBorders>
                    <w:right w:val="nil"/>
                  </w:tcBorders>
                  <w:shd w:val="clear" w:color="auto" w:fill="FFFFFF"/>
                  <w:vAlign w:val="center"/>
                </w:tcPr>
                <w:p w14:paraId="7CCDC164">
                  <w:pPr>
                    <w:pStyle w:val="70"/>
                    <w:bidi w:val="0"/>
                    <w:ind w:firstLine="0" w:firstLineChars="0"/>
                    <w:rPr>
                      <w:rFonts w:hint="eastAsia" w:ascii="Times New Roman" w:hAnsi="Times New Roman" w:eastAsia="宋体" w:cs="Times New Roman"/>
                      <w:kern w:val="2"/>
                      <w:sz w:val="21"/>
                      <w:szCs w:val="24"/>
                      <w:highlight w:val="none"/>
                      <w:lang w:val="en-US" w:eastAsia="en-US" w:bidi="ar-SA"/>
                    </w:rPr>
                  </w:pPr>
                  <w:r>
                    <w:rPr>
                      <w:rFonts w:hint="eastAsia"/>
                      <w:highlight w:val="none"/>
                    </w:rPr>
                    <w:t>在农村范围内，南方宽度≥1.0m、≤8m，北方宽度≥2.0m8 m,用于村间田间交通运输、并在国家公路网络体系之外，以服务于农村农业生产为主要用途的道路(含机耕道)</w:t>
                  </w:r>
                </w:p>
              </w:tc>
            </w:tr>
            <w:tr w14:paraId="743484BA">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62" w:type="pct"/>
                  <w:vMerge w:val="restart"/>
                  <w:tcBorders>
                    <w:left w:val="nil"/>
                  </w:tcBorders>
                  <w:shd w:val="clear" w:color="auto" w:fill="FFFFFF"/>
                  <w:vAlign w:val="center"/>
                </w:tcPr>
                <w:p w14:paraId="6B6596D7">
                  <w:pPr>
                    <w:pStyle w:val="70"/>
                    <w:bidi w:val="0"/>
                    <w:rPr>
                      <w:rFonts w:hint="eastAsia"/>
                      <w:highlight w:val="none"/>
                    </w:rPr>
                  </w:pPr>
                  <w:r>
                    <w:rPr>
                      <w:rFonts w:hint="eastAsia"/>
                      <w:highlight w:val="none"/>
                    </w:rPr>
                    <w:t>11</w:t>
                  </w:r>
                </w:p>
              </w:tc>
              <w:tc>
                <w:tcPr>
                  <w:tcW w:w="428" w:type="pct"/>
                  <w:vMerge w:val="restart"/>
                  <w:shd w:val="clear" w:color="auto" w:fill="FFFFFF"/>
                  <w:vAlign w:val="center"/>
                </w:tcPr>
                <w:p w14:paraId="7075C614">
                  <w:pPr>
                    <w:pStyle w:val="70"/>
                    <w:bidi w:val="0"/>
                    <w:rPr>
                      <w:rFonts w:hint="eastAsia"/>
                      <w:highlight w:val="none"/>
                    </w:rPr>
                  </w:pPr>
                  <w:r>
                    <w:rPr>
                      <w:rFonts w:hint="eastAsia"/>
                      <w:highlight w:val="none"/>
                    </w:rPr>
                    <w:t>水域及水利设施用地</w:t>
                  </w:r>
                </w:p>
              </w:tc>
              <w:tc>
                <w:tcPr>
                  <w:tcW w:w="474" w:type="pct"/>
                  <w:shd w:val="clear" w:color="auto" w:fill="FFFFFF"/>
                  <w:vAlign w:val="center"/>
                </w:tcPr>
                <w:p w14:paraId="226AE0C3">
                  <w:pPr>
                    <w:pStyle w:val="70"/>
                    <w:bidi w:val="0"/>
                    <w:rPr>
                      <w:rFonts w:hint="eastAsia"/>
                      <w:highlight w:val="none"/>
                    </w:rPr>
                  </w:pPr>
                  <w:r>
                    <w:rPr>
                      <w:rFonts w:hint="eastAsia"/>
                      <w:highlight w:val="none"/>
                    </w:rPr>
                    <w:t>1101</w:t>
                  </w:r>
                </w:p>
              </w:tc>
              <w:tc>
                <w:tcPr>
                  <w:tcW w:w="740" w:type="pct"/>
                  <w:shd w:val="clear" w:color="auto" w:fill="FFFFFF"/>
                  <w:vAlign w:val="center"/>
                </w:tcPr>
                <w:p w14:paraId="3A3D0188">
                  <w:pPr>
                    <w:pStyle w:val="70"/>
                    <w:bidi w:val="0"/>
                    <w:rPr>
                      <w:rFonts w:hint="eastAsia"/>
                      <w:highlight w:val="none"/>
                    </w:rPr>
                  </w:pPr>
                  <w:r>
                    <w:rPr>
                      <w:rFonts w:hint="eastAsia"/>
                      <w:highlight w:val="none"/>
                      <w:lang w:val="en-US" w:eastAsia="zh-CN"/>
                    </w:rPr>
                    <w:t>河流</w:t>
                  </w:r>
                  <w:r>
                    <w:rPr>
                      <w:rFonts w:hint="eastAsia"/>
                      <w:highlight w:val="none"/>
                    </w:rPr>
                    <w:t>水面</w:t>
                  </w:r>
                </w:p>
              </w:tc>
              <w:tc>
                <w:tcPr>
                  <w:tcW w:w="2894" w:type="pct"/>
                  <w:tcBorders>
                    <w:right w:val="nil"/>
                  </w:tcBorders>
                  <w:shd w:val="clear" w:color="auto" w:fill="FFFFFF"/>
                  <w:vAlign w:val="center"/>
                </w:tcPr>
                <w:p w14:paraId="3B5B1602">
                  <w:pPr>
                    <w:pStyle w:val="70"/>
                    <w:bidi w:val="0"/>
                    <w:rPr>
                      <w:rFonts w:hint="eastAsia"/>
                      <w:highlight w:val="none"/>
                    </w:rPr>
                  </w:pPr>
                  <w:r>
                    <w:rPr>
                      <w:rFonts w:hint="eastAsia"/>
                      <w:highlight w:val="none"/>
                    </w:rPr>
                    <w:t>指天然形成或人工开挖河流常水位岸线之间的水面,不包括被堤坝拦截后形成的水库区段水面</w:t>
                  </w:r>
                </w:p>
              </w:tc>
            </w:tr>
            <w:tr w14:paraId="109AAF5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62" w:type="pct"/>
                  <w:vMerge w:val="continue"/>
                  <w:tcBorders>
                    <w:left w:val="nil"/>
                  </w:tcBorders>
                  <w:shd w:val="clear" w:color="auto" w:fill="FFFFFF"/>
                  <w:vAlign w:val="center"/>
                </w:tcPr>
                <w:p w14:paraId="7DE6215C">
                  <w:pPr>
                    <w:pStyle w:val="70"/>
                    <w:bidi w:val="0"/>
                    <w:rPr>
                      <w:rFonts w:hint="eastAsia"/>
                      <w:highlight w:val="none"/>
                    </w:rPr>
                  </w:pPr>
                </w:p>
              </w:tc>
              <w:tc>
                <w:tcPr>
                  <w:tcW w:w="428" w:type="pct"/>
                  <w:vMerge w:val="continue"/>
                  <w:shd w:val="clear" w:color="auto" w:fill="FFFFFF"/>
                  <w:vAlign w:val="center"/>
                </w:tcPr>
                <w:p w14:paraId="087237E6">
                  <w:pPr>
                    <w:pStyle w:val="70"/>
                    <w:bidi w:val="0"/>
                    <w:rPr>
                      <w:rFonts w:hint="eastAsia"/>
                      <w:highlight w:val="none"/>
                    </w:rPr>
                  </w:pPr>
                </w:p>
              </w:tc>
              <w:tc>
                <w:tcPr>
                  <w:tcW w:w="474" w:type="pct"/>
                  <w:shd w:val="clear" w:color="auto" w:fill="FFFFFF"/>
                  <w:vAlign w:val="center"/>
                </w:tcPr>
                <w:p w14:paraId="24985E02">
                  <w:pPr>
                    <w:pStyle w:val="70"/>
                    <w:bidi w:val="0"/>
                    <w:rPr>
                      <w:rFonts w:hint="eastAsia"/>
                      <w:highlight w:val="none"/>
                      <w:lang w:val="en-US" w:eastAsia="zh-CN"/>
                    </w:rPr>
                  </w:pPr>
                  <w:r>
                    <w:rPr>
                      <w:rFonts w:hint="eastAsia"/>
                      <w:highlight w:val="none"/>
                      <w:lang w:val="en-US" w:eastAsia="zh-CN"/>
                    </w:rPr>
                    <w:t>1107</w:t>
                  </w:r>
                </w:p>
              </w:tc>
              <w:tc>
                <w:tcPr>
                  <w:tcW w:w="740" w:type="pct"/>
                  <w:shd w:val="clear" w:color="auto" w:fill="FFFFFF"/>
                  <w:vAlign w:val="center"/>
                </w:tcPr>
                <w:p w14:paraId="693371A3">
                  <w:pPr>
                    <w:pStyle w:val="70"/>
                    <w:bidi w:val="0"/>
                    <w:rPr>
                      <w:rFonts w:hint="eastAsia"/>
                      <w:highlight w:val="none"/>
                    </w:rPr>
                  </w:pPr>
                  <w:r>
                    <w:rPr>
                      <w:rFonts w:hint="eastAsia"/>
                      <w:highlight w:val="none"/>
                      <w:lang w:val="en-US" w:eastAsia="zh-CN"/>
                    </w:rPr>
                    <w:t>沟渠</w:t>
                  </w:r>
                </w:p>
              </w:tc>
              <w:tc>
                <w:tcPr>
                  <w:tcW w:w="2894" w:type="pct"/>
                  <w:tcBorders>
                    <w:right w:val="nil"/>
                  </w:tcBorders>
                  <w:shd w:val="clear" w:color="auto" w:fill="FFFFFF"/>
                  <w:vAlign w:val="center"/>
                </w:tcPr>
                <w:p w14:paraId="7B5259EF">
                  <w:pPr>
                    <w:pStyle w:val="70"/>
                    <w:bidi w:val="0"/>
                    <w:rPr>
                      <w:rFonts w:hint="eastAsia"/>
                      <w:highlight w:val="none"/>
                      <w:lang w:val="en-US" w:eastAsia="zh-CN"/>
                    </w:rPr>
                  </w:pPr>
                  <w:r>
                    <w:rPr>
                      <w:rFonts w:hint="eastAsia"/>
                      <w:highlight w:val="none"/>
                    </w:rPr>
                    <w:t>指人工修建，南方宽度≥1.0m、北方宽度≥2.0m用于引、排、的渠道，包括渠槽、渠堤、护堤林及小型泵站</w:t>
                  </w:r>
                </w:p>
              </w:tc>
            </w:tr>
          </w:tbl>
          <w:p w14:paraId="65A9CB52">
            <w:pPr>
              <w:spacing w:line="360" w:lineRule="auto"/>
              <w:ind w:firstLine="460" w:firstLineChars="200"/>
              <w:rPr>
                <w:rFonts w:hint="eastAsia" w:ascii="宋体" w:hAnsi="宋体" w:eastAsia="宋体" w:cs="宋体"/>
                <w:color w:val="000000" w:themeColor="text1"/>
                <w:spacing w:val="-5"/>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pacing w:val="-5"/>
                <w:sz w:val="24"/>
                <w:szCs w:val="24"/>
                <w:highlight w:val="none"/>
                <w14:textFill>
                  <w14:solidFill>
                    <w14:schemeClr w14:val="tx1"/>
                  </w14:solidFill>
                </w14:textFill>
              </w:rPr>
              <w:t>）项目调查区域土地利用现状调查与评价</w:t>
            </w:r>
          </w:p>
          <w:p w14:paraId="6D11F48C">
            <w:pPr>
              <w:spacing w:line="360" w:lineRule="auto"/>
              <w:ind w:firstLine="46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由遥感解译分析及面积统计及分析结果可知，生态调查范围各类土地利用类型总面积为</w:t>
            </w:r>
            <w:r>
              <w:rPr>
                <w:rFonts w:hint="eastAsia" w:ascii="宋体" w:hAnsi="宋体" w:cs="宋体"/>
                <w:color w:val="000000" w:themeColor="text1"/>
                <w:spacing w:val="-5"/>
                <w:sz w:val="24"/>
                <w:szCs w:val="24"/>
                <w:highlight w:val="none"/>
                <w:lang w:val="en-US" w:eastAsia="zh-CN"/>
                <w14:textFill>
                  <w14:solidFill>
                    <w14:schemeClr w14:val="tx1"/>
                  </w14:solidFill>
                </w14:textFill>
              </w:rPr>
              <w:t>3692.1</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h</w:t>
            </w:r>
            <w:r>
              <w:rPr>
                <w:rFonts w:hint="eastAsia" w:ascii="宋体" w:hAnsi="宋体" w:eastAsia="宋体" w:cs="宋体"/>
                <w:color w:val="000000" w:themeColor="text1"/>
                <w:spacing w:val="-5"/>
                <w:sz w:val="24"/>
                <w:szCs w:val="24"/>
                <w:highlight w:val="none"/>
                <w14:textFill>
                  <w14:solidFill>
                    <w14:schemeClr w14:val="tx1"/>
                  </w14:solidFill>
                </w14:textFill>
              </w:rPr>
              <w:t>m</w:t>
            </w:r>
            <w:r>
              <w:rPr>
                <w:rFonts w:hint="eastAsia" w:ascii="宋体" w:hAnsi="宋体" w:eastAsia="宋体" w:cs="宋体"/>
                <w:color w:val="000000" w:themeColor="text1"/>
                <w:spacing w:val="-5"/>
                <w:sz w:val="24"/>
                <w:szCs w:val="24"/>
                <w:highlight w:val="none"/>
                <w:vertAlign w:val="superscript"/>
                <w14:textFill>
                  <w14:solidFill>
                    <w14:schemeClr w14:val="tx1"/>
                  </w14:solidFill>
                </w14:textFill>
              </w:rPr>
              <w:t>2</w:t>
            </w:r>
            <w:r>
              <w:rPr>
                <w:rFonts w:hint="eastAsia" w:ascii="宋体" w:hAnsi="宋体" w:eastAsia="宋体" w:cs="宋体"/>
                <w:color w:val="000000" w:themeColor="text1"/>
                <w:spacing w:val="-5"/>
                <w:sz w:val="24"/>
                <w:szCs w:val="24"/>
                <w:highlight w:val="none"/>
                <w14:textFill>
                  <w14:solidFill>
                    <w14:schemeClr w14:val="tx1"/>
                  </w14:solidFill>
                </w14:textFill>
              </w:rPr>
              <w:t>。按照《土地利用现状分类标准（GBT21010-2017）》中的一级地类进行地类划分，将生态调查范围内的土地利用类型划分为耕地、</w:t>
            </w:r>
            <w:r>
              <w:rPr>
                <w:rFonts w:hint="eastAsia" w:ascii="宋体" w:hAnsi="宋体" w:cs="宋体"/>
                <w:color w:val="000000" w:themeColor="text1"/>
                <w:spacing w:val="-5"/>
                <w:sz w:val="24"/>
                <w:szCs w:val="24"/>
                <w:highlight w:val="none"/>
                <w:lang w:val="en-US" w:eastAsia="zh-CN"/>
                <w14:textFill>
                  <w14:solidFill>
                    <w14:schemeClr w14:val="tx1"/>
                  </w14:solidFill>
                </w14:textFill>
              </w:rPr>
              <w:t>草地</w:t>
            </w:r>
            <w:r>
              <w:rPr>
                <w:rFonts w:hint="eastAsia" w:ascii="宋体" w:hAnsi="宋体" w:eastAsia="宋体" w:cs="宋体"/>
                <w:color w:val="000000" w:themeColor="text1"/>
                <w:spacing w:val="-5"/>
                <w:sz w:val="24"/>
                <w:szCs w:val="24"/>
                <w:highlight w:val="none"/>
                <w14:textFill>
                  <w14:solidFill>
                    <w14:schemeClr w14:val="tx1"/>
                  </w14:solidFill>
                </w14:textFill>
              </w:rPr>
              <w:t>、</w:t>
            </w:r>
            <w:r>
              <w:rPr>
                <w:rFonts w:hint="eastAsia" w:ascii="宋体" w:hAnsi="宋体" w:cs="宋体"/>
                <w:color w:val="000000" w:themeColor="text1"/>
                <w:spacing w:val="-5"/>
                <w:sz w:val="24"/>
                <w:szCs w:val="24"/>
                <w:highlight w:val="none"/>
                <w:lang w:val="en-US" w:eastAsia="zh-CN"/>
                <w14:textFill>
                  <w14:solidFill>
                    <w14:schemeClr w14:val="tx1"/>
                  </w14:solidFill>
                </w14:textFill>
              </w:rPr>
              <w:t>住宅</w:t>
            </w:r>
            <w:r>
              <w:rPr>
                <w:rFonts w:hint="eastAsia" w:ascii="宋体" w:hAnsi="宋体" w:eastAsia="宋体" w:cs="宋体"/>
                <w:color w:val="000000" w:themeColor="text1"/>
                <w:spacing w:val="-5"/>
                <w:sz w:val="24"/>
                <w:szCs w:val="24"/>
                <w:highlight w:val="none"/>
                <w14:textFill>
                  <w14:solidFill>
                    <w14:schemeClr w14:val="tx1"/>
                  </w14:solidFill>
                </w14:textFill>
              </w:rPr>
              <w:t>用地、交通运输用地、水域及水利设施用地共计</w:t>
            </w:r>
            <w:r>
              <w:rPr>
                <w:rFonts w:hint="eastAsia" w:ascii="宋体" w:hAnsi="宋体" w:cs="宋体"/>
                <w:color w:val="000000" w:themeColor="text1"/>
                <w:spacing w:val="-5"/>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pacing w:val="-5"/>
                <w:sz w:val="24"/>
                <w:szCs w:val="24"/>
                <w:highlight w:val="none"/>
                <w14:textFill>
                  <w14:solidFill>
                    <w14:schemeClr w14:val="tx1"/>
                  </w14:solidFill>
                </w14:textFill>
              </w:rPr>
              <w:t>个一级地类型。项目区土地利用类型及面积见表3</w:t>
            </w:r>
            <w:bookmarkStart w:id="11" w:name="OLE_LINK40"/>
            <w:r>
              <w:rPr>
                <w:rFonts w:hint="eastAsia" w:ascii="宋体" w:hAnsi="宋体" w:eastAsia="宋体" w:cs="宋体"/>
                <w:color w:val="000000" w:themeColor="text1"/>
                <w:spacing w:val="-5"/>
                <w:sz w:val="24"/>
                <w:szCs w:val="24"/>
                <w:highlight w:val="none"/>
                <w14:textFill>
                  <w14:solidFill>
                    <w14:schemeClr w14:val="tx1"/>
                  </w14:solidFill>
                </w14:textFill>
              </w:rPr>
              <w:t>-</w:t>
            </w:r>
            <w:bookmarkEnd w:id="11"/>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pacing w:val="-5"/>
                <w:sz w:val="24"/>
                <w:szCs w:val="24"/>
                <w:highlight w:val="none"/>
                <w14:textFill>
                  <w14:solidFill>
                    <w14:schemeClr w14:val="tx1"/>
                  </w14:solidFill>
                </w14:textFill>
              </w:rPr>
              <w:t>。土地利用现状见附图。</w:t>
            </w:r>
          </w:p>
          <w:p w14:paraId="223D78A2">
            <w:pPr>
              <w:pStyle w:val="63"/>
              <w:bidi w:val="0"/>
              <w:rPr>
                <w:rFonts w:hint="eastAsia"/>
              </w:rPr>
            </w:pPr>
            <w:r>
              <w:rPr>
                <w:rFonts w:hint="eastAsia"/>
              </w:rPr>
              <w:t>表3-</w:t>
            </w:r>
            <w:r>
              <w:rPr>
                <w:rFonts w:hint="eastAsia"/>
                <w:lang w:val="en-US" w:eastAsia="zh-CN"/>
              </w:rPr>
              <w:t>2</w:t>
            </w:r>
            <w:r>
              <w:rPr>
                <w:rFonts w:hint="eastAsia"/>
              </w:rPr>
              <w:t>调查范围内土地利用类型及面积统计表</w:t>
            </w:r>
          </w:p>
          <w:tbl>
            <w:tblPr>
              <w:tblStyle w:val="79"/>
              <w:tblW w:w="4987"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3"/>
              <w:gridCol w:w="1163"/>
              <w:gridCol w:w="1803"/>
              <w:gridCol w:w="1366"/>
              <w:gridCol w:w="1306"/>
            </w:tblGrid>
            <w:tr w14:paraId="0543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rPr>
              <w:tc>
                <w:tcPr>
                  <w:tcW w:w="1252" w:type="pct"/>
                  <w:vMerge w:val="restart"/>
                  <w:tcBorders>
                    <w:top w:val="single" w:color="000000" w:sz="12" w:space="0"/>
                    <w:left w:val="nil"/>
                    <w:tl2br w:val="nil"/>
                  </w:tcBorders>
                  <w:shd w:val="clear" w:color="auto" w:fill="FFFFFF"/>
                  <w:vAlign w:val="center"/>
                </w:tcPr>
                <w:p w14:paraId="3F6D25D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pacing w:val="4"/>
                      <w:sz w:val="24"/>
                      <w:szCs w:val="24"/>
                      <w:highlight w:val="none"/>
                      <w14:textOutline w14:w="3795" w14:cap="sq" w14:cmpd="sng">
                        <w14:solidFill>
                          <w14:srgbClr w14:val="000000"/>
                        </w14:solidFill>
                        <w14:prstDash w14:val="solid"/>
                        <w14:bevel/>
                      </w14:textOutline>
                      <w14:textFill>
                        <w14:solidFill>
                          <w14:schemeClr w14:val="tx1"/>
                        </w14:solidFill>
                      </w14:textFill>
                    </w:rPr>
                    <w:t>一级类</w:t>
                  </w:r>
                </w:p>
              </w:tc>
              <w:tc>
                <w:tcPr>
                  <w:tcW w:w="1971" w:type="pct"/>
                  <w:gridSpan w:val="2"/>
                  <w:tcBorders>
                    <w:top w:val="single" w:color="000000" w:sz="12" w:space="0"/>
                  </w:tcBorders>
                  <w:shd w:val="clear" w:color="auto" w:fill="FFFFFF"/>
                  <w:vAlign w:val="center"/>
                </w:tcPr>
                <w:p w14:paraId="05EFD166">
                  <w:pPr>
                    <w:pStyle w:val="80"/>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color w:val="000000" w:themeColor="text1"/>
                      <w:spacing w:val="5"/>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spacing w:val="4"/>
                      <w:sz w:val="24"/>
                      <w:szCs w:val="24"/>
                      <w:highlight w:val="none"/>
                      <w:lang w:val="en-US" w:eastAsia="zh-CN"/>
                      <w14:textOutline w14:w="3795" w14:cap="sq" w14:cmpd="sng">
                        <w14:solidFill>
                          <w14:srgbClr w14:val="000000"/>
                        </w14:solidFill>
                        <w14:prstDash w14:val="solid"/>
                        <w14:bevel/>
                      </w14:textOutline>
                      <w14:textFill>
                        <w14:solidFill>
                          <w14:schemeClr w14:val="tx1"/>
                        </w14:solidFill>
                      </w14:textFill>
                    </w:rPr>
                    <w:t>二</w:t>
                  </w:r>
                  <w:r>
                    <w:rPr>
                      <w:rFonts w:hint="default" w:ascii="Times New Roman" w:hAnsi="Times New Roman" w:eastAsia="宋体" w:cs="Times New Roman"/>
                      <w:b w:val="0"/>
                      <w:bCs/>
                      <w:color w:val="000000" w:themeColor="text1"/>
                      <w:spacing w:val="4"/>
                      <w:sz w:val="24"/>
                      <w:szCs w:val="24"/>
                      <w:highlight w:val="none"/>
                      <w14:textOutline w14:w="3795" w14:cap="sq" w14:cmpd="sng">
                        <w14:solidFill>
                          <w14:srgbClr w14:val="000000"/>
                        </w14:solidFill>
                        <w14:prstDash w14:val="solid"/>
                        <w14:bevel/>
                      </w14:textOutline>
                      <w14:textFill>
                        <w14:solidFill>
                          <w14:schemeClr w14:val="tx1"/>
                        </w14:solidFill>
                      </w14:textFill>
                    </w:rPr>
                    <w:t>级类</w:t>
                  </w:r>
                </w:p>
              </w:tc>
              <w:tc>
                <w:tcPr>
                  <w:tcW w:w="1776" w:type="pct"/>
                  <w:gridSpan w:val="2"/>
                  <w:tcBorders>
                    <w:top w:val="single" w:color="000000" w:sz="12" w:space="0"/>
                    <w:right w:val="nil"/>
                  </w:tcBorders>
                  <w:shd w:val="clear" w:color="auto" w:fill="FFFFFF"/>
                  <w:vAlign w:val="center"/>
                </w:tcPr>
                <w:p w14:paraId="6D550687">
                  <w:pPr>
                    <w:pStyle w:val="80"/>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color w:val="000000" w:themeColor="text1"/>
                      <w:spacing w:val="-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1"/>
                      <w:sz w:val="24"/>
                      <w:szCs w:val="24"/>
                      <w:highlight w:val="none"/>
                      <w:lang w:val="en-US" w:eastAsia="zh-CN"/>
                      <w14:textFill>
                        <w14:solidFill>
                          <w14:schemeClr w14:val="tx1"/>
                        </w14:solidFill>
                      </w14:textFill>
                    </w:rPr>
                    <w:t>评价区</w:t>
                  </w:r>
                </w:p>
              </w:tc>
            </w:tr>
            <w:tr w14:paraId="46DC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rPr>
              <w:tc>
                <w:tcPr>
                  <w:tcW w:w="1252" w:type="pct"/>
                  <w:vMerge w:val="continue"/>
                  <w:tcBorders>
                    <w:left w:val="nil"/>
                  </w:tcBorders>
                  <w:shd w:val="clear" w:color="auto" w:fill="FFFFFF"/>
                  <w:vAlign w:val="center"/>
                </w:tcPr>
                <w:p w14:paraId="4860611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p>
              </w:tc>
              <w:tc>
                <w:tcPr>
                  <w:tcW w:w="773" w:type="pct"/>
                  <w:shd w:val="clear" w:color="auto" w:fill="FFFFFF"/>
                  <w:vAlign w:val="center"/>
                </w:tcPr>
                <w:p w14:paraId="5BF56890">
                  <w:pPr>
                    <w:pStyle w:val="80"/>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color w:val="000000" w:themeColor="text1"/>
                      <w:spacing w:val="5"/>
                      <w:sz w:val="24"/>
                      <w:szCs w:val="24"/>
                      <w:highlight w:val="none"/>
                      <w14:textFill>
                        <w14:solidFill>
                          <w14:schemeClr w14:val="tx1"/>
                        </w14:solidFill>
                      </w14:textFill>
                    </w:rPr>
                    <w:t>地类代码</w:t>
                  </w:r>
                </w:p>
              </w:tc>
              <w:tc>
                <w:tcPr>
                  <w:tcW w:w="1198" w:type="pct"/>
                  <w:shd w:val="clear" w:color="auto" w:fill="FFFFFF"/>
                  <w:vAlign w:val="center"/>
                </w:tcPr>
                <w:p w14:paraId="51041EC0">
                  <w:pPr>
                    <w:pStyle w:val="80"/>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color w:val="000000" w:themeColor="text1"/>
                      <w:spacing w:val="5"/>
                      <w:sz w:val="24"/>
                      <w:szCs w:val="24"/>
                      <w:highlight w:val="none"/>
                      <w14:textFill>
                        <w14:solidFill>
                          <w14:schemeClr w14:val="tx1"/>
                        </w14:solidFill>
                      </w14:textFill>
                    </w:rPr>
                    <w:t>地类名称</w:t>
                  </w:r>
                </w:p>
              </w:tc>
              <w:tc>
                <w:tcPr>
                  <w:tcW w:w="908" w:type="pct"/>
                  <w:shd w:val="clear" w:color="auto" w:fill="FFFFFF"/>
                  <w:vAlign w:val="center"/>
                </w:tcPr>
                <w:p w14:paraId="42FDCC59">
                  <w:pPr>
                    <w:pStyle w:val="80"/>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color w:val="000000" w:themeColor="text1"/>
                      <w:spacing w:val="5"/>
                      <w:sz w:val="24"/>
                      <w:szCs w:val="24"/>
                      <w:highlight w:val="none"/>
                      <w14:textFill>
                        <w14:solidFill>
                          <w14:schemeClr w14:val="tx1"/>
                        </w14:solidFill>
                      </w14:textFill>
                    </w:rPr>
                    <w:t>面积（</w:t>
                  </w:r>
                  <w:r>
                    <w:rPr>
                      <w:rFonts w:hint="default" w:ascii="Times New Roman" w:hAnsi="Times New Roman" w:eastAsia="宋体" w:cs="Times New Roman"/>
                      <w:b w:val="0"/>
                      <w:color w:val="000000" w:themeColor="text1"/>
                      <w:sz w:val="24"/>
                      <w:szCs w:val="24"/>
                      <w:highlight w:val="none"/>
                      <w:lang w:val="en-US" w:eastAsia="zh-CN"/>
                      <w14:textFill>
                        <w14:solidFill>
                          <w14:schemeClr w14:val="tx1"/>
                        </w14:solidFill>
                      </w14:textFill>
                    </w:rPr>
                    <w:t>h</w:t>
                  </w:r>
                  <w:r>
                    <w:rPr>
                      <w:rFonts w:hint="default" w:ascii="Times New Roman" w:hAnsi="Times New Roman" w:eastAsia="宋体" w:cs="Times New Roman"/>
                      <w:b w:val="0"/>
                      <w:color w:val="000000" w:themeColor="text1"/>
                      <w:sz w:val="24"/>
                      <w:szCs w:val="24"/>
                      <w:highlight w:val="none"/>
                      <w14:textFill>
                        <w14:solidFill>
                          <w14:schemeClr w14:val="tx1"/>
                        </w14:solidFill>
                      </w14:textFill>
                    </w:rPr>
                    <w:t>m</w:t>
                  </w:r>
                  <w:r>
                    <w:rPr>
                      <w:rFonts w:hint="default" w:ascii="Times New Roman" w:hAnsi="Times New Roman" w:eastAsia="宋体" w:cs="Times New Roman"/>
                      <w:b w:val="0"/>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b w:val="0"/>
                      <w:color w:val="000000" w:themeColor="text1"/>
                      <w:spacing w:val="5"/>
                      <w:sz w:val="24"/>
                      <w:szCs w:val="24"/>
                      <w:highlight w:val="none"/>
                      <w14:textFill>
                        <w14:solidFill>
                          <w14:schemeClr w14:val="tx1"/>
                        </w14:solidFill>
                      </w14:textFill>
                    </w:rPr>
                    <w:t>）</w:t>
                  </w:r>
                </w:p>
              </w:tc>
              <w:tc>
                <w:tcPr>
                  <w:tcW w:w="868" w:type="pct"/>
                  <w:tcBorders>
                    <w:right w:val="nil"/>
                  </w:tcBorders>
                  <w:shd w:val="clear" w:color="auto" w:fill="FFFFFF"/>
                  <w:vAlign w:val="center"/>
                </w:tcPr>
                <w:p w14:paraId="7CC9463C">
                  <w:pPr>
                    <w:pStyle w:val="80"/>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color w:val="000000" w:themeColor="text1"/>
                      <w:spacing w:val="-1"/>
                      <w:sz w:val="24"/>
                      <w:szCs w:val="24"/>
                      <w:highlight w:val="none"/>
                      <w14:textFill>
                        <w14:solidFill>
                          <w14:schemeClr w14:val="tx1"/>
                        </w14:solidFill>
                      </w14:textFill>
                    </w:rPr>
                    <w:t>比例（%）</w:t>
                  </w:r>
                </w:p>
              </w:tc>
            </w:tr>
            <w:tr w14:paraId="5BEF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trPr>
              <w:tc>
                <w:tcPr>
                  <w:tcW w:w="1252" w:type="pct"/>
                  <w:tcBorders>
                    <w:left w:val="nil"/>
                  </w:tcBorders>
                  <w:shd w:val="clear" w:color="auto" w:fill="FFFFFF"/>
                  <w:vAlign w:val="center"/>
                </w:tcPr>
                <w:p w14:paraId="4C3DE855">
                  <w:pPr>
                    <w:pStyle w:val="8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color w:val="000000" w:themeColor="text1"/>
                      <w:spacing w:val="2"/>
                      <w:kern w:val="2"/>
                      <w:sz w:val="24"/>
                      <w:szCs w:val="24"/>
                      <w:highlight w:val="none"/>
                      <w:lang w:val="en-US" w:eastAsia="zh-CN" w:bidi="ar-SA"/>
                      <w14:textFill>
                        <w14:solidFill>
                          <w14:schemeClr w14:val="tx1"/>
                        </w14:solidFill>
                      </w14:textFill>
                    </w:rPr>
                    <w:t>耕地</w:t>
                  </w:r>
                </w:p>
              </w:tc>
              <w:tc>
                <w:tcPr>
                  <w:tcW w:w="773" w:type="pct"/>
                  <w:shd w:val="clear" w:color="auto" w:fill="FFFFFF"/>
                  <w:vAlign w:val="center"/>
                </w:tcPr>
                <w:p w14:paraId="2A3C8F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spacing w:val="3"/>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3"/>
                      <w:kern w:val="2"/>
                      <w:sz w:val="24"/>
                      <w:szCs w:val="24"/>
                      <w:highlight w:val="none"/>
                      <w:lang w:val="en-US" w:eastAsia="zh-CN" w:bidi="ar-SA"/>
                      <w14:textFill>
                        <w14:solidFill>
                          <w14:schemeClr w14:val="tx1"/>
                        </w14:solidFill>
                      </w14:textFill>
                    </w:rPr>
                    <w:t>0102</w:t>
                  </w:r>
                </w:p>
              </w:tc>
              <w:tc>
                <w:tcPr>
                  <w:tcW w:w="1198" w:type="pct"/>
                  <w:shd w:val="clear" w:color="auto" w:fill="FFFFFF"/>
                  <w:vAlign w:val="center"/>
                </w:tcPr>
                <w:p w14:paraId="5C9CBC40">
                  <w:pPr>
                    <w:pStyle w:val="8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t>水浇地</w:t>
                  </w:r>
                </w:p>
              </w:tc>
              <w:tc>
                <w:tcPr>
                  <w:tcW w:w="1426" w:type="dxa"/>
                  <w:shd w:val="clear" w:color="auto" w:fill="FFFFFF"/>
                  <w:vAlign w:val="center"/>
                </w:tcPr>
                <w:p w14:paraId="06DD3D35">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b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1204.15</w:t>
                  </w:r>
                </w:p>
              </w:tc>
              <w:tc>
                <w:tcPr>
                  <w:tcW w:w="1363" w:type="dxa"/>
                  <w:tcBorders>
                    <w:right w:val="nil"/>
                  </w:tcBorders>
                  <w:shd w:val="clear" w:color="auto" w:fill="FFFFFF"/>
                  <w:vAlign w:val="center"/>
                </w:tcPr>
                <w:p w14:paraId="161CE6A9">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32.61%</w:t>
                  </w:r>
                </w:p>
              </w:tc>
            </w:tr>
            <w:tr w14:paraId="3FC1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trPr>
              <w:tc>
                <w:tcPr>
                  <w:tcW w:w="1252" w:type="pct"/>
                  <w:tcBorders>
                    <w:left w:val="nil"/>
                  </w:tcBorders>
                  <w:shd w:val="clear" w:color="auto" w:fill="FFFFFF"/>
                  <w:vAlign w:val="center"/>
                </w:tcPr>
                <w:p w14:paraId="4F8304AB">
                  <w:pPr>
                    <w:pStyle w:val="8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color w:val="000000" w:themeColor="text1"/>
                      <w:spacing w:val="1"/>
                      <w:sz w:val="24"/>
                      <w:szCs w:val="24"/>
                      <w:highlight w:val="none"/>
                      <w:lang w:val="en-US" w:eastAsia="zh-CN"/>
                      <w14:textFill>
                        <w14:solidFill>
                          <w14:schemeClr w14:val="tx1"/>
                        </w14:solidFill>
                      </w14:textFill>
                    </w:rPr>
                    <w:t>草地</w:t>
                  </w:r>
                </w:p>
              </w:tc>
              <w:tc>
                <w:tcPr>
                  <w:tcW w:w="773" w:type="pct"/>
                  <w:shd w:val="clear" w:color="auto" w:fill="FFFFFF"/>
                  <w:vAlign w:val="center"/>
                </w:tcPr>
                <w:p w14:paraId="01569ED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spacing w:val="3"/>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3"/>
                      <w:sz w:val="24"/>
                      <w:szCs w:val="24"/>
                      <w:highlight w:val="none"/>
                      <w:lang w:val="en-US" w:eastAsia="zh-CN"/>
                      <w14:textFill>
                        <w14:solidFill>
                          <w14:schemeClr w14:val="tx1"/>
                        </w14:solidFill>
                      </w14:textFill>
                    </w:rPr>
                    <w:t>0</w:t>
                  </w:r>
                  <w:r>
                    <w:rPr>
                      <w:rFonts w:hint="default" w:ascii="Times New Roman" w:hAnsi="Times New Roman" w:cs="Times New Roman"/>
                      <w:b w:val="0"/>
                      <w:color w:val="000000" w:themeColor="text1"/>
                      <w:spacing w:val="3"/>
                      <w:sz w:val="24"/>
                      <w:szCs w:val="24"/>
                      <w:highlight w:val="none"/>
                      <w:lang w:val="en-US" w:eastAsia="zh-CN"/>
                      <w14:textFill>
                        <w14:solidFill>
                          <w14:schemeClr w14:val="tx1"/>
                        </w14:solidFill>
                      </w14:textFill>
                    </w:rPr>
                    <w:t>4</w:t>
                  </w:r>
                  <w:r>
                    <w:rPr>
                      <w:rFonts w:hint="default" w:ascii="Times New Roman" w:hAnsi="Times New Roman" w:eastAsia="宋体" w:cs="Times New Roman"/>
                      <w:b w:val="0"/>
                      <w:color w:val="000000" w:themeColor="text1"/>
                      <w:spacing w:val="3"/>
                      <w:sz w:val="24"/>
                      <w:szCs w:val="24"/>
                      <w:highlight w:val="none"/>
                      <w:lang w:val="en-US" w:eastAsia="zh-CN"/>
                      <w14:textFill>
                        <w14:solidFill>
                          <w14:schemeClr w14:val="tx1"/>
                        </w14:solidFill>
                      </w14:textFill>
                    </w:rPr>
                    <w:t>0</w:t>
                  </w:r>
                  <w:r>
                    <w:rPr>
                      <w:rFonts w:hint="default" w:ascii="Times New Roman" w:hAnsi="Times New Roman" w:cs="Times New Roman"/>
                      <w:b w:val="0"/>
                      <w:color w:val="000000" w:themeColor="text1"/>
                      <w:spacing w:val="3"/>
                      <w:sz w:val="24"/>
                      <w:szCs w:val="24"/>
                      <w:highlight w:val="none"/>
                      <w:lang w:val="en-US" w:eastAsia="zh-CN"/>
                      <w14:textFill>
                        <w14:solidFill>
                          <w14:schemeClr w14:val="tx1"/>
                        </w14:solidFill>
                      </w14:textFill>
                    </w:rPr>
                    <w:t>2</w:t>
                  </w:r>
                </w:p>
              </w:tc>
              <w:tc>
                <w:tcPr>
                  <w:tcW w:w="1198" w:type="pct"/>
                  <w:shd w:val="clear" w:color="auto" w:fill="FFFFFF"/>
                  <w:vAlign w:val="center"/>
                </w:tcPr>
                <w:p w14:paraId="414A844E">
                  <w:pPr>
                    <w:pStyle w:val="8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t>沼泽草地</w:t>
                  </w:r>
                </w:p>
              </w:tc>
              <w:tc>
                <w:tcPr>
                  <w:tcW w:w="1426" w:type="dxa"/>
                  <w:shd w:val="clear" w:color="auto" w:fill="FFFFFF"/>
                  <w:vAlign w:val="center"/>
                </w:tcPr>
                <w:p w14:paraId="21FB4F3B">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2394.17</w:t>
                  </w:r>
                </w:p>
              </w:tc>
              <w:tc>
                <w:tcPr>
                  <w:tcW w:w="1363" w:type="dxa"/>
                  <w:tcBorders>
                    <w:right w:val="nil"/>
                  </w:tcBorders>
                  <w:shd w:val="clear" w:color="auto" w:fill="FFFFFF"/>
                  <w:vAlign w:val="center"/>
                </w:tcPr>
                <w:p w14:paraId="4B9EBA76">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64.85%</w:t>
                  </w:r>
                </w:p>
              </w:tc>
            </w:tr>
            <w:tr w14:paraId="4036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trPr>
              <w:tc>
                <w:tcPr>
                  <w:tcW w:w="1252" w:type="pct"/>
                  <w:tcBorders>
                    <w:left w:val="nil"/>
                  </w:tcBorders>
                  <w:shd w:val="clear" w:color="auto" w:fill="FFFFFF"/>
                  <w:vAlign w:val="center"/>
                </w:tcPr>
                <w:p w14:paraId="030CF6AB">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cs="Times New Roman"/>
                      <w:highlight w:val="none"/>
                      <w:lang w:val="en-US" w:eastAsia="zh-CN"/>
                    </w:rPr>
                    <w:t>住宅</w:t>
                  </w:r>
                  <w:r>
                    <w:rPr>
                      <w:rFonts w:hint="default" w:ascii="Times New Roman" w:hAnsi="Times New Roman" w:cs="Times New Roman"/>
                      <w:highlight w:val="none"/>
                    </w:rPr>
                    <w:t>用地</w:t>
                  </w:r>
                </w:p>
              </w:tc>
              <w:tc>
                <w:tcPr>
                  <w:tcW w:w="773" w:type="pct"/>
                  <w:shd w:val="clear" w:color="auto" w:fill="FFFFFF"/>
                  <w:vAlign w:val="center"/>
                </w:tcPr>
                <w:p w14:paraId="5578DD5E">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highlight w:val="none"/>
                      <w:lang w:val="en-US" w:eastAsia="zh-CN"/>
                    </w:rPr>
                    <w:t>1004</w:t>
                  </w:r>
                </w:p>
              </w:tc>
              <w:tc>
                <w:tcPr>
                  <w:tcW w:w="1198" w:type="pct"/>
                  <w:shd w:val="clear" w:color="auto" w:fill="FFFFFF"/>
                  <w:vAlign w:val="center"/>
                </w:tcPr>
                <w:p w14:paraId="1246F777">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themeColor="text1"/>
                      <w:kern w:val="2"/>
                      <w:sz w:val="24"/>
                      <w:szCs w:val="24"/>
                      <w:highlight w:val="none"/>
                      <w:lang w:val="en-US" w:eastAsia="en-US" w:bidi="ar-SA"/>
                      <w14:textFill>
                        <w14:solidFill>
                          <w14:schemeClr w14:val="tx1"/>
                        </w14:solidFill>
                      </w14:textFill>
                    </w:rPr>
                  </w:pPr>
                  <w:r>
                    <w:rPr>
                      <w:rFonts w:hint="default" w:ascii="Times New Roman" w:hAnsi="Times New Roman" w:cs="Times New Roman"/>
                      <w:highlight w:val="none"/>
                      <w:lang w:val="en-US" w:eastAsia="zh-CN"/>
                    </w:rPr>
                    <w:t>农村宅基地</w:t>
                  </w:r>
                </w:p>
              </w:tc>
              <w:tc>
                <w:tcPr>
                  <w:tcW w:w="1426" w:type="dxa"/>
                  <w:shd w:val="clear" w:color="auto" w:fill="FFFFFF"/>
                  <w:vAlign w:val="center"/>
                </w:tcPr>
                <w:p w14:paraId="0F4A78B7">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63.33</w:t>
                  </w:r>
                </w:p>
              </w:tc>
              <w:tc>
                <w:tcPr>
                  <w:tcW w:w="1363" w:type="dxa"/>
                  <w:tcBorders>
                    <w:right w:val="nil"/>
                  </w:tcBorders>
                  <w:shd w:val="clear" w:color="auto" w:fill="FFFFFF"/>
                  <w:vAlign w:val="center"/>
                </w:tcPr>
                <w:p w14:paraId="418CF541">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1.72%</w:t>
                  </w:r>
                </w:p>
              </w:tc>
            </w:tr>
            <w:tr w14:paraId="4E3A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trPr>
              <w:tc>
                <w:tcPr>
                  <w:tcW w:w="1252" w:type="pct"/>
                  <w:tcBorders>
                    <w:left w:val="nil"/>
                  </w:tcBorders>
                  <w:shd w:val="clear" w:color="auto" w:fill="FFFFFF"/>
                  <w:vAlign w:val="center"/>
                </w:tcPr>
                <w:p w14:paraId="734A8A46">
                  <w:pPr>
                    <w:pStyle w:val="8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color w:val="000000" w:themeColor="text1"/>
                      <w:spacing w:val="6"/>
                      <w:sz w:val="24"/>
                      <w:szCs w:val="24"/>
                      <w:highlight w:val="none"/>
                      <w14:textFill>
                        <w14:solidFill>
                          <w14:schemeClr w14:val="tx1"/>
                        </w14:solidFill>
                      </w14:textFill>
                    </w:rPr>
                    <w:t>交通运输用</w:t>
                  </w:r>
                  <w:r>
                    <w:rPr>
                      <w:rFonts w:hint="default" w:ascii="Times New Roman" w:hAnsi="Times New Roman" w:eastAsia="宋体" w:cs="Times New Roman"/>
                      <w:b w:val="0"/>
                      <w:color w:val="000000" w:themeColor="text1"/>
                      <w:sz w:val="24"/>
                      <w:szCs w:val="24"/>
                      <w:highlight w:val="none"/>
                      <w14:textFill>
                        <w14:solidFill>
                          <w14:schemeClr w14:val="tx1"/>
                        </w14:solidFill>
                      </w14:textFill>
                    </w:rPr>
                    <w:t>地</w:t>
                  </w:r>
                </w:p>
              </w:tc>
              <w:tc>
                <w:tcPr>
                  <w:tcW w:w="773" w:type="pct"/>
                  <w:shd w:val="clear" w:color="auto" w:fill="FFFFFF"/>
                  <w:vAlign w:val="center"/>
                </w:tcPr>
                <w:p w14:paraId="22DBC302">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highlight w:val="none"/>
                    </w:rPr>
                    <w:t>100</w:t>
                  </w:r>
                  <w:r>
                    <w:rPr>
                      <w:rFonts w:hint="default" w:ascii="Times New Roman" w:hAnsi="Times New Roman" w:cs="Times New Roman"/>
                      <w:highlight w:val="none"/>
                      <w:lang w:val="en-US" w:eastAsia="zh-CN"/>
                    </w:rPr>
                    <w:t>6</w:t>
                  </w:r>
                </w:p>
              </w:tc>
              <w:tc>
                <w:tcPr>
                  <w:tcW w:w="1198" w:type="pct"/>
                  <w:shd w:val="clear" w:color="auto" w:fill="FFFFFF"/>
                  <w:vAlign w:val="center"/>
                </w:tcPr>
                <w:p w14:paraId="43DA150E">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highlight w:val="none"/>
                      <w:lang w:val="en-US" w:eastAsia="zh-CN"/>
                    </w:rPr>
                    <w:t>农村道路</w:t>
                  </w:r>
                </w:p>
              </w:tc>
              <w:tc>
                <w:tcPr>
                  <w:tcW w:w="1426" w:type="dxa"/>
                  <w:shd w:val="clear" w:color="auto" w:fill="FFFFFF"/>
                  <w:vAlign w:val="center"/>
                </w:tcPr>
                <w:p w14:paraId="4849F8ED">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15.91</w:t>
                  </w:r>
                </w:p>
              </w:tc>
              <w:tc>
                <w:tcPr>
                  <w:tcW w:w="1363" w:type="dxa"/>
                  <w:tcBorders>
                    <w:right w:val="nil"/>
                  </w:tcBorders>
                  <w:shd w:val="clear" w:color="auto" w:fill="FFFFFF"/>
                  <w:vAlign w:val="center"/>
                </w:tcPr>
                <w:p w14:paraId="6C8D5A1F">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0.43%</w:t>
                  </w:r>
                </w:p>
              </w:tc>
            </w:tr>
            <w:tr w14:paraId="2FCC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trPr>
              <w:tc>
                <w:tcPr>
                  <w:tcW w:w="1252" w:type="pct"/>
                  <w:vMerge w:val="restart"/>
                  <w:tcBorders>
                    <w:left w:val="nil"/>
                  </w:tcBorders>
                  <w:shd w:val="clear" w:color="auto" w:fill="FFFFFF"/>
                  <w:vAlign w:val="center"/>
                </w:tcPr>
                <w:p w14:paraId="2C39FDEC">
                  <w:pPr>
                    <w:pStyle w:val="8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color w:val="000000" w:themeColor="text1"/>
                      <w:spacing w:val="7"/>
                      <w:sz w:val="24"/>
                      <w:szCs w:val="24"/>
                      <w:highlight w:val="none"/>
                      <w14:textFill>
                        <w14:solidFill>
                          <w14:schemeClr w14:val="tx1"/>
                        </w14:solidFill>
                      </w14:textFill>
                    </w:rPr>
                    <w:t>水域及水利</w:t>
                  </w:r>
                  <w:r>
                    <w:rPr>
                      <w:rFonts w:hint="default" w:ascii="Times New Roman" w:hAnsi="Times New Roman" w:eastAsia="宋体" w:cs="Times New Roman"/>
                      <w:b w:val="0"/>
                      <w:color w:val="000000" w:themeColor="text1"/>
                      <w:spacing w:val="6"/>
                      <w:sz w:val="24"/>
                      <w:szCs w:val="24"/>
                      <w:highlight w:val="none"/>
                      <w14:textFill>
                        <w14:solidFill>
                          <w14:schemeClr w14:val="tx1"/>
                        </w14:solidFill>
                      </w14:textFill>
                    </w:rPr>
                    <w:t>设施用地</w:t>
                  </w:r>
                </w:p>
              </w:tc>
              <w:tc>
                <w:tcPr>
                  <w:tcW w:w="773" w:type="pct"/>
                  <w:shd w:val="clear" w:color="auto" w:fill="FFFFFF"/>
                  <w:vAlign w:val="center"/>
                </w:tcPr>
                <w:p w14:paraId="24954210">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highlight w:val="none"/>
                    </w:rPr>
                    <w:t>1101</w:t>
                  </w:r>
                </w:p>
              </w:tc>
              <w:tc>
                <w:tcPr>
                  <w:tcW w:w="1198" w:type="pct"/>
                  <w:shd w:val="clear" w:color="auto" w:fill="FFFFFF"/>
                  <w:vAlign w:val="center"/>
                </w:tcPr>
                <w:p w14:paraId="0AB068B9">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highlight w:val="none"/>
                      <w:lang w:val="en-US" w:eastAsia="zh-CN"/>
                    </w:rPr>
                    <w:t>河流</w:t>
                  </w:r>
                  <w:r>
                    <w:rPr>
                      <w:rFonts w:hint="default" w:ascii="Times New Roman" w:hAnsi="Times New Roman" w:cs="Times New Roman"/>
                      <w:highlight w:val="none"/>
                    </w:rPr>
                    <w:t>水面</w:t>
                  </w:r>
                </w:p>
              </w:tc>
              <w:tc>
                <w:tcPr>
                  <w:tcW w:w="1426" w:type="dxa"/>
                  <w:shd w:val="clear" w:color="auto" w:fill="FFFFFF"/>
                  <w:vAlign w:val="center"/>
                </w:tcPr>
                <w:p w14:paraId="4BED7B83">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8.79</w:t>
                  </w:r>
                </w:p>
              </w:tc>
              <w:tc>
                <w:tcPr>
                  <w:tcW w:w="1363" w:type="dxa"/>
                  <w:tcBorders>
                    <w:right w:val="nil"/>
                  </w:tcBorders>
                  <w:shd w:val="clear" w:color="auto" w:fill="FFFFFF"/>
                  <w:vAlign w:val="center"/>
                </w:tcPr>
                <w:p w14:paraId="6941AB8B">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lang w:val="en-US"/>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0.24%</w:t>
                  </w:r>
                </w:p>
              </w:tc>
            </w:tr>
            <w:tr w14:paraId="07B4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trPr>
              <w:tc>
                <w:tcPr>
                  <w:tcW w:w="1252" w:type="pct"/>
                  <w:vMerge w:val="continue"/>
                  <w:tcBorders>
                    <w:left w:val="nil"/>
                  </w:tcBorders>
                  <w:shd w:val="clear" w:color="auto" w:fill="FFFFFF"/>
                  <w:vAlign w:val="center"/>
                </w:tcPr>
                <w:p w14:paraId="5516D0BD">
                  <w:pPr>
                    <w:pStyle w:val="8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spacing w:val="7"/>
                      <w:sz w:val="24"/>
                      <w:szCs w:val="24"/>
                      <w:highlight w:val="none"/>
                      <w14:textFill>
                        <w14:solidFill>
                          <w14:schemeClr w14:val="tx1"/>
                        </w14:solidFill>
                      </w14:textFill>
                    </w:rPr>
                  </w:pPr>
                </w:p>
              </w:tc>
              <w:tc>
                <w:tcPr>
                  <w:tcW w:w="773" w:type="pct"/>
                  <w:shd w:val="clear" w:color="auto" w:fill="FFFFFF"/>
                  <w:vAlign w:val="center"/>
                </w:tcPr>
                <w:p w14:paraId="112C6A59">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themeColor="text1"/>
                      <w:spacing w:val="-3"/>
                      <w:sz w:val="24"/>
                      <w:szCs w:val="24"/>
                      <w:highlight w:val="none"/>
                      <w:lang w:val="en-US" w:eastAsia="zh-CN"/>
                      <w14:textFill>
                        <w14:solidFill>
                          <w14:schemeClr w14:val="tx1"/>
                        </w14:solidFill>
                      </w14:textFill>
                    </w:rPr>
                  </w:pPr>
                  <w:r>
                    <w:rPr>
                      <w:rFonts w:hint="default" w:ascii="Times New Roman" w:hAnsi="Times New Roman" w:cs="Times New Roman"/>
                      <w:highlight w:val="none"/>
                      <w:lang w:val="en-US" w:eastAsia="zh-CN"/>
                    </w:rPr>
                    <w:t>1107</w:t>
                  </w:r>
                </w:p>
              </w:tc>
              <w:tc>
                <w:tcPr>
                  <w:tcW w:w="1198" w:type="pct"/>
                  <w:shd w:val="clear" w:color="auto" w:fill="FFFFFF"/>
                  <w:vAlign w:val="center"/>
                </w:tcPr>
                <w:p w14:paraId="2B2CE5E5">
                  <w:pPr>
                    <w:pStyle w:val="70"/>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highlight w:val="none"/>
                      <w:lang w:val="en-US" w:eastAsia="zh-CN"/>
                    </w:rPr>
                    <w:t>沟渠</w:t>
                  </w:r>
                </w:p>
              </w:tc>
              <w:tc>
                <w:tcPr>
                  <w:tcW w:w="1426" w:type="dxa"/>
                  <w:shd w:val="clear" w:color="auto" w:fill="FFFFFF"/>
                  <w:vAlign w:val="center"/>
                </w:tcPr>
                <w:p w14:paraId="26CB1921">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i w:val="0"/>
                      <w:i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5.75</w:t>
                  </w:r>
                </w:p>
              </w:tc>
              <w:tc>
                <w:tcPr>
                  <w:tcW w:w="1363" w:type="dxa"/>
                  <w:tcBorders>
                    <w:right w:val="nil"/>
                  </w:tcBorders>
                  <w:shd w:val="clear" w:color="auto" w:fill="FFFFFF"/>
                  <w:vAlign w:val="center"/>
                </w:tcPr>
                <w:p w14:paraId="01BE79A4">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i w:val="0"/>
                      <w:i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0.16%</w:t>
                  </w:r>
                </w:p>
              </w:tc>
            </w:tr>
            <w:tr w14:paraId="6BDE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trPr>
              <w:tc>
                <w:tcPr>
                  <w:tcW w:w="3223" w:type="pct"/>
                  <w:gridSpan w:val="3"/>
                  <w:tcBorders>
                    <w:left w:val="nil"/>
                    <w:bottom w:val="single" w:color="000000" w:sz="12" w:space="0"/>
                  </w:tcBorders>
                  <w:shd w:val="clear" w:color="auto" w:fill="FFFFFF"/>
                  <w:vAlign w:val="center"/>
                </w:tcPr>
                <w:p w14:paraId="7DBCA15B">
                  <w:pPr>
                    <w:pStyle w:val="80"/>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color w:val="000000" w:themeColor="text1"/>
                      <w:spacing w:val="-1"/>
                      <w:sz w:val="24"/>
                      <w:szCs w:val="24"/>
                      <w:highlight w:val="none"/>
                      <w14:textFill>
                        <w14:solidFill>
                          <w14:schemeClr w14:val="tx1"/>
                        </w14:solidFill>
                      </w14:textFill>
                    </w:rPr>
                    <w:t>合计</w:t>
                  </w:r>
                </w:p>
              </w:tc>
              <w:tc>
                <w:tcPr>
                  <w:tcW w:w="1426" w:type="dxa"/>
                  <w:tcBorders>
                    <w:bottom w:val="single" w:color="000000" w:sz="12" w:space="0"/>
                  </w:tcBorders>
                  <w:shd w:val="clear" w:color="auto" w:fill="FFFFFF"/>
                  <w:vAlign w:val="center"/>
                </w:tcPr>
                <w:p w14:paraId="2A274451">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3692.1</w:t>
                  </w:r>
                </w:p>
              </w:tc>
              <w:tc>
                <w:tcPr>
                  <w:tcW w:w="1363" w:type="dxa"/>
                  <w:tcBorders>
                    <w:bottom w:val="single" w:color="000000" w:sz="12" w:space="0"/>
                    <w:right w:val="nil"/>
                  </w:tcBorders>
                  <w:shd w:val="clear" w:color="auto" w:fill="FFFFFF"/>
                  <w:vAlign w:val="center"/>
                </w:tcPr>
                <w:p w14:paraId="4FF13B58">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auto"/>
                    <w:rPr>
                      <w:rFonts w:hint="default" w:ascii="Times New Roman" w:hAnsi="Times New Roman" w:eastAsia="宋体" w:cs="Times New Roman"/>
                      <w:b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4"/>
                      <w:szCs w:val="24"/>
                      <w:highlight w:val="none"/>
                      <w:u w:val="none"/>
                      <w:lang w:val="en-US" w:eastAsia="zh-CN" w:bidi="ar"/>
                    </w:rPr>
                    <w:t>100</w:t>
                  </w:r>
                </w:p>
              </w:tc>
            </w:tr>
          </w:tbl>
          <w:p w14:paraId="0E813C82">
            <w:pPr>
              <w:spacing w:line="360" w:lineRule="auto"/>
              <w:ind w:firstLine="460" w:firstLineChars="200"/>
              <w:rPr>
                <w:rFonts w:hint="default" w:ascii="Times New Roman" w:hAnsi="Times New Roman" w:eastAsia="宋体" w:cs="Times New Roman"/>
                <w:color w:val="000000" w:themeColor="text1"/>
                <w:spacing w:val="-5"/>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由表3-</w:t>
            </w:r>
            <w:r>
              <w:rPr>
                <w:rFonts w:hint="eastAsia" w:cs="Times New Roman"/>
                <w:color w:val="000000" w:themeColor="text1"/>
                <w:spacing w:val="-5"/>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可知，生态调查范围内的土地利用类型分布面积及比例来看，调查区的土地总面积</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3692.1h</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5"/>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，调查区域中</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水浇地</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占调查区域的</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32.61</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w:t>
            </w:r>
            <w:bookmarkStart w:id="12" w:name="OLE_LINK41"/>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沼泽草地</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占调查区</w:t>
            </w:r>
            <w:bookmarkEnd w:id="12"/>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域的</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64.85</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w:t>
            </w:r>
            <w:r>
              <w:rPr>
                <w:rFonts w:hint="default" w:ascii="Times New Roman" w:hAnsi="Times New Roman" w:eastAsia="宋体" w:cs="Times New Roman"/>
                <w:highlight w:val="none"/>
                <w:lang w:val="en-US" w:eastAsia="zh-CN"/>
              </w:rPr>
              <w:t>农村宅基地</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占调查区域的</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1.72</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5"/>
                <w:sz w:val="24"/>
                <w:szCs w:val="24"/>
                <w:highlight w:val="none"/>
                <w:lang w:eastAsia="zh-CN"/>
                <w14:textFill>
                  <w14:solidFill>
                    <w14:schemeClr w14:val="tx1"/>
                  </w14:solidFill>
                </w14:textFill>
              </w:rPr>
              <w:t>，</w:t>
            </w:r>
            <w:r>
              <w:rPr>
                <w:rFonts w:hint="default" w:ascii="Times New Roman" w:hAnsi="Times New Roman" w:eastAsia="宋体" w:cs="Times New Roman"/>
                <w:highlight w:val="none"/>
                <w:lang w:val="en-US" w:eastAsia="zh-CN"/>
              </w:rPr>
              <w:t>农村道路</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占调查区域的</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0.43</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5"/>
                <w:sz w:val="24"/>
                <w:szCs w:val="24"/>
                <w:highlight w:val="none"/>
                <w:lang w:eastAsia="zh-CN"/>
                <w14:textFill>
                  <w14:solidFill>
                    <w14:schemeClr w14:val="tx1"/>
                  </w14:solidFill>
                </w14:textFill>
              </w:rPr>
              <w:t>，</w:t>
            </w:r>
            <w:r>
              <w:rPr>
                <w:rFonts w:hint="default" w:ascii="Times New Roman" w:hAnsi="Times New Roman" w:eastAsia="宋体" w:cs="Times New Roman"/>
                <w:highlight w:val="none"/>
                <w:lang w:val="en-US" w:eastAsia="zh-CN"/>
              </w:rPr>
              <w:t>河流</w:t>
            </w:r>
            <w:r>
              <w:rPr>
                <w:rFonts w:hint="default" w:ascii="Times New Roman" w:hAnsi="Times New Roman" w:eastAsia="宋体" w:cs="Times New Roman"/>
                <w:highlight w:val="none"/>
              </w:rPr>
              <w:t>水面</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占调查区域的</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0.24</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5"/>
                <w:sz w:val="24"/>
                <w:szCs w:val="24"/>
                <w:highlight w:val="none"/>
                <w:lang w:eastAsia="zh-CN"/>
                <w14:textFill>
                  <w14:solidFill>
                    <w14:schemeClr w14:val="tx1"/>
                  </w14:solidFill>
                </w14:textFill>
              </w:rPr>
              <w:t>，</w:t>
            </w:r>
            <w:r>
              <w:rPr>
                <w:rFonts w:hint="default" w:ascii="Times New Roman" w:hAnsi="Times New Roman" w:eastAsia="宋体" w:cs="Times New Roman"/>
                <w:highlight w:val="none"/>
                <w:lang w:val="en-US" w:eastAsia="zh-CN"/>
              </w:rPr>
              <w:t>沟渠</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占调查区域的</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0.16</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5"/>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。根据调查本项目工程占地范围内主要以</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沼泽草地及水浇地</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为主。</w:t>
            </w:r>
          </w:p>
          <w:p w14:paraId="6507ED68">
            <w:pPr>
              <w:spacing w:line="360" w:lineRule="auto"/>
              <w:ind w:firstLine="460" w:firstLineChars="200"/>
              <w:rPr>
                <w:rFonts w:hint="default" w:ascii="Times New Roman" w:hAnsi="Times New Roman" w:eastAsia="宋体" w:cs="Times New Roman"/>
                <w:color w:val="000000" w:themeColor="text1"/>
                <w:spacing w:val="-5"/>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）植被类型</w:t>
            </w:r>
          </w:p>
          <w:p w14:paraId="0453653F">
            <w:pPr>
              <w:spacing w:line="360" w:lineRule="auto"/>
              <w:ind w:firstLine="460" w:firstLineChars="200"/>
              <w:rPr>
                <w:rFonts w:hint="default" w:ascii="Times New Roman" w:hAnsi="Times New Roman" w:eastAsia="宋体" w:cs="Times New Roman"/>
                <w:color w:val="000000" w:themeColor="text1"/>
                <w:spacing w:val="-5"/>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①遥感调查</w:t>
            </w:r>
          </w:p>
          <w:p w14:paraId="5CFF133F">
            <w:pPr>
              <w:spacing w:line="360" w:lineRule="auto"/>
              <w:ind w:firstLine="460" w:firstLineChars="200"/>
              <w:rPr>
                <w:rFonts w:hint="default" w:ascii="Times New Roman" w:hAnsi="Times New Roman" w:eastAsia="宋体" w:cs="Times New Roman"/>
                <w:color w:val="000000" w:themeColor="text1"/>
                <w:spacing w:val="-5"/>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根据遥感解译结果，调查范围区域植被类型主要为荒漠灌草丛植被、阔叶林、农作物植被、无植被为主，植被类型面积见表3-</w:t>
            </w:r>
            <w:r>
              <w:rPr>
                <w:rFonts w:hint="eastAsia"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。植被类型见附图。</w:t>
            </w:r>
          </w:p>
          <w:p w14:paraId="434C6299">
            <w:pPr>
              <w:pStyle w:val="63"/>
              <w:bidi w:val="0"/>
              <w:rPr>
                <w:rFonts w:hint="default"/>
              </w:rPr>
            </w:pPr>
            <w:r>
              <w:rPr>
                <w:rFonts w:hint="default"/>
              </w:rPr>
              <w:t>表3-</w:t>
            </w:r>
            <w:r>
              <w:rPr>
                <w:rFonts w:hint="eastAsia"/>
                <w:lang w:val="en-US" w:eastAsia="zh-CN"/>
              </w:rPr>
              <w:t>3</w:t>
            </w:r>
            <w:r>
              <w:rPr>
                <w:rFonts w:hint="default"/>
              </w:rPr>
              <w:t>植被类型面积统计表</w:t>
            </w:r>
          </w:p>
          <w:tbl>
            <w:tblPr>
              <w:tblStyle w:val="79"/>
              <w:tblW w:w="4998" w:type="pct"/>
              <w:tblInd w:w="2"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fixed"/>
              <w:tblCellMar>
                <w:top w:w="0" w:type="dxa"/>
                <w:left w:w="0" w:type="dxa"/>
                <w:bottom w:w="0" w:type="dxa"/>
                <w:right w:w="0" w:type="dxa"/>
              </w:tblCellMar>
            </w:tblPr>
            <w:tblGrid>
              <w:gridCol w:w="1646"/>
              <w:gridCol w:w="3309"/>
              <w:gridCol w:w="1354"/>
              <w:gridCol w:w="1234"/>
            </w:tblGrid>
            <w:tr w14:paraId="6135185F">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3284" w:type="pct"/>
                  <w:gridSpan w:val="2"/>
                  <w:vMerge w:val="restart"/>
                  <w:tcBorders>
                    <w:top w:val="single" w:color="000000" w:sz="12" w:space="0"/>
                    <w:left w:val="nil"/>
                    <w:tl2br w:val="nil"/>
                  </w:tcBorders>
                  <w:shd w:val="clear" w:color="auto" w:fill="FFFFFF"/>
                  <w:vAlign w:val="center"/>
                </w:tcPr>
                <w:p w14:paraId="5CDF137D">
                  <w:pPr>
                    <w:pStyle w:val="51"/>
                    <w:bidi w:val="0"/>
                    <w:rPr>
                      <w:rFonts w:hint="default" w:ascii="Times New Roman" w:hAnsi="Times New Roman" w:eastAsia="宋体" w:cs="Times New Roman"/>
                      <w:highlight w:val="none"/>
                    </w:rPr>
                  </w:pPr>
                  <w:r>
                    <w:rPr>
                      <w:rFonts w:hint="default" w:ascii="Times New Roman" w:hAnsi="Times New Roman" w:eastAsia="宋体" w:cs="Times New Roman"/>
                      <w:highlight w:val="none"/>
                    </w:rPr>
                    <w:t>植被类型</w:t>
                  </w:r>
                </w:p>
              </w:tc>
              <w:tc>
                <w:tcPr>
                  <w:tcW w:w="1715" w:type="pct"/>
                  <w:gridSpan w:val="2"/>
                  <w:tcBorders>
                    <w:top w:val="single" w:color="000000" w:sz="12" w:space="0"/>
                    <w:right w:val="nil"/>
                  </w:tcBorders>
                  <w:shd w:val="clear" w:color="auto" w:fill="FFFFFF"/>
                  <w:vAlign w:val="center"/>
                </w:tcPr>
                <w:p w14:paraId="10075DF1">
                  <w:pPr>
                    <w:pStyle w:val="51"/>
                    <w:bidi w:val="0"/>
                    <w:rPr>
                      <w:rFonts w:hint="default" w:ascii="Times New Roman" w:hAnsi="Times New Roman" w:eastAsia="宋体" w:cs="Times New Roman"/>
                      <w:highlight w:val="none"/>
                    </w:rPr>
                  </w:pPr>
                  <w:r>
                    <w:rPr>
                      <w:rFonts w:hint="default" w:ascii="Times New Roman" w:hAnsi="Times New Roman" w:eastAsia="宋体" w:cs="Times New Roman"/>
                      <w:highlight w:val="none"/>
                    </w:rPr>
                    <w:t>评价区</w:t>
                  </w:r>
                </w:p>
              </w:tc>
            </w:tr>
            <w:tr w14:paraId="5B18E35C">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47" w:hRule="atLeast"/>
              </w:trPr>
              <w:tc>
                <w:tcPr>
                  <w:tcW w:w="3284" w:type="pct"/>
                  <w:gridSpan w:val="2"/>
                  <w:vMerge w:val="continue"/>
                  <w:tcBorders>
                    <w:left w:val="nil"/>
                  </w:tcBorders>
                  <w:shd w:val="clear" w:color="auto" w:fill="FFFFFF"/>
                  <w:vAlign w:val="center"/>
                </w:tcPr>
                <w:p w14:paraId="45B65E83">
                  <w:pPr>
                    <w:pStyle w:val="51"/>
                    <w:bidi w:val="0"/>
                    <w:rPr>
                      <w:rFonts w:hint="default" w:ascii="Times New Roman" w:hAnsi="Times New Roman" w:eastAsia="宋体" w:cs="Times New Roman"/>
                      <w:highlight w:val="none"/>
                    </w:rPr>
                  </w:pPr>
                </w:p>
              </w:tc>
              <w:tc>
                <w:tcPr>
                  <w:tcW w:w="897" w:type="pct"/>
                  <w:shd w:val="clear" w:color="auto" w:fill="FFFFFF"/>
                  <w:vAlign w:val="center"/>
                </w:tcPr>
                <w:p w14:paraId="4DF46386">
                  <w:pPr>
                    <w:pStyle w:val="51"/>
                    <w:bidi w:val="0"/>
                    <w:rPr>
                      <w:rFonts w:hint="default" w:ascii="Times New Roman" w:hAnsi="Times New Roman" w:eastAsia="宋体" w:cs="Times New Roman"/>
                      <w:highlight w:val="none"/>
                    </w:rPr>
                  </w:pPr>
                  <w:r>
                    <w:rPr>
                      <w:rFonts w:hint="default" w:ascii="Times New Roman" w:hAnsi="Times New Roman" w:eastAsia="宋体" w:cs="Times New Roman"/>
                      <w:highlight w:val="none"/>
                    </w:rPr>
                    <w:t>面积（</w:t>
                  </w:r>
                  <w:r>
                    <w:rPr>
                      <w:rFonts w:hint="default" w:ascii="Times New Roman" w:hAnsi="Times New Roman" w:eastAsia="宋体" w:cs="Times New Roman"/>
                      <w:highlight w:val="none"/>
                      <w:lang w:val="en-US" w:eastAsia="zh-CN"/>
                    </w:rPr>
                    <w:t>h</w:t>
                  </w:r>
                  <w:r>
                    <w:rPr>
                      <w:rFonts w:hint="default" w:ascii="Times New Roman" w:hAnsi="Times New Roman" w:eastAsia="宋体" w:cs="Times New Roman"/>
                      <w:highlight w:val="none"/>
                    </w:rPr>
                    <w:t>m2）</w:t>
                  </w:r>
                </w:p>
              </w:tc>
              <w:tc>
                <w:tcPr>
                  <w:tcW w:w="817" w:type="pct"/>
                  <w:tcBorders>
                    <w:right w:val="nil"/>
                  </w:tcBorders>
                  <w:shd w:val="clear" w:color="auto" w:fill="FFFFFF"/>
                  <w:vAlign w:val="center"/>
                </w:tcPr>
                <w:p w14:paraId="0D5CCF94">
                  <w:pPr>
                    <w:pStyle w:val="51"/>
                    <w:bidi w:val="0"/>
                    <w:rPr>
                      <w:rFonts w:hint="default" w:ascii="Times New Roman" w:hAnsi="Times New Roman" w:eastAsia="宋体" w:cs="Times New Roman"/>
                      <w:highlight w:val="none"/>
                    </w:rPr>
                  </w:pPr>
                  <w:r>
                    <w:rPr>
                      <w:rFonts w:hint="default" w:ascii="Times New Roman" w:hAnsi="Times New Roman" w:eastAsia="宋体" w:cs="Times New Roman"/>
                      <w:highlight w:val="none"/>
                    </w:rPr>
                    <w:t>比例（%）</w:t>
                  </w:r>
                </w:p>
              </w:tc>
            </w:tr>
            <w:tr w14:paraId="249809C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46" w:hRule="atLeast"/>
              </w:trPr>
              <w:tc>
                <w:tcPr>
                  <w:tcW w:w="1091" w:type="pct"/>
                  <w:tcBorders>
                    <w:left w:val="nil"/>
                  </w:tcBorders>
                  <w:shd w:val="clear" w:color="auto" w:fill="FFFFFF"/>
                  <w:vAlign w:val="center"/>
                </w:tcPr>
                <w:p w14:paraId="68FABA41">
                  <w:pPr>
                    <w:pStyle w:val="51"/>
                    <w:bidi w:val="0"/>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沼泽</w:t>
                  </w:r>
                  <w:r>
                    <w:rPr>
                      <w:rFonts w:hint="default" w:ascii="Times New Roman" w:hAnsi="Times New Roman" w:eastAsia="宋体" w:cs="Times New Roman"/>
                      <w:highlight w:val="none"/>
                    </w:rPr>
                    <w:t>灌草丛植被</w:t>
                  </w:r>
                </w:p>
              </w:tc>
              <w:tc>
                <w:tcPr>
                  <w:tcW w:w="2193" w:type="pct"/>
                  <w:shd w:val="clear" w:color="auto" w:fill="FFFFFF"/>
                  <w:vAlign w:val="center"/>
                </w:tcPr>
                <w:p w14:paraId="61B2DB37">
                  <w:pPr>
                    <w:pStyle w:val="51"/>
                    <w:bidi w:val="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白刺、芨芨草、芦苇等植被</w:t>
                  </w:r>
                </w:p>
              </w:tc>
              <w:tc>
                <w:tcPr>
                  <w:tcW w:w="897" w:type="pct"/>
                  <w:shd w:val="clear" w:color="auto" w:fill="FFFFFF"/>
                  <w:vAlign w:val="center"/>
                </w:tcPr>
                <w:p w14:paraId="5C7CECC5">
                  <w:pPr>
                    <w:pStyle w:val="51"/>
                    <w:bidi w:val="0"/>
                    <w:rPr>
                      <w:rFonts w:hint="default" w:ascii="Times New Roman" w:hAnsi="Times New Roman" w:eastAsia="宋体" w:cs="Times New Roman"/>
                      <w:highlight w:val="none"/>
                      <w:lang w:val="en-US"/>
                    </w:rPr>
                  </w:pPr>
                  <w:r>
                    <w:rPr>
                      <w:rFonts w:hint="default" w:ascii="Times New Roman" w:hAnsi="Times New Roman" w:eastAsia="宋体" w:cs="Times New Roman"/>
                      <w:highlight w:val="none"/>
                      <w:lang w:val="en-US" w:eastAsia="zh-CN"/>
                    </w:rPr>
                    <w:t>2394.17</w:t>
                  </w:r>
                </w:p>
              </w:tc>
              <w:tc>
                <w:tcPr>
                  <w:tcW w:w="817" w:type="pct"/>
                  <w:tcBorders>
                    <w:right w:val="nil"/>
                  </w:tcBorders>
                  <w:shd w:val="clear" w:color="auto" w:fill="FFFFFF"/>
                  <w:vAlign w:val="center"/>
                </w:tcPr>
                <w:p w14:paraId="35665733">
                  <w:pPr>
                    <w:pStyle w:val="51"/>
                    <w:bidi w:val="0"/>
                    <w:rPr>
                      <w:rFonts w:hint="default" w:ascii="Times New Roman" w:hAnsi="Times New Roman" w:eastAsia="宋体" w:cs="Times New Roman"/>
                      <w:highlight w:val="none"/>
                      <w:lang w:val="en-US"/>
                    </w:rPr>
                  </w:pPr>
                  <w:r>
                    <w:rPr>
                      <w:rFonts w:hint="default" w:ascii="Times New Roman" w:hAnsi="Times New Roman" w:eastAsia="宋体" w:cs="Times New Roman"/>
                      <w:highlight w:val="none"/>
                      <w:lang w:val="en-US" w:eastAsia="zh-CN"/>
                    </w:rPr>
                    <w:t>64.85</w:t>
                  </w:r>
                </w:p>
              </w:tc>
            </w:tr>
            <w:tr w14:paraId="409DEA9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47" w:hRule="atLeast"/>
              </w:trPr>
              <w:tc>
                <w:tcPr>
                  <w:tcW w:w="3284" w:type="pct"/>
                  <w:gridSpan w:val="2"/>
                  <w:tcBorders>
                    <w:left w:val="nil"/>
                  </w:tcBorders>
                  <w:shd w:val="clear" w:color="auto" w:fill="FFFFFF"/>
                  <w:vAlign w:val="center"/>
                </w:tcPr>
                <w:p w14:paraId="2FBBC8AC">
                  <w:pPr>
                    <w:pStyle w:val="51"/>
                    <w:bidi w:val="0"/>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玉米、蔬菜等</w:t>
                  </w:r>
                  <w:r>
                    <w:rPr>
                      <w:rFonts w:hint="default" w:ascii="Times New Roman" w:hAnsi="Times New Roman" w:eastAsia="宋体" w:cs="Times New Roman"/>
                      <w:highlight w:val="none"/>
                    </w:rPr>
                    <w:t>农作物植被</w:t>
                  </w:r>
                </w:p>
              </w:tc>
              <w:tc>
                <w:tcPr>
                  <w:tcW w:w="897" w:type="pct"/>
                  <w:shd w:val="clear" w:color="auto" w:fill="FFFFFF"/>
                  <w:vAlign w:val="center"/>
                </w:tcPr>
                <w:p w14:paraId="2E3EBF8D">
                  <w:pPr>
                    <w:pStyle w:val="51"/>
                    <w:bidi w:val="0"/>
                    <w:rPr>
                      <w:rFonts w:hint="default" w:ascii="Times New Roman" w:hAnsi="Times New Roman" w:eastAsia="宋体" w:cs="Times New Roman"/>
                      <w:highlight w:val="none"/>
                      <w:lang w:val="en-US"/>
                    </w:rPr>
                  </w:pPr>
                  <w:r>
                    <w:rPr>
                      <w:rFonts w:hint="default" w:ascii="Times New Roman" w:hAnsi="Times New Roman" w:eastAsia="宋体" w:cs="Times New Roman"/>
                      <w:highlight w:val="none"/>
                      <w:lang w:val="en-US" w:eastAsia="zh-CN"/>
                    </w:rPr>
                    <w:t>1204.15</w:t>
                  </w:r>
                </w:p>
              </w:tc>
              <w:tc>
                <w:tcPr>
                  <w:tcW w:w="817" w:type="pct"/>
                  <w:tcBorders>
                    <w:right w:val="nil"/>
                  </w:tcBorders>
                  <w:shd w:val="clear" w:color="auto" w:fill="FFFFFF"/>
                  <w:vAlign w:val="center"/>
                </w:tcPr>
                <w:p w14:paraId="6497C37A">
                  <w:pPr>
                    <w:pStyle w:val="51"/>
                    <w:bidi w:val="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32.61</w:t>
                  </w:r>
                </w:p>
              </w:tc>
            </w:tr>
            <w:tr w14:paraId="3D82166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PrEx>
              <w:trPr>
                <w:trHeight w:val="486" w:hRule="atLeast"/>
              </w:trPr>
              <w:tc>
                <w:tcPr>
                  <w:tcW w:w="3284" w:type="pct"/>
                  <w:gridSpan w:val="2"/>
                  <w:tcBorders>
                    <w:left w:val="nil"/>
                  </w:tcBorders>
                  <w:shd w:val="clear" w:color="auto" w:fill="FFFFFF"/>
                  <w:vAlign w:val="center"/>
                </w:tcPr>
                <w:p w14:paraId="69F60D6B">
                  <w:pPr>
                    <w:pStyle w:val="51"/>
                    <w:bidi w:val="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无植被</w:t>
                  </w:r>
                  <w:r>
                    <w:rPr>
                      <w:rFonts w:hint="default" w:ascii="Times New Roman" w:hAnsi="Times New Roman" w:eastAsia="宋体" w:cs="Times New Roman"/>
                      <w:highlight w:val="none"/>
                      <w:lang w:val="en-US" w:eastAsia="zh-CN"/>
                    </w:rPr>
                    <w:t>区</w:t>
                  </w:r>
                  <w:r>
                    <w:rPr>
                      <w:rFonts w:hint="eastAsia" w:cs="Times New Roman"/>
                      <w:highlight w:val="none"/>
                      <w:lang w:val="en-US" w:eastAsia="zh-CN"/>
                    </w:rPr>
                    <w:t>（</w:t>
                  </w:r>
                  <w:r>
                    <w:rPr>
                      <w:rFonts w:hint="default" w:ascii="Times New Roman" w:hAnsi="Times New Roman" w:eastAsia="宋体" w:cs="Times New Roman"/>
                      <w:highlight w:val="none"/>
                      <w:lang w:val="en-US" w:eastAsia="zh-CN"/>
                    </w:rPr>
                    <w:t>主要由建筑、道路、裸地组成</w:t>
                  </w:r>
                  <w:r>
                    <w:rPr>
                      <w:rFonts w:hint="eastAsia" w:cs="Times New Roman"/>
                      <w:highlight w:val="none"/>
                      <w:lang w:val="en-US" w:eastAsia="zh-CN"/>
                    </w:rPr>
                    <w:t>）</w:t>
                  </w:r>
                </w:p>
              </w:tc>
              <w:tc>
                <w:tcPr>
                  <w:tcW w:w="897" w:type="pct"/>
                  <w:shd w:val="clear" w:color="auto" w:fill="FFFFFF"/>
                  <w:vAlign w:val="center"/>
                </w:tcPr>
                <w:p w14:paraId="456428F2">
                  <w:pPr>
                    <w:pStyle w:val="51"/>
                    <w:bidi w:val="0"/>
                    <w:rPr>
                      <w:rFonts w:hint="default" w:ascii="Times New Roman" w:hAnsi="Times New Roman" w:eastAsia="宋体" w:cs="Times New Roman"/>
                      <w:highlight w:val="none"/>
                      <w:lang w:val="en-US"/>
                    </w:rPr>
                  </w:pPr>
                  <w:r>
                    <w:rPr>
                      <w:rFonts w:hint="default" w:ascii="Times New Roman" w:hAnsi="Times New Roman" w:eastAsia="宋体" w:cs="Times New Roman"/>
                      <w:highlight w:val="none"/>
                      <w:lang w:val="en-US" w:eastAsia="zh-CN"/>
                    </w:rPr>
                    <w:t>93.77</w:t>
                  </w:r>
                </w:p>
              </w:tc>
              <w:tc>
                <w:tcPr>
                  <w:tcW w:w="817" w:type="pct"/>
                  <w:tcBorders>
                    <w:right w:val="nil"/>
                  </w:tcBorders>
                  <w:shd w:val="clear" w:color="auto" w:fill="FFFFFF"/>
                  <w:vAlign w:val="center"/>
                </w:tcPr>
                <w:p w14:paraId="1A80CDFF">
                  <w:pPr>
                    <w:pStyle w:val="51"/>
                    <w:bidi w:val="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2.54</w:t>
                  </w:r>
                </w:p>
              </w:tc>
            </w:tr>
            <w:tr w14:paraId="2CC09BF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91" w:hRule="atLeast"/>
              </w:trPr>
              <w:tc>
                <w:tcPr>
                  <w:tcW w:w="3284" w:type="pct"/>
                  <w:gridSpan w:val="2"/>
                  <w:tcBorders>
                    <w:left w:val="nil"/>
                    <w:bottom w:val="single" w:color="000000" w:sz="12" w:space="0"/>
                  </w:tcBorders>
                  <w:shd w:val="clear" w:color="auto" w:fill="FFFFFF"/>
                  <w:vAlign w:val="center"/>
                </w:tcPr>
                <w:p w14:paraId="6724EB21">
                  <w:pPr>
                    <w:pStyle w:val="51"/>
                    <w:bidi w:val="0"/>
                    <w:rPr>
                      <w:rFonts w:hint="default" w:ascii="Times New Roman" w:hAnsi="Times New Roman" w:eastAsia="宋体" w:cs="Times New Roman"/>
                      <w:highlight w:val="none"/>
                    </w:rPr>
                  </w:pPr>
                  <w:r>
                    <w:rPr>
                      <w:rFonts w:hint="default" w:ascii="Times New Roman" w:hAnsi="Times New Roman" w:eastAsia="宋体" w:cs="Times New Roman"/>
                      <w:highlight w:val="none"/>
                    </w:rPr>
                    <w:t>合计</w:t>
                  </w:r>
                </w:p>
              </w:tc>
              <w:tc>
                <w:tcPr>
                  <w:tcW w:w="897" w:type="pct"/>
                  <w:tcBorders>
                    <w:bottom w:val="single" w:color="000000" w:sz="12" w:space="0"/>
                  </w:tcBorders>
                  <w:shd w:val="clear" w:color="auto" w:fill="FFFFFF"/>
                  <w:vAlign w:val="center"/>
                </w:tcPr>
                <w:p w14:paraId="53EA1756">
                  <w:pPr>
                    <w:pStyle w:val="51"/>
                    <w:bidi w:val="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3692.1</w:t>
                  </w:r>
                </w:p>
              </w:tc>
              <w:tc>
                <w:tcPr>
                  <w:tcW w:w="817" w:type="pct"/>
                  <w:tcBorders>
                    <w:bottom w:val="single" w:color="000000" w:sz="12" w:space="0"/>
                    <w:right w:val="nil"/>
                  </w:tcBorders>
                  <w:shd w:val="clear" w:color="auto" w:fill="FFFFFF"/>
                  <w:vAlign w:val="center"/>
                </w:tcPr>
                <w:p w14:paraId="68F253E5">
                  <w:pPr>
                    <w:pStyle w:val="51"/>
                    <w:bidi w:val="0"/>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100</w:t>
                  </w:r>
                </w:p>
              </w:tc>
            </w:tr>
          </w:tbl>
          <w:p w14:paraId="20828F74">
            <w:pPr>
              <w:pStyle w:val="80"/>
              <w:keepNext w:val="0"/>
              <w:keepLines w:val="0"/>
              <w:pageBreakBefore w:val="0"/>
              <w:widowControl w:val="0"/>
              <w:kinsoku/>
              <w:wordWrap/>
              <w:overflowPunct/>
              <w:topLinePunct w:val="0"/>
              <w:autoSpaceDE/>
              <w:autoSpaceDN/>
              <w:bidi w:val="0"/>
              <w:adjustRightInd/>
              <w:snapToGrid/>
              <w:spacing w:line="360" w:lineRule="auto"/>
              <w:ind w:left="0" w:right="0" w:firstLine="507"/>
              <w:textAlignment w:val="auto"/>
              <w:rPr>
                <w:rFonts w:hint="default" w:ascii="Times New Roman" w:hAnsi="Times New Roman" w:eastAsia="宋体" w:cs="Times New Roman"/>
                <w:color w:val="000000" w:themeColor="text1"/>
                <w:sz w:val="28"/>
                <w:szCs w:val="28"/>
                <w:highlight w:val="none"/>
                <w14:textFill>
                  <w14:solidFill>
                    <w14:schemeClr w14:val="tx1"/>
                  </w14:solidFill>
                </w14:textFill>
              </w:rPr>
            </w:pPr>
            <w:r>
              <w:rPr>
                <w:rFonts w:hint="default" w:ascii="Times New Roman" w:hAnsi="Times New Roman" w:eastAsia="宋体" w:cs="Times New Roman"/>
                <w:color w:val="000000" w:themeColor="text1"/>
                <w:spacing w:val="-4"/>
                <w:sz w:val="24"/>
                <w:szCs w:val="24"/>
                <w:highlight w:val="none"/>
                <w14:textFill>
                  <w14:solidFill>
                    <w14:schemeClr w14:val="tx1"/>
                  </w14:solidFill>
                </w14:textFill>
              </w:rPr>
              <w:t>由表3-</w:t>
            </w:r>
            <w:r>
              <w:rPr>
                <w:rFonts w:hint="eastAsia" w:ascii="Times New Roman" w:hAnsi="Times New Roman" w:eastAsia="宋体" w:cs="Times New Roman"/>
                <w:color w:val="000000" w:themeColor="text1"/>
                <w:spacing w:val="-4"/>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pacing w:val="-4"/>
                <w:sz w:val="24"/>
                <w:szCs w:val="24"/>
                <w:highlight w:val="none"/>
                <w14:textFill>
                  <w14:solidFill>
                    <w14:schemeClr w14:val="tx1"/>
                  </w14:solidFill>
                </w14:textFill>
              </w:rPr>
              <w:t>可知，从区域植被类型分布来看，调查</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区的面积</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3692.1h</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5"/>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，其中</w:t>
            </w:r>
            <w:r>
              <w:rPr>
                <w:rFonts w:hint="default" w:ascii="Times New Roman" w:hAnsi="Times New Roman" w:eastAsia="宋体" w:cs="Times New Roman"/>
                <w:highlight w:val="none"/>
                <w:lang w:val="en-US" w:eastAsia="zh-CN"/>
              </w:rPr>
              <w:t>白刺、芨芨草、芦苇等植被沼泽灌草从</w:t>
            </w:r>
            <w:r>
              <w:rPr>
                <w:rFonts w:hint="default" w:ascii="Times New Roman" w:hAnsi="Times New Roman" w:eastAsia="宋体" w:cs="Times New Roman"/>
                <w:color w:val="000000" w:themeColor="text1"/>
                <w:spacing w:val="8"/>
                <w:sz w:val="24"/>
                <w:szCs w:val="24"/>
                <w:highlight w:val="none"/>
                <w14:textFill>
                  <w14:solidFill>
                    <w14:schemeClr w14:val="tx1"/>
                  </w14:solidFill>
                </w14:textFill>
              </w:rPr>
              <w:t>植被</w:t>
            </w:r>
            <w:r>
              <w:rPr>
                <w:rFonts w:hint="default" w:ascii="Times New Roman" w:hAnsi="Times New Roman" w:eastAsia="宋体" w:cs="Times New Roman"/>
                <w:color w:val="000000" w:themeColor="text1"/>
                <w:spacing w:val="-3"/>
                <w:sz w:val="24"/>
                <w:szCs w:val="24"/>
                <w:highlight w:val="none"/>
                <w14:textFill>
                  <w14:solidFill>
                    <w14:schemeClr w14:val="tx1"/>
                  </w14:solidFill>
                </w14:textFill>
              </w:rPr>
              <w:t>占地为</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2394.17h</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5"/>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、占比</w:t>
            </w:r>
            <w:r>
              <w:rPr>
                <w:rFonts w:hint="default" w:ascii="Times New Roman" w:hAnsi="Times New Roman" w:eastAsia="宋体" w:cs="Times New Roman"/>
                <w:color w:val="000000" w:themeColor="text1"/>
                <w:spacing w:val="-5"/>
                <w:sz w:val="24"/>
                <w:szCs w:val="24"/>
                <w:highlight w:val="none"/>
                <w:lang w:val="en-US" w:eastAsia="zh-CN"/>
                <w14:textFill>
                  <w14:solidFill>
                    <w14:schemeClr w14:val="tx1"/>
                  </w14:solidFill>
                </w14:textFill>
              </w:rPr>
              <w:t>64.85</w:t>
            </w:r>
            <w:r>
              <w:rPr>
                <w:rFonts w:hint="default" w:ascii="Times New Roman" w:hAnsi="Times New Roman" w:eastAsia="宋体" w:cs="Times New Roman"/>
                <w:color w:val="000000" w:themeColor="text1"/>
                <w:spacing w:val="-5"/>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4"/>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3"/>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3"/>
                <w:sz w:val="24"/>
                <w:szCs w:val="24"/>
                <w:highlight w:val="none"/>
                <w:lang w:val="en-US" w:eastAsia="zh-CN"/>
                <w14:textFill>
                  <w14:solidFill>
                    <w14:schemeClr w14:val="tx1"/>
                  </w14:solidFill>
                </w14:textFill>
              </w:rPr>
              <w:t>玉米蔬菜等</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农作物植被占地为</w:t>
            </w:r>
            <w:r>
              <w:rPr>
                <w:rFonts w:hint="default" w:ascii="Times New Roman" w:hAnsi="Times New Roman" w:eastAsia="宋体" w:cs="Times New Roman"/>
                <w:i w:val="0"/>
                <w:iCs w:val="0"/>
                <w:color w:val="000000" w:themeColor="text1"/>
                <w:kern w:val="0"/>
                <w:sz w:val="24"/>
                <w:szCs w:val="24"/>
                <w:highlight w:val="none"/>
                <w:u w:val="none"/>
                <w:lang w:val="en-US" w:eastAsia="zh-CN" w:bidi="ar"/>
                <w14:textFill>
                  <w14:solidFill>
                    <w14:schemeClr w14:val="tx1"/>
                  </w14:solidFill>
                </w14:textFill>
              </w:rPr>
              <w:t>1204.15h</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6"/>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、占比</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32.61</w:t>
            </w:r>
            <w:r>
              <w:rPr>
                <w:rFonts w:hint="default" w:ascii="Times New Roman" w:hAnsi="Times New Roman" w:eastAsia="宋体" w:cs="Times New Roman"/>
                <w:color w:val="000000" w:themeColor="text1"/>
                <w:spacing w:val="-7"/>
                <w:sz w:val="24"/>
                <w:szCs w:val="24"/>
                <w:highlight w:val="none"/>
                <w14:textFill>
                  <w14:solidFill>
                    <w14:schemeClr w14:val="tx1"/>
                  </w14:solidFill>
                </w14:textFill>
              </w:rPr>
              <w:t>%，无植被</w:t>
            </w:r>
            <w:r>
              <w:rPr>
                <w:rFonts w:hint="default" w:ascii="Times New Roman" w:hAnsi="Times New Roman" w:eastAsia="宋体" w:cs="Times New Roman"/>
                <w:color w:val="000000" w:themeColor="text1"/>
                <w:spacing w:val="-7"/>
                <w:sz w:val="24"/>
                <w:szCs w:val="24"/>
                <w:highlight w:val="none"/>
                <w:lang w:val="en-US" w:eastAsia="zh-CN"/>
                <w14:textFill>
                  <w14:solidFill>
                    <w14:schemeClr w14:val="tx1"/>
                  </w14:solidFill>
                </w14:textFill>
              </w:rPr>
              <w:t>区</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占地为</w:t>
            </w:r>
            <w:r>
              <w:rPr>
                <w:rFonts w:hint="default" w:ascii="Times New Roman" w:hAnsi="Times New Roman" w:eastAsia="宋体" w:cs="Times New Roman"/>
                <w:i w:val="0"/>
                <w:iCs w:val="0"/>
                <w:color w:val="000000" w:themeColor="text1"/>
                <w:kern w:val="0"/>
                <w:sz w:val="24"/>
                <w:szCs w:val="24"/>
                <w:highlight w:val="none"/>
                <w:u w:val="none"/>
                <w:lang w:val="en-US" w:eastAsia="zh-CN" w:bidi="ar"/>
                <w14:textFill>
                  <w14:solidFill>
                    <w14:schemeClr w14:val="tx1"/>
                  </w14:solidFill>
                </w14:textFill>
              </w:rPr>
              <w:t>93.77h</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2"/>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、占比</w:t>
            </w:r>
            <w:r>
              <w:rPr>
                <w:rFonts w:hint="default" w:ascii="Times New Roman" w:hAnsi="Times New Roman" w:eastAsia="宋体" w:cs="Times New Roman"/>
                <w:color w:val="000000" w:themeColor="text1"/>
                <w:spacing w:val="2"/>
                <w:sz w:val="24"/>
                <w:szCs w:val="24"/>
                <w:highlight w:val="none"/>
                <w:lang w:val="en-US" w:eastAsia="zh-CN"/>
                <w14:textFill>
                  <w14:solidFill>
                    <w14:schemeClr w14:val="tx1"/>
                  </w14:solidFill>
                </w14:textFill>
              </w:rPr>
              <w:t>2.54</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%，根据调查，本项目工程整</w:t>
            </w:r>
            <w:r>
              <w:rPr>
                <w:rFonts w:hint="default" w:ascii="Times New Roman" w:hAnsi="Times New Roman" w:eastAsia="宋体" w:cs="Times New Roman"/>
                <w:color w:val="000000" w:themeColor="text1"/>
                <w:spacing w:val="-3"/>
                <w:sz w:val="24"/>
                <w:szCs w:val="24"/>
                <w:highlight w:val="none"/>
                <w14:textFill>
                  <w14:solidFill>
                    <w14:schemeClr w14:val="tx1"/>
                  </w14:solidFill>
                </w14:textFill>
              </w:rPr>
              <w:t>体以</w:t>
            </w:r>
            <w:bookmarkStart w:id="13" w:name="OLE_LINK42"/>
            <w:r>
              <w:rPr>
                <w:rFonts w:hint="default" w:ascii="Times New Roman" w:hAnsi="Times New Roman" w:eastAsia="宋体" w:cs="Times New Roman"/>
                <w:color w:val="000000" w:themeColor="text1"/>
                <w:spacing w:val="-3"/>
                <w:sz w:val="24"/>
                <w:szCs w:val="24"/>
                <w:highlight w:val="none"/>
                <w:lang w:val="en-US" w:eastAsia="zh-CN"/>
                <w14:textFill>
                  <w14:solidFill>
                    <w14:schemeClr w14:val="tx1"/>
                  </w14:solidFill>
                </w14:textFill>
              </w:rPr>
              <w:t>沼泽灌草从及农田植被</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为主。</w:t>
            </w:r>
            <w:bookmarkEnd w:id="13"/>
          </w:p>
          <w:p w14:paraId="4DA7B56E">
            <w:pPr>
              <w:keepNext w:val="0"/>
              <w:keepLines w:val="0"/>
              <w:suppressLineNumbers w:val="0"/>
              <w:spacing w:before="0" w:beforeAutospacing="0" w:after="0" w:afterAutospacing="0" w:line="360" w:lineRule="auto"/>
              <w:ind w:left="0" w:leftChars="0" w:right="0" w:firstLine="0" w:firstLineChars="0"/>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3.2</w:t>
            </w:r>
            <w:r>
              <w:rPr>
                <w:rFonts w:hint="eastAsia" w:ascii="宋体" w:hAnsi="宋体" w:eastAsia="宋体" w:cs="宋体"/>
                <w:b/>
                <w:bCs/>
                <w:color w:val="000000" w:themeColor="text1"/>
                <w:sz w:val="28"/>
                <w:szCs w:val="28"/>
                <w14:textFill>
                  <w14:solidFill>
                    <w14:schemeClr w14:val="tx1"/>
                  </w14:solidFill>
                </w14:textFill>
              </w:rPr>
              <w:t>环境质量现状</w:t>
            </w:r>
          </w:p>
          <w:p w14:paraId="6DB85023">
            <w:pPr>
              <w:pStyle w:val="6"/>
              <w:keepNext w:val="0"/>
              <w:keepLines w:val="0"/>
              <w:pageBreakBefore w:val="0"/>
              <w:widowControl/>
              <w:kinsoku/>
              <w:wordWrap/>
              <w:overflowPunct/>
              <w:topLinePunct w:val="0"/>
              <w:autoSpaceDE/>
              <w:autoSpaceDN/>
              <w:bidi w:val="0"/>
              <w:adjustRightInd/>
              <w:snapToGrid w:val="0"/>
              <w:spacing w:before="0" w:after="0" w:line="360" w:lineRule="auto"/>
              <w:ind w:right="113" w:firstLine="480" w:firstLineChars="200"/>
              <w:textAlignment w:val="auto"/>
              <w:rPr>
                <w:rFonts w:hint="default" w:ascii="Times New Roman" w:hAnsi="Times New Roman" w:eastAsia="宋体" w:cs="Times New Roman"/>
                <w:sz w:val="24"/>
                <w:szCs w:val="24"/>
              </w:rPr>
            </w:pPr>
            <w:bookmarkStart w:id="14" w:name="_Hlk89026731"/>
            <w:bookmarkStart w:id="15" w:name="_Hlk88830451"/>
            <w:r>
              <w:rPr>
                <w:rFonts w:hint="default" w:ascii="Times New Roman" w:hAnsi="Times New Roman" w:eastAsia="宋体" w:cs="Times New Roman"/>
                <w:sz w:val="24"/>
                <w:szCs w:val="24"/>
              </w:rPr>
              <w:t>项目位于</w:t>
            </w:r>
            <w:r>
              <w:rPr>
                <w:rFonts w:hint="default" w:ascii="Times New Roman" w:hAnsi="Times New Roman" w:eastAsia="宋体" w:cs="Times New Roman"/>
                <w:sz w:val="24"/>
                <w:szCs w:val="24"/>
                <w:lang w:val="en-US" w:eastAsia="zh-CN"/>
              </w:rPr>
              <w:t>张掖市临泽县</w:t>
            </w:r>
            <w:r>
              <w:rPr>
                <w:rFonts w:hint="default" w:ascii="Times New Roman" w:hAnsi="Times New Roman" w:eastAsia="宋体" w:cs="Times New Roman"/>
                <w:sz w:val="24"/>
                <w:szCs w:val="24"/>
              </w:rPr>
              <w:t>，属于环境空气二类功能区，环境空气质量执行《环境空气质量标准》（GB3095-20</w:t>
            </w:r>
            <w:r>
              <w:rPr>
                <w:rFonts w:hint="default" w:ascii="Times New Roman" w:hAnsi="Times New Roman" w:eastAsia="宋体" w:cs="Times New Roman"/>
                <w:sz w:val="24"/>
                <w:szCs w:val="24"/>
                <w:lang w:val="en-US" w:eastAsia="zh-CN"/>
              </w:rPr>
              <w:t>26</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中的过渡阶段浓度限值</w:t>
            </w:r>
            <w:r>
              <w:rPr>
                <w:rFonts w:hint="default" w:ascii="Times New Roman" w:hAnsi="Times New Roman" w:eastAsia="宋体" w:cs="Times New Roman"/>
                <w:sz w:val="24"/>
                <w:szCs w:val="24"/>
              </w:rPr>
              <w:t>二级标准</w:t>
            </w:r>
            <w:bookmarkEnd w:id="14"/>
            <w:r>
              <w:rPr>
                <w:rFonts w:hint="default" w:ascii="Times New Roman" w:hAnsi="Times New Roman" w:eastAsia="宋体" w:cs="Times New Roman"/>
                <w:sz w:val="24"/>
                <w:szCs w:val="24"/>
              </w:rPr>
              <w:t>。</w:t>
            </w:r>
          </w:p>
          <w:bookmarkEnd w:id="15"/>
          <w:p w14:paraId="52E73A76">
            <w:pPr>
              <w:pStyle w:val="6"/>
              <w:keepNext w:val="0"/>
              <w:keepLines w:val="0"/>
              <w:pageBreakBefore w:val="0"/>
              <w:widowControl/>
              <w:kinsoku/>
              <w:wordWrap/>
              <w:overflowPunct/>
              <w:topLinePunct w:val="0"/>
              <w:autoSpaceDE/>
              <w:autoSpaceDN/>
              <w:bidi w:val="0"/>
              <w:adjustRightInd/>
              <w:snapToGrid w:val="0"/>
              <w:spacing w:before="0" w:after="0" w:line="360" w:lineRule="auto"/>
              <w:ind w:right="113"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1.1、空气质量达标区判定</w:t>
            </w:r>
          </w:p>
          <w:p w14:paraId="0BBAA281">
            <w:pPr>
              <w:pStyle w:val="6"/>
              <w:keepNext w:val="0"/>
              <w:keepLines w:val="0"/>
              <w:pageBreakBefore w:val="0"/>
              <w:widowControl/>
              <w:kinsoku/>
              <w:wordWrap/>
              <w:overflowPunct/>
              <w:topLinePunct w:val="0"/>
              <w:autoSpaceDE/>
              <w:autoSpaceDN/>
              <w:bidi w:val="0"/>
              <w:adjustRightInd/>
              <w:snapToGrid w:val="0"/>
              <w:spacing w:before="0" w:after="0" w:line="360" w:lineRule="auto"/>
              <w:ind w:right="113"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根据《环境影响评价技术导则-大气环境》（HJ2.2-2018）第6.2.1.1条“项目所在区域达标判定，优先选用国家或地方生态主管部门公开发布的评价基准年环境质量公告或环境质量公告中的数据或结论”。</w:t>
            </w:r>
          </w:p>
          <w:p w14:paraId="78EBEA7A">
            <w:pPr>
              <w:pStyle w:val="6"/>
              <w:keepNext w:val="0"/>
              <w:keepLines w:val="0"/>
              <w:pageBreakBefore w:val="0"/>
              <w:widowControl/>
              <w:kinsoku/>
              <w:wordWrap/>
              <w:overflowPunct/>
              <w:topLinePunct w:val="0"/>
              <w:autoSpaceDE/>
              <w:autoSpaceDN/>
              <w:bidi w:val="0"/>
              <w:adjustRightInd/>
              <w:snapToGrid w:val="0"/>
              <w:spacing w:before="0" w:after="0" w:line="360" w:lineRule="auto"/>
              <w:ind w:right="113"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2024年张掖市生态环境状况公报》可知，2024年，全市城市环境空气综合质量指数为3.11，可吸入颗粒物（PM10）平均浓度为54微克／立方米（扣除沙尘后），细颗粒物（PM2.5）平均浓度为25微克／立方米（扣除沙尘后），二氧化硫和二氧化氮平均浓度分别为8和17微克／立方米，一氧化碳日均第95百分位数浓度为0.8毫克／立方米、臭氧日最大8小时平均第90百分位数浓度为140微克／立方米；全年城市空气质量优良天数303天，优良率82.8％。环境空气质量连续九年稳定达到国家二级标准，没有发生人为导致的重污染天气情况。</w:t>
            </w:r>
          </w:p>
          <w:p w14:paraId="6AC5BA78">
            <w:pPr>
              <w:pStyle w:val="6"/>
              <w:keepNext w:val="0"/>
              <w:keepLines w:val="0"/>
              <w:pageBreakBefore w:val="0"/>
              <w:widowControl/>
              <w:kinsoku/>
              <w:wordWrap/>
              <w:overflowPunct/>
              <w:topLinePunct w:val="0"/>
              <w:autoSpaceDE/>
              <w:autoSpaceDN/>
              <w:bidi w:val="0"/>
              <w:adjustRightInd/>
              <w:snapToGrid w:val="0"/>
              <w:spacing w:before="0" w:after="0" w:line="360" w:lineRule="auto"/>
              <w:ind w:right="113"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各污染物平均浓度均优于《环境空气质量标准》（</w:t>
            </w:r>
            <w:r>
              <w:rPr>
                <w:rFonts w:hint="default" w:ascii="Times New Roman" w:hAnsi="Times New Roman" w:eastAsia="宋体" w:cs="Times New Roman"/>
                <w:sz w:val="24"/>
                <w:szCs w:val="24"/>
                <w:lang w:eastAsia="zh-CN"/>
              </w:rPr>
              <w:t>GB3095—2026</w:t>
            </w:r>
            <w:r>
              <w:rPr>
                <w:rFonts w:hint="default" w:ascii="Times New Roman" w:hAnsi="Times New Roman" w:eastAsia="宋体" w:cs="Times New Roman"/>
                <w:sz w:val="24"/>
                <w:szCs w:val="24"/>
              </w:rPr>
              <w:t>）中过渡阶段浓度限值二级标准。因此本项目环境空气质量属于达标区。</w:t>
            </w:r>
          </w:p>
          <w:p w14:paraId="0AB021ED">
            <w:pPr>
              <w:pStyle w:val="6"/>
              <w:keepNext w:val="0"/>
              <w:keepLines w:val="0"/>
              <w:pageBreakBefore w:val="0"/>
              <w:widowControl/>
              <w:kinsoku/>
              <w:wordWrap/>
              <w:overflowPunct/>
              <w:topLinePunct w:val="0"/>
              <w:autoSpaceDE/>
              <w:autoSpaceDN/>
              <w:bidi w:val="0"/>
              <w:adjustRightInd/>
              <w:snapToGrid w:val="0"/>
              <w:spacing w:before="0" w:after="0" w:line="360" w:lineRule="auto"/>
              <w:ind w:right="113"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环境空气质量模型技术支持服务系统判定结果为达标区，内容要求参见下表，达标区判定结果如下：</w:t>
            </w:r>
          </w:p>
          <w:p w14:paraId="745DB762">
            <w:pPr>
              <w:pStyle w:val="63"/>
              <w:bidi w:val="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default" w:ascii="Times New Roman" w:hAnsi="Times New Roman" w:eastAsia="宋体" w:cs="Times New Roman"/>
                <w:b/>
                <w:bCs/>
                <w:color w:val="auto"/>
                <w:lang w:val="en-US" w:eastAsia="zh-CN"/>
              </w:rPr>
              <w:t>3-</w:t>
            </w:r>
            <w:r>
              <w:rPr>
                <w:rFonts w:hint="eastAsia" w:cs="Times New Roman"/>
                <w:b/>
                <w:bCs/>
                <w:color w:val="auto"/>
                <w:lang w:val="en-US" w:eastAsia="zh-CN"/>
              </w:rPr>
              <w:t>4</w:t>
            </w:r>
            <w:r>
              <w:rPr>
                <w:rFonts w:hint="default"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rPr>
              <w:t>区域空气质量现状评价表单位：μg/m</w:t>
            </w:r>
            <w:r>
              <w:rPr>
                <w:rFonts w:hint="default" w:ascii="Times New Roman" w:hAnsi="Times New Roman" w:eastAsia="宋体" w:cs="Times New Roman"/>
                <w:b/>
                <w:bCs/>
                <w:color w:val="auto"/>
                <w:vertAlign w:val="superscript"/>
              </w:rPr>
              <w:t>3</w:t>
            </w:r>
          </w:p>
          <w:tbl>
            <w:tblPr>
              <w:tblStyle w:val="79"/>
              <w:tblW w:w="4968" w:type="pct"/>
              <w:jc w:val="center"/>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fixed"/>
              <w:tblCellMar>
                <w:top w:w="0" w:type="dxa"/>
                <w:left w:w="0" w:type="dxa"/>
                <w:bottom w:w="0" w:type="dxa"/>
                <w:right w:w="0" w:type="dxa"/>
              </w:tblCellMar>
            </w:tblPr>
            <w:tblGrid>
              <w:gridCol w:w="827"/>
              <w:gridCol w:w="2048"/>
              <w:gridCol w:w="1543"/>
              <w:gridCol w:w="1612"/>
              <w:gridCol w:w="902"/>
              <w:gridCol w:w="566"/>
            </w:tblGrid>
            <w:tr w14:paraId="105EC7F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52" w:type="pct"/>
                  <w:tcBorders>
                    <w:top w:val="single" w:color="000000" w:sz="12" w:space="0"/>
                    <w:left w:val="nil"/>
                    <w:tl2br w:val="nil"/>
                  </w:tcBorders>
                  <w:shd w:val="clear" w:color="auto" w:fill="FFFFFF"/>
                  <w:noWrap w:val="0"/>
                  <w:vAlign w:val="center"/>
                </w:tcPr>
                <w:p w14:paraId="5CA01CA2">
                  <w:pPr>
                    <w:bidi w:val="0"/>
                    <w:spacing w:line="240" w:lineRule="auto"/>
                    <w:ind w:left="0" w:leftChars="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1365" w:type="pct"/>
                  <w:tcBorders>
                    <w:top w:val="single" w:color="000000" w:sz="12" w:space="0"/>
                  </w:tcBorders>
                  <w:shd w:val="clear" w:color="auto" w:fill="FFFFFF"/>
                  <w:noWrap w:val="0"/>
                  <w:vAlign w:val="center"/>
                </w:tcPr>
                <w:p w14:paraId="2D8E5C63">
                  <w:pPr>
                    <w:bidi w:val="0"/>
                    <w:spacing w:line="240" w:lineRule="auto"/>
                    <w:ind w:left="0" w:leftChars="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平均时间</w:t>
                  </w:r>
                </w:p>
              </w:tc>
              <w:tc>
                <w:tcPr>
                  <w:tcW w:w="1028" w:type="pct"/>
                  <w:tcBorders>
                    <w:top w:val="single" w:color="000000" w:sz="12" w:space="0"/>
                  </w:tcBorders>
                  <w:shd w:val="clear" w:color="auto" w:fill="FFFFFF"/>
                  <w:noWrap w:val="0"/>
                  <w:vAlign w:val="center"/>
                </w:tcPr>
                <w:p w14:paraId="1824D563">
                  <w:pPr>
                    <w:bidi w:val="0"/>
                    <w:spacing w:line="240" w:lineRule="auto"/>
                    <w:ind w:left="0" w:leftChars="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现状浓度/(μg/m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lang w:eastAsia="zh-CN"/>
                    </w:rPr>
                    <w:t>)</w:t>
                  </w:r>
                </w:p>
              </w:tc>
              <w:tc>
                <w:tcPr>
                  <w:tcW w:w="1074" w:type="pct"/>
                  <w:tcBorders>
                    <w:top w:val="single" w:color="000000" w:sz="12" w:space="0"/>
                  </w:tcBorders>
                  <w:shd w:val="clear" w:color="auto" w:fill="FFFFFF"/>
                  <w:noWrap w:val="0"/>
                  <w:vAlign w:val="center"/>
                </w:tcPr>
                <w:p w14:paraId="3F3F08C5">
                  <w:pPr>
                    <w:bidi w:val="0"/>
                    <w:spacing w:line="240" w:lineRule="auto"/>
                    <w:ind w:left="0" w:leftChars="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标准值/</w:t>
                  </w:r>
                  <w:r>
                    <w:rPr>
                      <w:rFonts w:hint="default" w:ascii="Times New Roman" w:hAnsi="Times New Roman" w:eastAsia="宋体" w:cs="Times New Roman"/>
                      <w:b/>
                      <w:bCs/>
                      <w:color w:val="auto"/>
                      <w:sz w:val="21"/>
                      <w:szCs w:val="21"/>
                      <w:lang w:eastAsia="zh-CN"/>
                    </w:rPr>
                    <w:t>（</w:t>
                  </w:r>
                  <w:r>
                    <w:rPr>
                      <w:rFonts w:hint="default" w:ascii="Times New Roman" w:hAnsi="Times New Roman" w:eastAsia="宋体" w:cs="Times New Roman"/>
                      <w:b/>
                      <w:bCs/>
                      <w:color w:val="auto"/>
                      <w:sz w:val="21"/>
                      <w:szCs w:val="21"/>
                    </w:rPr>
                    <w:t>μg/m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601" w:type="pct"/>
                  <w:tcBorders>
                    <w:top w:val="single" w:color="000000" w:sz="12" w:space="0"/>
                  </w:tcBorders>
                  <w:shd w:val="clear" w:color="auto" w:fill="FFFFFF"/>
                  <w:noWrap w:val="0"/>
                  <w:vAlign w:val="center"/>
                </w:tcPr>
                <w:p w14:paraId="770A2BC3">
                  <w:pPr>
                    <w:bidi w:val="0"/>
                    <w:spacing w:line="240" w:lineRule="auto"/>
                    <w:ind w:left="0" w:leftChars="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占标率/%</w:t>
                  </w:r>
                </w:p>
              </w:tc>
              <w:tc>
                <w:tcPr>
                  <w:tcW w:w="377" w:type="pct"/>
                  <w:tcBorders>
                    <w:top w:val="single" w:color="000000" w:sz="12" w:space="0"/>
                    <w:right w:val="nil"/>
                  </w:tcBorders>
                  <w:shd w:val="clear" w:color="auto" w:fill="FFFFFF"/>
                  <w:noWrap w:val="0"/>
                  <w:vAlign w:val="center"/>
                </w:tcPr>
                <w:p w14:paraId="66E7C18E">
                  <w:pPr>
                    <w:bidi w:val="0"/>
                    <w:spacing w:line="240" w:lineRule="auto"/>
                    <w:ind w:left="0" w:leftChars="0"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达标情况</w:t>
                  </w:r>
                </w:p>
              </w:tc>
            </w:tr>
            <w:tr w14:paraId="670FA45D">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52" w:type="pct"/>
                  <w:tcBorders>
                    <w:left w:val="nil"/>
                  </w:tcBorders>
                  <w:shd w:val="clear" w:color="auto" w:fill="FFFFFF"/>
                  <w:noWrap w:val="0"/>
                  <w:vAlign w:val="center"/>
                </w:tcPr>
                <w:p w14:paraId="3A0ABF67">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1365" w:type="pct"/>
                  <w:shd w:val="clear" w:color="auto" w:fill="FFFFFF"/>
                  <w:noWrap w:val="0"/>
                  <w:vAlign w:val="center"/>
                </w:tcPr>
                <w:p w14:paraId="75F2EE90">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1028" w:type="pct"/>
                  <w:shd w:val="clear" w:color="auto" w:fill="FFFFFF"/>
                  <w:noWrap w:val="0"/>
                  <w:vAlign w:val="center"/>
                </w:tcPr>
                <w:p w14:paraId="4FCD3259">
                  <w:pPr>
                    <w:bidi w:val="0"/>
                    <w:spacing w:line="240" w:lineRule="auto"/>
                    <w:ind w:left="0" w:leftChars="0"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8</w:t>
                  </w:r>
                </w:p>
              </w:tc>
              <w:tc>
                <w:tcPr>
                  <w:tcW w:w="1074" w:type="pct"/>
                  <w:shd w:val="clear" w:color="auto" w:fill="FFFFFF"/>
                  <w:noWrap w:val="0"/>
                  <w:vAlign w:val="center"/>
                </w:tcPr>
                <w:p w14:paraId="1F567CA9">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601" w:type="pct"/>
                  <w:shd w:val="clear" w:color="auto" w:fill="FFFFFF"/>
                  <w:noWrap w:val="0"/>
                  <w:vAlign w:val="center"/>
                </w:tcPr>
                <w:p w14:paraId="6B9CF6A0">
                  <w:pPr>
                    <w:bidi w:val="0"/>
                    <w:spacing w:line="240" w:lineRule="auto"/>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13.3</w:t>
                  </w:r>
                </w:p>
              </w:tc>
              <w:tc>
                <w:tcPr>
                  <w:tcW w:w="377" w:type="pct"/>
                  <w:tcBorders>
                    <w:right w:val="nil"/>
                  </w:tcBorders>
                  <w:shd w:val="clear" w:color="auto" w:fill="FFFFFF"/>
                  <w:noWrap w:val="0"/>
                  <w:vAlign w:val="center"/>
                </w:tcPr>
                <w:p w14:paraId="0F483254">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3021224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52" w:type="pct"/>
                  <w:tcBorders>
                    <w:left w:val="nil"/>
                  </w:tcBorders>
                  <w:shd w:val="clear" w:color="auto" w:fill="FFFFFF"/>
                  <w:noWrap w:val="0"/>
                  <w:vAlign w:val="center"/>
                </w:tcPr>
                <w:p w14:paraId="277E2659">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2</w:t>
                  </w:r>
                </w:p>
              </w:tc>
              <w:tc>
                <w:tcPr>
                  <w:tcW w:w="1365" w:type="pct"/>
                  <w:shd w:val="clear" w:color="auto" w:fill="FFFFFF"/>
                  <w:noWrap w:val="0"/>
                  <w:vAlign w:val="center"/>
                </w:tcPr>
                <w:p w14:paraId="1DD98630">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1028" w:type="pct"/>
                  <w:shd w:val="clear" w:color="auto" w:fill="FFFFFF"/>
                  <w:noWrap w:val="0"/>
                  <w:vAlign w:val="center"/>
                </w:tcPr>
                <w:p w14:paraId="4D7E0AB6">
                  <w:pPr>
                    <w:bidi w:val="0"/>
                    <w:spacing w:line="240" w:lineRule="auto"/>
                    <w:ind w:left="0" w:leftChars="0"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lang w:val="en-US" w:eastAsia="zh-CN"/>
                    </w:rPr>
                    <w:t>7</w:t>
                  </w:r>
                </w:p>
              </w:tc>
              <w:tc>
                <w:tcPr>
                  <w:tcW w:w="1074" w:type="pct"/>
                  <w:shd w:val="clear" w:color="auto" w:fill="FFFFFF"/>
                  <w:noWrap w:val="0"/>
                  <w:vAlign w:val="center"/>
                </w:tcPr>
                <w:p w14:paraId="2634A222">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0</w:t>
                  </w:r>
                </w:p>
              </w:tc>
              <w:tc>
                <w:tcPr>
                  <w:tcW w:w="601" w:type="pct"/>
                  <w:shd w:val="clear" w:color="auto" w:fill="FFFFFF"/>
                  <w:noWrap w:val="0"/>
                  <w:vAlign w:val="center"/>
                </w:tcPr>
                <w:p w14:paraId="7D34CAED">
                  <w:pPr>
                    <w:bidi w:val="0"/>
                    <w:spacing w:line="240" w:lineRule="auto"/>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42.5</w:t>
                  </w:r>
                </w:p>
              </w:tc>
              <w:tc>
                <w:tcPr>
                  <w:tcW w:w="377" w:type="pct"/>
                  <w:tcBorders>
                    <w:right w:val="nil"/>
                  </w:tcBorders>
                  <w:shd w:val="clear" w:color="auto" w:fill="FFFFFF"/>
                  <w:noWrap w:val="0"/>
                  <w:vAlign w:val="center"/>
                </w:tcPr>
                <w:p w14:paraId="105C5458">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41AABC5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52" w:type="pct"/>
                  <w:tcBorders>
                    <w:left w:val="nil"/>
                  </w:tcBorders>
                  <w:shd w:val="clear" w:color="auto" w:fill="FFFFFF"/>
                  <w:noWrap w:val="0"/>
                  <w:vAlign w:val="center"/>
                </w:tcPr>
                <w:p w14:paraId="2154B24F">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CO</w:t>
                  </w:r>
                </w:p>
              </w:tc>
              <w:tc>
                <w:tcPr>
                  <w:tcW w:w="1365" w:type="pct"/>
                  <w:shd w:val="clear" w:color="auto" w:fill="FFFFFF"/>
                  <w:noWrap w:val="0"/>
                  <w:vAlign w:val="center"/>
                </w:tcPr>
                <w:p w14:paraId="4780B120">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日均值第95百分位数</w:t>
                  </w:r>
                </w:p>
              </w:tc>
              <w:tc>
                <w:tcPr>
                  <w:tcW w:w="1028" w:type="pct"/>
                  <w:shd w:val="clear" w:color="auto" w:fill="FFFFFF"/>
                  <w:noWrap w:val="0"/>
                  <w:vAlign w:val="center"/>
                </w:tcPr>
                <w:p w14:paraId="1525EC28">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8</w:t>
                  </w:r>
                  <w:r>
                    <w:rPr>
                      <w:rFonts w:hint="default" w:ascii="Times New Roman" w:hAnsi="Times New Roman" w:eastAsia="宋体" w:cs="Times New Roman"/>
                      <w:color w:val="auto"/>
                      <w:sz w:val="21"/>
                      <w:szCs w:val="21"/>
                    </w:rPr>
                    <w:t>00</w:t>
                  </w:r>
                </w:p>
              </w:tc>
              <w:tc>
                <w:tcPr>
                  <w:tcW w:w="1074" w:type="pct"/>
                  <w:shd w:val="clear" w:color="auto" w:fill="FFFFFF"/>
                  <w:noWrap w:val="0"/>
                  <w:vAlign w:val="center"/>
                </w:tcPr>
                <w:p w14:paraId="35D4889E">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4000</w:t>
                  </w:r>
                </w:p>
              </w:tc>
              <w:tc>
                <w:tcPr>
                  <w:tcW w:w="601" w:type="pct"/>
                  <w:shd w:val="clear" w:color="auto" w:fill="FFFFFF"/>
                  <w:noWrap w:val="0"/>
                  <w:vAlign w:val="center"/>
                </w:tcPr>
                <w:p w14:paraId="4DA6AA43">
                  <w:pPr>
                    <w:bidi w:val="0"/>
                    <w:spacing w:line="240" w:lineRule="auto"/>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377" w:type="pct"/>
                  <w:tcBorders>
                    <w:right w:val="nil"/>
                  </w:tcBorders>
                  <w:shd w:val="clear" w:color="auto" w:fill="FFFFFF"/>
                  <w:noWrap w:val="0"/>
                  <w:vAlign w:val="center"/>
                </w:tcPr>
                <w:p w14:paraId="4751B121">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45449DF3">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PrEx>
              <w:trPr>
                <w:trHeight w:val="454" w:hRule="atLeast"/>
                <w:jc w:val="center"/>
              </w:trPr>
              <w:tc>
                <w:tcPr>
                  <w:tcW w:w="552" w:type="pct"/>
                  <w:tcBorders>
                    <w:left w:val="nil"/>
                  </w:tcBorders>
                  <w:shd w:val="clear" w:color="auto" w:fill="FFFFFF"/>
                  <w:noWrap w:val="0"/>
                  <w:vAlign w:val="center"/>
                </w:tcPr>
                <w:p w14:paraId="1419B6AB">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O</w:t>
                  </w:r>
                  <w:r>
                    <w:rPr>
                      <w:rFonts w:hint="default" w:ascii="Times New Roman" w:hAnsi="Times New Roman" w:eastAsia="宋体" w:cs="Times New Roman"/>
                      <w:color w:val="auto"/>
                      <w:sz w:val="21"/>
                      <w:szCs w:val="21"/>
                      <w:vertAlign w:val="subscript"/>
                    </w:rPr>
                    <w:t>3</w:t>
                  </w:r>
                </w:p>
              </w:tc>
              <w:tc>
                <w:tcPr>
                  <w:tcW w:w="1365" w:type="pct"/>
                  <w:shd w:val="clear" w:color="auto" w:fill="FFFFFF"/>
                  <w:noWrap w:val="0"/>
                  <w:vAlign w:val="center"/>
                </w:tcPr>
                <w:p w14:paraId="36983AD0">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日最大8小时平均第90百分位数</w:t>
                  </w:r>
                </w:p>
              </w:tc>
              <w:tc>
                <w:tcPr>
                  <w:tcW w:w="1028" w:type="pct"/>
                  <w:shd w:val="clear" w:color="auto" w:fill="FFFFFF"/>
                  <w:noWrap w:val="0"/>
                  <w:vAlign w:val="center"/>
                </w:tcPr>
                <w:p w14:paraId="0C7BBC4D">
                  <w:pPr>
                    <w:bidi w:val="0"/>
                    <w:spacing w:line="240" w:lineRule="auto"/>
                    <w:ind w:left="0" w:leftChars="0"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14</w:t>
                  </w:r>
                  <w:r>
                    <w:rPr>
                      <w:rFonts w:hint="default" w:ascii="Times New Roman" w:hAnsi="Times New Roman" w:eastAsia="宋体" w:cs="Times New Roman"/>
                      <w:color w:val="auto"/>
                      <w:sz w:val="21"/>
                      <w:szCs w:val="21"/>
                      <w:lang w:val="en-US" w:eastAsia="zh-CN"/>
                    </w:rPr>
                    <w:t>0</w:t>
                  </w:r>
                </w:p>
              </w:tc>
              <w:tc>
                <w:tcPr>
                  <w:tcW w:w="1074" w:type="pct"/>
                  <w:shd w:val="clear" w:color="auto" w:fill="FFFFFF"/>
                  <w:noWrap w:val="0"/>
                  <w:vAlign w:val="center"/>
                </w:tcPr>
                <w:p w14:paraId="6B0194BD">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160</w:t>
                  </w:r>
                </w:p>
              </w:tc>
              <w:tc>
                <w:tcPr>
                  <w:tcW w:w="601" w:type="pct"/>
                  <w:shd w:val="clear" w:color="auto" w:fill="FFFFFF"/>
                  <w:noWrap w:val="0"/>
                  <w:vAlign w:val="center"/>
                </w:tcPr>
                <w:p w14:paraId="0E5FEE61">
                  <w:pPr>
                    <w:bidi w:val="0"/>
                    <w:spacing w:line="240" w:lineRule="auto"/>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87.5</w:t>
                  </w:r>
                </w:p>
              </w:tc>
              <w:tc>
                <w:tcPr>
                  <w:tcW w:w="377" w:type="pct"/>
                  <w:tcBorders>
                    <w:right w:val="nil"/>
                  </w:tcBorders>
                  <w:shd w:val="clear" w:color="auto" w:fill="FFFFFF"/>
                  <w:noWrap w:val="0"/>
                  <w:vAlign w:val="center"/>
                </w:tcPr>
                <w:p w14:paraId="733DD475">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20F5698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52" w:type="pct"/>
                  <w:tcBorders>
                    <w:left w:val="nil"/>
                  </w:tcBorders>
                  <w:shd w:val="clear" w:color="auto" w:fill="FFFFFF"/>
                  <w:noWrap w:val="0"/>
                  <w:vAlign w:val="center"/>
                </w:tcPr>
                <w:p w14:paraId="34C3A7B5">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10</w:t>
                  </w:r>
                </w:p>
              </w:tc>
              <w:tc>
                <w:tcPr>
                  <w:tcW w:w="1365" w:type="pct"/>
                  <w:shd w:val="clear" w:color="auto" w:fill="FFFFFF"/>
                  <w:noWrap w:val="0"/>
                  <w:vAlign w:val="center"/>
                </w:tcPr>
                <w:p w14:paraId="36FF2792">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1028" w:type="pct"/>
                  <w:shd w:val="clear" w:color="auto" w:fill="FFFFFF"/>
                  <w:noWrap w:val="0"/>
                  <w:vAlign w:val="center"/>
                </w:tcPr>
                <w:p w14:paraId="7D64A655">
                  <w:pPr>
                    <w:bidi w:val="0"/>
                    <w:spacing w:line="240" w:lineRule="auto"/>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w:t>
                  </w:r>
                </w:p>
              </w:tc>
              <w:tc>
                <w:tcPr>
                  <w:tcW w:w="1074" w:type="pct"/>
                  <w:shd w:val="clear" w:color="auto" w:fill="FFFFFF"/>
                  <w:noWrap w:val="0"/>
                  <w:vAlign w:val="center"/>
                </w:tcPr>
                <w:p w14:paraId="15A426E6">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6</w:t>
                  </w:r>
                  <w:r>
                    <w:rPr>
                      <w:rFonts w:hint="default" w:ascii="Times New Roman" w:hAnsi="Times New Roman" w:eastAsia="宋体" w:cs="Times New Roman"/>
                      <w:color w:val="auto"/>
                      <w:sz w:val="21"/>
                      <w:szCs w:val="21"/>
                    </w:rPr>
                    <w:t>0</w:t>
                  </w:r>
                </w:p>
              </w:tc>
              <w:tc>
                <w:tcPr>
                  <w:tcW w:w="601" w:type="pct"/>
                  <w:shd w:val="clear" w:color="auto" w:fill="FFFFFF"/>
                  <w:noWrap w:val="0"/>
                  <w:vAlign w:val="center"/>
                </w:tcPr>
                <w:p w14:paraId="6E2340E5">
                  <w:pPr>
                    <w:bidi w:val="0"/>
                    <w:spacing w:line="240" w:lineRule="auto"/>
                    <w:ind w:left="0" w:leftChars="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c>
                <w:tcPr>
                  <w:tcW w:w="377" w:type="pct"/>
                  <w:tcBorders>
                    <w:right w:val="nil"/>
                  </w:tcBorders>
                  <w:shd w:val="clear" w:color="auto" w:fill="FFFFFF"/>
                  <w:noWrap w:val="0"/>
                  <w:vAlign w:val="center"/>
                </w:tcPr>
                <w:p w14:paraId="0277B2B4">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4DEFAA1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52" w:type="pct"/>
                  <w:tcBorders>
                    <w:left w:val="nil"/>
                    <w:bottom w:val="single" w:color="000000" w:sz="12" w:space="0"/>
                  </w:tcBorders>
                  <w:shd w:val="clear" w:color="auto" w:fill="FFFFFF"/>
                  <w:noWrap w:val="0"/>
                  <w:vAlign w:val="center"/>
                </w:tcPr>
                <w:p w14:paraId="254F172D">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2.5</w:t>
                  </w:r>
                </w:p>
              </w:tc>
              <w:tc>
                <w:tcPr>
                  <w:tcW w:w="1365" w:type="pct"/>
                  <w:tcBorders>
                    <w:bottom w:val="single" w:color="000000" w:sz="12" w:space="0"/>
                  </w:tcBorders>
                  <w:shd w:val="clear" w:color="auto" w:fill="FFFFFF"/>
                  <w:noWrap w:val="0"/>
                  <w:vAlign w:val="center"/>
                </w:tcPr>
                <w:p w14:paraId="7C4671B2">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1028" w:type="pct"/>
                  <w:tcBorders>
                    <w:bottom w:val="single" w:color="000000" w:sz="12" w:space="0"/>
                  </w:tcBorders>
                  <w:shd w:val="clear" w:color="auto" w:fill="FFFFFF"/>
                  <w:noWrap w:val="0"/>
                  <w:vAlign w:val="center"/>
                </w:tcPr>
                <w:p w14:paraId="7CB8E141">
                  <w:pPr>
                    <w:bidi w:val="0"/>
                    <w:spacing w:line="240" w:lineRule="auto"/>
                    <w:ind w:left="0" w:leftChars="0"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2</w:t>
                  </w:r>
                  <w:r>
                    <w:rPr>
                      <w:rFonts w:hint="eastAsia" w:cs="Times New Roman"/>
                      <w:color w:val="auto"/>
                      <w:sz w:val="21"/>
                      <w:szCs w:val="21"/>
                      <w:lang w:val="en-US" w:eastAsia="zh-CN"/>
                    </w:rPr>
                    <w:t>5</w:t>
                  </w:r>
                </w:p>
              </w:tc>
              <w:tc>
                <w:tcPr>
                  <w:tcW w:w="1074" w:type="pct"/>
                  <w:tcBorders>
                    <w:bottom w:val="single" w:color="000000" w:sz="12" w:space="0"/>
                  </w:tcBorders>
                  <w:shd w:val="clear" w:color="auto" w:fill="FFFFFF"/>
                  <w:noWrap w:val="0"/>
                  <w:vAlign w:val="center"/>
                </w:tcPr>
                <w:p w14:paraId="46916B01">
                  <w:pPr>
                    <w:bidi w:val="0"/>
                    <w:spacing w:line="240" w:lineRule="auto"/>
                    <w:ind w:left="0" w:leftChars="0"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30</w:t>
                  </w:r>
                </w:p>
              </w:tc>
              <w:tc>
                <w:tcPr>
                  <w:tcW w:w="601" w:type="pct"/>
                  <w:tcBorders>
                    <w:bottom w:val="single" w:color="000000" w:sz="12" w:space="0"/>
                  </w:tcBorders>
                  <w:shd w:val="clear" w:color="auto" w:fill="FFFFFF"/>
                  <w:noWrap w:val="0"/>
                  <w:vAlign w:val="center"/>
                </w:tcPr>
                <w:p w14:paraId="0FD7BC53">
                  <w:pPr>
                    <w:bidi w:val="0"/>
                    <w:spacing w:line="240" w:lineRule="auto"/>
                    <w:ind w:left="0" w:leftChars="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0000FF"/>
                      <w:sz w:val="21"/>
                      <w:szCs w:val="21"/>
                      <w:lang w:val="en-US" w:eastAsia="zh-CN"/>
                    </w:rPr>
                    <w:t>8</w:t>
                  </w:r>
                  <w:r>
                    <w:rPr>
                      <w:rFonts w:hint="default" w:ascii="Times New Roman" w:hAnsi="Times New Roman" w:eastAsia="宋体" w:cs="Times New Roman"/>
                      <w:color w:val="0000FF"/>
                      <w:sz w:val="21"/>
                      <w:szCs w:val="21"/>
                      <w:lang w:val="en-US" w:eastAsia="zh-CN"/>
                    </w:rPr>
                    <w:t>3.3</w:t>
                  </w:r>
                </w:p>
              </w:tc>
              <w:tc>
                <w:tcPr>
                  <w:tcW w:w="377" w:type="pct"/>
                  <w:tcBorders>
                    <w:bottom w:val="single" w:color="000000" w:sz="12" w:space="0"/>
                    <w:right w:val="nil"/>
                  </w:tcBorders>
                  <w:shd w:val="clear" w:color="auto" w:fill="FFFFFF"/>
                  <w:noWrap w:val="0"/>
                  <w:vAlign w:val="center"/>
                </w:tcPr>
                <w:p w14:paraId="411D7F59">
                  <w:pPr>
                    <w:bidi w:val="0"/>
                    <w:spacing w:line="240" w:lineRule="auto"/>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bl>
          <w:p w14:paraId="0E6D0726">
            <w:pPr>
              <w:bidi w:val="0"/>
              <w:ind w:firstLine="480" w:firstLineChars="200"/>
              <w:rPr>
                <w:rFonts w:hint="eastAsia" w:ascii="宋体" w:hAnsi="宋体" w:eastAsia="宋体" w:cs="宋体"/>
              </w:rPr>
            </w:pPr>
            <w:r>
              <w:rPr>
                <w:rFonts w:hint="default" w:ascii="Times New Roman" w:hAnsi="Times New Roman" w:eastAsia="宋体" w:cs="Times New Roman"/>
                <w:sz w:val="24"/>
                <w:szCs w:val="24"/>
              </w:rPr>
              <w:t>由上表可知，各污染因子均达到《环境空气质量标准》（</w:t>
            </w:r>
            <w:r>
              <w:rPr>
                <w:rFonts w:hint="default" w:ascii="Times New Roman" w:hAnsi="Times New Roman" w:eastAsia="宋体" w:cs="Times New Roman"/>
                <w:sz w:val="24"/>
                <w:szCs w:val="24"/>
                <w:lang w:eastAsia="zh-CN"/>
              </w:rPr>
              <w:t>GB3095—2026</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过渡阶段浓度限值二级标准</w:t>
            </w:r>
            <w:r>
              <w:rPr>
                <w:rFonts w:hint="default" w:ascii="Times New Roman" w:hAnsi="Times New Roman" w:eastAsia="宋体" w:cs="Times New Roman"/>
                <w:sz w:val="24"/>
                <w:szCs w:val="24"/>
              </w:rPr>
              <w:t>，项目评价区域为达标区。</w:t>
            </w:r>
            <w:r>
              <w:rPr>
                <w:rFonts w:hint="default" w:ascii="Times New Roman" w:hAnsi="Times New Roman" w:eastAsia="宋体" w:cs="Times New Roman"/>
              </w:rPr>
              <w:t>说明</w:t>
            </w:r>
            <w:r>
              <w:rPr>
                <w:rFonts w:hint="default" w:ascii="Times New Roman" w:hAnsi="Times New Roman" w:eastAsia="宋体" w:cs="Times New Roman"/>
                <w:lang w:val="en-US" w:eastAsia="zh-CN"/>
              </w:rPr>
              <w:t>本</w:t>
            </w:r>
            <w:r>
              <w:rPr>
                <w:rFonts w:hint="default" w:ascii="Times New Roman" w:hAnsi="Times New Roman" w:eastAsia="宋体" w:cs="Times New Roman"/>
              </w:rPr>
              <w:t>项目所在区域环境空气质量良好。</w:t>
            </w:r>
          </w:p>
          <w:p w14:paraId="614A66A4">
            <w:pPr>
              <w:spacing w:line="360" w:lineRule="auto"/>
              <w:ind w:firstLine="562" w:firstLineChars="200"/>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2、地表水环境</w:t>
            </w:r>
          </w:p>
          <w:p w14:paraId="2766CEE1">
            <w:pPr>
              <w:bidi w:val="0"/>
              <w:ind w:firstLine="480" w:firstLineChars="200"/>
              <w:rPr>
                <w:rFonts w:hint="eastAsia"/>
                <w:color w:val="0000FF"/>
              </w:rPr>
            </w:pPr>
            <w:r>
              <w:rPr>
                <w:rFonts w:hint="eastAsia"/>
                <w:color w:val="0000FF"/>
              </w:rPr>
              <w:t>根据《2024年张掖市生态环境状况公报》可知，全市地表水8个国家考核断面（冰沟、西干渠渠首、丰乐河水文站、莺落峡、皇城水库、高崖水文站、六坝桥、正义峡）和6个省级考核断面（红湾、双树寺水库、四坝、花寨桥西、马营村、西大河水库出口）水质均达到地表水II类及以上标准，水质优良比例100％。2024年，全市地表水国家考核断面水环境质量状况在全国地级及以上城市中排名第11位。山丹河山丹桥断面水质达到地表水Ⅳ类目标要求。4条已完成整治的城市黑臭水体监测指标均达标，水质稳定无反弹。故地表水环境质量达</w:t>
            </w:r>
            <w:r>
              <w:rPr>
                <w:rFonts w:hint="eastAsia"/>
                <w:color w:val="0000FF"/>
                <w:lang w:val="en-US" w:eastAsia="zh-CN"/>
              </w:rPr>
              <w:t>标</w:t>
            </w:r>
            <w:r>
              <w:rPr>
                <w:rFonts w:hint="eastAsia"/>
                <w:color w:val="0000FF"/>
              </w:rPr>
              <w:t>。</w:t>
            </w:r>
          </w:p>
          <w:p w14:paraId="43C9666A">
            <w:pPr>
              <w:numPr>
                <w:ilvl w:val="0"/>
                <w:numId w:val="2"/>
              </w:numPr>
              <w:spacing w:before="120" w:beforeLines="50" w:line="360" w:lineRule="auto"/>
              <w:ind w:firstLine="562" w:firstLineChars="200"/>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声环境</w:t>
            </w:r>
          </w:p>
          <w:p w14:paraId="3E6676F0">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根据《202</w:t>
            </w:r>
            <w:r>
              <w:rPr>
                <w:rFonts w:hint="eastAsia" w:cs="Times New Roman"/>
                <w:kern w:val="2"/>
                <w:sz w:val="24"/>
                <w:szCs w:val="24"/>
                <w:lang w:val="en-US" w:eastAsia="zh-CN" w:bidi="ar-SA"/>
              </w:rPr>
              <w:t>4</w:t>
            </w:r>
            <w:r>
              <w:rPr>
                <w:rFonts w:hint="eastAsia" w:ascii="Times New Roman" w:hAnsi="Times New Roman" w:eastAsia="宋体" w:cs="Times New Roman"/>
                <w:kern w:val="2"/>
                <w:sz w:val="24"/>
                <w:szCs w:val="24"/>
                <w:lang w:val="en-US" w:eastAsia="zh-CN" w:bidi="ar-SA"/>
              </w:rPr>
              <w:t>年甘肃省生态环境状况公报》可知，张掖市城市昼间区域环境噪声平均等效声级范围在50.6~54.3分贝之间，声环境质量等级为二级，声环境质量“较好”。城市道路交通环境噪声平均等效声级范围在 60.4~67.6分贝之间，城市道路交通声环境质量等级为一级，声环境质量为“好”。</w:t>
            </w:r>
          </w:p>
          <w:p w14:paraId="03DDE1D5">
            <w:pPr>
              <w:numPr>
                <w:ilvl w:val="0"/>
                <w:numId w:val="2"/>
              </w:numPr>
              <w:ind w:left="0" w:leftChars="0" w:firstLine="482" w:firstLineChars="200"/>
              <w:rPr>
                <w:rFonts w:hint="eastAsia"/>
                <w:b/>
                <w:bCs/>
                <w:lang w:val="en-US" w:eastAsia="zh-CN"/>
              </w:rPr>
            </w:pPr>
            <w:r>
              <w:rPr>
                <w:rFonts w:hint="eastAsia"/>
                <w:b/>
                <w:bCs/>
                <w:lang w:val="en-US" w:eastAsia="zh-CN"/>
              </w:rPr>
              <w:t>九眼泉河水文情势及水生生态环境</w:t>
            </w:r>
          </w:p>
          <w:p w14:paraId="0FF77CFF">
            <w:pPr>
              <w:bidi w:val="0"/>
              <w:rPr>
                <w:rFonts w:hint="default" w:eastAsia="宋体"/>
                <w:lang w:val="en-US" w:eastAsia="zh-CN"/>
              </w:rPr>
            </w:pPr>
            <w:r>
              <w:rPr>
                <w:rFonts w:hint="default"/>
                <w:lang w:val="en-US" w:eastAsia="zh-CN"/>
              </w:rPr>
              <w:t>九眼泉河。发源于祁连山地下潜流，在临泽县沙河镇化音村境内自然出露喷涌成泉，因其有较大的9处泉眼故得名“九眼泉河”。九眼泉河长22.18km，由西向东流经鸭暖镇白寨村、小屯村、曹庄村，横穿临平公路后汇入五眼泉河，在小屯村二社附近分岔流经曹庄村，汇入蓼泉干渠，经蓼泉干渠由东向西流经湾子村，在湾子村四社向北分流，汇入新鲁渠，最终汇入黑河。河沟宽5～15m，深约1m，自然纵坡1/500～1/600，据调查过水流量0.7～1.1m</w:t>
            </w:r>
            <w:r>
              <w:rPr>
                <w:rFonts w:hint="default"/>
                <w:vertAlign w:val="superscript"/>
                <w:lang w:val="en-US" w:eastAsia="zh-CN"/>
              </w:rPr>
              <w:t>3</w:t>
            </w:r>
            <w:r>
              <w:rPr>
                <w:rFonts w:hint="default"/>
                <w:lang w:val="en-US" w:eastAsia="zh-CN"/>
              </w:rPr>
              <w:t>/s。九眼泉河为泉水出溢形成的小河沟，主要承担灌溉和排泄任务</w:t>
            </w:r>
            <w:r>
              <w:rPr>
                <w:rFonts w:hint="eastAsia"/>
                <w:lang w:val="en-US" w:eastAsia="zh-CN"/>
              </w:rPr>
              <w:t>，</w:t>
            </w:r>
            <w:r>
              <w:rPr>
                <w:rFonts w:hint="eastAsia"/>
                <w:color w:val="0000FF"/>
                <w:lang w:val="en-US" w:eastAsia="zh-CN"/>
              </w:rPr>
              <w:t>不会影响地表水体</w:t>
            </w:r>
            <w:r>
              <w:rPr>
                <w:rFonts w:hint="default"/>
                <w:color w:val="0000FF"/>
                <w:lang w:val="en-US" w:eastAsia="zh-CN"/>
              </w:rPr>
              <w:t>。</w:t>
            </w:r>
          </w:p>
        </w:tc>
      </w:tr>
      <w:tr w14:paraId="417F8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3" w:type="pct"/>
            <w:noWrap w:val="0"/>
            <w:vAlign w:val="center"/>
          </w:tcPr>
          <w:p w14:paraId="6BB1F316">
            <w:pPr>
              <w:adjustRightInd w:val="0"/>
              <w:snapToGrid w:val="0"/>
              <w:ind w:left="0" w:leftChars="0" w:firstLine="0" w:firstLineChars="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与项目有关的原有环境污染和生态破坏问题</w:t>
            </w:r>
          </w:p>
        </w:tc>
        <w:tc>
          <w:tcPr>
            <w:tcW w:w="4556" w:type="pct"/>
            <w:noWrap w:val="0"/>
            <w:vAlign w:val="center"/>
          </w:tcPr>
          <w:p w14:paraId="34FCA8A5">
            <w:pPr>
              <w:adjustRightInd w:val="0"/>
              <w:snapToGrid w:val="0"/>
              <w:ind w:left="0" w:leftChars="0" w:firstLine="0" w:firstLineChars="0"/>
              <w:rPr>
                <w:rFonts w:hint="eastAsia"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本项目为新建项目，不存在原有污染情况及主要环境问题</w:t>
            </w:r>
          </w:p>
        </w:tc>
      </w:tr>
      <w:tr w14:paraId="272E25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443" w:type="pct"/>
            <w:noWrap w:val="0"/>
            <w:vAlign w:val="center"/>
          </w:tcPr>
          <w:p w14:paraId="0665C613">
            <w:pPr>
              <w:adjustRightInd w:val="0"/>
              <w:snapToGrid w:val="0"/>
              <w:ind w:left="0" w:leftChars="0" w:firstLine="0" w:firstLineChars="0"/>
              <w:jc w:val="both"/>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生态环境保护目标</w:t>
            </w:r>
          </w:p>
        </w:tc>
        <w:tc>
          <w:tcPr>
            <w:tcW w:w="4556" w:type="pct"/>
            <w:noWrap w:val="0"/>
            <w:vAlign w:val="center"/>
          </w:tcPr>
          <w:p w14:paraId="59DC29A6">
            <w:pPr>
              <w:pStyle w:val="17"/>
              <w:spacing w:line="360" w:lineRule="auto"/>
              <w:ind w:firstLine="480"/>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t>1、环境保护目标</w:t>
            </w:r>
          </w:p>
          <w:p w14:paraId="680E487B">
            <w:pPr>
              <w:pStyle w:val="17"/>
              <w:spacing w:line="360" w:lineRule="auto"/>
              <w:ind w:firstLine="480"/>
              <w:rPr>
                <w:rFonts w:hint="default" w:ascii="Times New Roman" w:hAnsi="Times New Roman" w:eastAsia="宋体" w:cs="Times New Roman"/>
                <w:color w:val="000000" w:themeColor="text1"/>
                <w:sz w:val="24"/>
                <w:szCs w:val="24"/>
                <w:lang w:val="en-US"/>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本项目评价区范围内无自然保护区、风景名胜区、世界文化和自然遗产；也无文物保护单位，无具有特殊历史、文化、科学、民族意义的保护地等环境敏感区，调查未见珍稀、濒危野生动物和保护物种</w:t>
            </w:r>
            <w:r>
              <w:rPr>
                <w:rFonts w:hint="default" w:ascii="Times New Roman" w:hAnsi="Times New Roman" w:eastAsia="宋体" w:cs="Times New Roman"/>
                <w:color w:val="000000" w:themeColor="text1"/>
                <w:sz w:val="24"/>
                <w:szCs w:val="24"/>
                <w:lang w:eastAsia="zh-CN"/>
                <w14:textFill>
                  <w14:solidFill>
                    <w14:schemeClr w14:val="tx1"/>
                  </w14:solidFill>
                </w14:textFill>
              </w:rPr>
              <w:t>。项目涉及《临泽县一般湿地名录》中的一般湿地，应按照《甘肃省湿地保护条例》及当地湿地保护规划要求，采取有效措施避免破坏湿地生态功能。</w:t>
            </w:r>
            <w:r>
              <w:rPr>
                <w:rFonts w:hint="default" w:ascii="Times New Roman" w:hAnsi="Times New Roman" w:cs="Times New Roman"/>
                <w:color w:val="000000" w:themeColor="text1"/>
                <w:sz w:val="24"/>
                <w:szCs w:val="24"/>
                <w:lang w:val="en-US" w:eastAsia="zh-CN"/>
                <w14:textFill>
                  <w14:solidFill>
                    <w14:schemeClr w14:val="tx1"/>
                  </w14:solidFill>
                </w14:textFill>
              </w:rPr>
              <w:t>项目仅在施工期产生废气及噪声，项目运行期不产生废气和噪声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5D3D0224">
            <w:pPr>
              <w:pStyle w:val="17"/>
              <w:spacing w:line="360" w:lineRule="auto"/>
              <w:ind w:firstLine="48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主要保护目标见表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9</w:t>
            </w:r>
            <w:r>
              <w:rPr>
                <w:rFonts w:hint="eastAsia" w:ascii="Times New Roman" w:hAnsi="Times New Roman" w:cs="Times New Roman"/>
                <w:color w:val="000000" w:themeColor="text1"/>
                <w:sz w:val="24"/>
                <w:szCs w:val="24"/>
                <w:lang w:val="en-US" w:eastAsia="zh-CN"/>
                <w14:textFill>
                  <w14:solidFill>
                    <w14:schemeClr w14:val="tx1"/>
                  </w14:solidFill>
                </w14:textFill>
              </w:rPr>
              <w:t>，项目保护目标分布图见附图5</w:t>
            </w:r>
            <w:r>
              <w:rPr>
                <w:rFonts w:hint="eastAsia" w:cs="Times New Roman"/>
                <w:color w:val="000000" w:themeColor="text1"/>
                <w:sz w:val="24"/>
                <w:szCs w:val="24"/>
                <w:lang w:val="en-US" w:eastAsia="zh-CN"/>
                <w14:textFill>
                  <w14:solidFill>
                    <w14:schemeClr w14:val="tx1"/>
                  </w14:solidFill>
                </w14:textFill>
              </w:rPr>
              <w:t>，本项目与湿地位置关系图见附图6</w:t>
            </w:r>
            <w:r>
              <w:rPr>
                <w:rFonts w:hint="default" w:ascii="Times New Roman" w:hAnsi="Times New Roman" w:eastAsia="宋体" w:cs="Times New Roman"/>
                <w:color w:val="000000" w:themeColor="text1"/>
                <w:sz w:val="24"/>
                <w:szCs w:val="24"/>
                <w14:textFill>
                  <w14:solidFill>
                    <w14:schemeClr w14:val="tx1"/>
                  </w14:solidFill>
                </w14:textFill>
              </w:rPr>
              <w:t>。</w:t>
            </w:r>
          </w:p>
          <w:p w14:paraId="1E711C43">
            <w:pPr>
              <w:pStyle w:val="17"/>
              <w:spacing w:line="360" w:lineRule="auto"/>
              <w:ind w:firstLine="422"/>
              <w:jc w:val="center"/>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表</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hint="default" w:ascii="Times New Roman" w:hAnsi="Times New Roman" w:cs="Times New Roman"/>
                <w:b/>
                <w:bCs/>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b/>
                <w:bCs/>
                <w:color w:val="000000" w:themeColor="text1"/>
                <w:sz w:val="24"/>
                <w:szCs w:val="24"/>
                <w14:textFill>
                  <w14:solidFill>
                    <w14:schemeClr w14:val="tx1"/>
                  </w14:solidFill>
                </w14:textFill>
              </w:rPr>
              <w:t>项目周边</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生态</w:t>
            </w:r>
            <w:r>
              <w:rPr>
                <w:rFonts w:hint="default" w:ascii="Times New Roman" w:hAnsi="Times New Roman" w:eastAsia="宋体" w:cs="Times New Roman"/>
                <w:b/>
                <w:bCs/>
                <w:color w:val="000000" w:themeColor="text1"/>
                <w:sz w:val="24"/>
                <w:szCs w:val="24"/>
                <w14:textFill>
                  <w14:solidFill>
                    <w14:schemeClr w14:val="tx1"/>
                  </w14:solidFill>
                </w14:textFill>
              </w:rPr>
              <w:t>环境敏感目标分布情况</w:t>
            </w:r>
          </w:p>
          <w:tbl>
            <w:tblPr>
              <w:tblStyle w:val="27"/>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17"/>
              <w:gridCol w:w="940"/>
              <w:gridCol w:w="1692"/>
              <w:gridCol w:w="878"/>
              <w:gridCol w:w="1256"/>
              <w:gridCol w:w="1087"/>
              <w:gridCol w:w="1088"/>
            </w:tblGrid>
            <w:tr w14:paraId="13F7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vMerge w:val="restart"/>
                  <w:tcBorders>
                    <w:top w:val="single" w:color="000000" w:sz="12" w:space="0"/>
                    <w:left w:val="nil"/>
                    <w:tl2br w:val="nil"/>
                  </w:tcBorders>
                  <w:shd w:val="clear" w:color="auto" w:fill="FFFFFF"/>
                  <w:vAlign w:val="center"/>
                </w:tcPr>
                <w:p w14:paraId="783DE2A4">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color w:val="000000" w:themeColor="text1"/>
                      <w:spacing w:val="0"/>
                      <w:w w:val="100"/>
                      <w:position w:val="0"/>
                      <w:sz w:val="21"/>
                      <w:szCs w:val="21"/>
                      <w:highlight w:val="none"/>
                      <w14:textFill>
                        <w14:solidFill>
                          <w14:schemeClr w14:val="tx1"/>
                        </w14:solidFill>
                      </w14:textFill>
                    </w:rPr>
                    <w:t>环境要素</w:t>
                  </w:r>
                </w:p>
              </w:tc>
              <w:tc>
                <w:tcPr>
                  <w:tcW w:w="1764" w:type="pct"/>
                  <w:gridSpan w:val="2"/>
                  <w:tcBorders>
                    <w:top w:val="single" w:color="000000" w:sz="12" w:space="0"/>
                  </w:tcBorders>
                  <w:shd w:val="clear" w:color="auto" w:fill="FFFFFF"/>
                  <w:vAlign w:val="center"/>
                </w:tcPr>
                <w:p w14:paraId="24F5C047">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color w:val="000000" w:themeColor="text1"/>
                      <w:spacing w:val="0"/>
                      <w:w w:val="100"/>
                      <w:position w:val="0"/>
                      <w:sz w:val="21"/>
                      <w:szCs w:val="21"/>
                      <w:highlight w:val="none"/>
                      <w14:textFill>
                        <w14:solidFill>
                          <w14:schemeClr w14:val="tx1"/>
                        </w14:solidFill>
                      </w14:textFill>
                    </w:rPr>
                    <w:t>保护目标</w:t>
                  </w:r>
                </w:p>
              </w:tc>
              <w:tc>
                <w:tcPr>
                  <w:tcW w:w="1430" w:type="pct"/>
                  <w:gridSpan w:val="2"/>
                  <w:tcBorders>
                    <w:top w:val="single" w:color="000000" w:sz="12" w:space="0"/>
                  </w:tcBorders>
                  <w:shd w:val="clear" w:color="auto" w:fill="FFFFFF"/>
                  <w:vAlign w:val="center"/>
                </w:tcPr>
                <w:p w14:paraId="55A98DE3">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color w:val="000000" w:themeColor="text1"/>
                      <w:spacing w:val="0"/>
                      <w:w w:val="100"/>
                      <w:position w:val="0"/>
                      <w:sz w:val="21"/>
                      <w:szCs w:val="21"/>
                      <w:highlight w:val="none"/>
                      <w14:textFill>
                        <w14:solidFill>
                          <w14:schemeClr w14:val="tx1"/>
                        </w14:solidFill>
                      </w14:textFill>
                    </w:rPr>
                    <w:t>相对位置</w:t>
                  </w:r>
                </w:p>
              </w:tc>
              <w:tc>
                <w:tcPr>
                  <w:tcW w:w="728" w:type="pct"/>
                  <w:vMerge w:val="restart"/>
                  <w:tcBorders>
                    <w:top w:val="single" w:color="000000" w:sz="12" w:space="0"/>
                  </w:tcBorders>
                  <w:shd w:val="clear" w:color="auto" w:fill="FFFFFF"/>
                  <w:vAlign w:val="center"/>
                </w:tcPr>
                <w:p w14:paraId="2DD22A9C">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环境要素</w:t>
                  </w:r>
                </w:p>
              </w:tc>
              <w:tc>
                <w:tcPr>
                  <w:tcW w:w="729" w:type="pct"/>
                  <w:vMerge w:val="restart"/>
                  <w:tcBorders>
                    <w:top w:val="single" w:color="000000" w:sz="12" w:space="0"/>
                    <w:right w:val="nil"/>
                  </w:tcBorders>
                  <w:shd w:val="clear" w:color="auto" w:fill="FFFFFF"/>
                  <w:vAlign w:val="center"/>
                </w:tcPr>
                <w:p w14:paraId="3C335B92">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color w:val="000000" w:themeColor="text1"/>
                      <w:spacing w:val="0"/>
                      <w:w w:val="100"/>
                      <w:position w:val="0"/>
                      <w:sz w:val="21"/>
                      <w:szCs w:val="21"/>
                      <w:highlight w:val="none"/>
                      <w14:textFill>
                        <w14:solidFill>
                          <w14:schemeClr w14:val="tx1"/>
                        </w14:solidFill>
                      </w14:textFill>
                    </w:rPr>
                    <w:t>保护要求</w:t>
                  </w:r>
                </w:p>
              </w:tc>
            </w:tr>
            <w:tr w14:paraId="5D0A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vMerge w:val="continue"/>
                  <w:tcBorders>
                    <w:left w:val="nil"/>
                  </w:tcBorders>
                  <w:shd w:val="clear" w:color="auto" w:fill="FFFFFF"/>
                  <w:vAlign w:val="center"/>
                </w:tcPr>
                <w:p w14:paraId="69901D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themeColor="text1"/>
                      <w:sz w:val="21"/>
                      <w:szCs w:val="21"/>
                      <w:highlight w:val="none"/>
                      <w14:textFill>
                        <w14:solidFill>
                          <w14:schemeClr w14:val="tx1"/>
                        </w14:solidFill>
                      </w14:textFill>
                    </w:rPr>
                  </w:pPr>
                </w:p>
              </w:tc>
              <w:tc>
                <w:tcPr>
                  <w:tcW w:w="630" w:type="pct"/>
                  <w:shd w:val="clear" w:color="auto" w:fill="FFFFFF"/>
                  <w:vAlign w:val="center"/>
                </w:tcPr>
                <w:p w14:paraId="15DC31E1">
                  <w:pPr>
                    <w:pStyle w:val="72"/>
                    <w:keepNext w:val="0"/>
                    <w:keepLines w:val="0"/>
                    <w:pageBreakBefore w:val="0"/>
                    <w:widowControl w:val="0"/>
                    <w:shd w:val="clear" w:color="auto" w:fill="auto"/>
                    <w:tabs>
                      <w:tab w:val="left" w:pos="1032"/>
                    </w:tabs>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color w:val="000000" w:themeColor="text1"/>
                      <w:spacing w:val="0"/>
                      <w:w w:val="100"/>
                      <w:position w:val="0"/>
                      <w:sz w:val="21"/>
                      <w:szCs w:val="21"/>
                      <w:highlight w:val="none"/>
                      <w14:textFill>
                        <w14:solidFill>
                          <w14:schemeClr w14:val="tx1"/>
                        </w14:solidFill>
                      </w14:textFill>
                    </w:rPr>
                    <w:t>名称</w:t>
                  </w:r>
                </w:p>
              </w:tc>
              <w:tc>
                <w:tcPr>
                  <w:tcW w:w="1134" w:type="pct"/>
                  <w:shd w:val="clear" w:color="auto" w:fill="FFFFFF"/>
                  <w:vAlign w:val="center"/>
                </w:tcPr>
                <w:p w14:paraId="1AFF95F3">
                  <w:pPr>
                    <w:pStyle w:val="72"/>
                    <w:keepNext w:val="0"/>
                    <w:keepLines w:val="0"/>
                    <w:pageBreakBefore w:val="0"/>
                    <w:widowControl w:val="0"/>
                    <w:shd w:val="clear" w:color="auto" w:fill="auto"/>
                    <w:tabs>
                      <w:tab w:val="left" w:pos="1032"/>
                    </w:tabs>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b w:val="0"/>
                      <w:color w:val="000000" w:themeColor="text1"/>
                      <w:spacing w:val="0"/>
                      <w:w w:val="100"/>
                      <w:position w:val="0"/>
                      <w:sz w:val="21"/>
                      <w:szCs w:val="21"/>
                      <w:highlight w:val="none"/>
                      <w14:textFill>
                        <w14:solidFill>
                          <w14:schemeClr w14:val="tx1"/>
                        </w14:solidFill>
                      </w14:textFill>
                    </w:rPr>
                    <w:t>功能/规模</w:t>
                  </w:r>
                </w:p>
              </w:tc>
              <w:tc>
                <w:tcPr>
                  <w:tcW w:w="588" w:type="pct"/>
                  <w:shd w:val="clear" w:color="auto" w:fill="FFFFFF"/>
                  <w:vAlign w:val="center"/>
                </w:tcPr>
                <w:p w14:paraId="0ED64C94">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color w:val="000000" w:themeColor="text1"/>
                      <w:spacing w:val="0"/>
                      <w:w w:val="100"/>
                      <w:position w:val="0"/>
                      <w:sz w:val="21"/>
                      <w:szCs w:val="21"/>
                      <w:highlight w:val="none"/>
                      <w14:textFill>
                        <w14:solidFill>
                          <w14:schemeClr w14:val="tx1"/>
                        </w14:solidFill>
                      </w14:textFill>
                    </w:rPr>
                    <w:t>方位</w:t>
                  </w:r>
                </w:p>
              </w:tc>
              <w:tc>
                <w:tcPr>
                  <w:tcW w:w="842" w:type="pct"/>
                  <w:shd w:val="clear" w:color="auto" w:fill="FFFFFF"/>
                  <w:vAlign w:val="center"/>
                </w:tcPr>
                <w:p w14:paraId="1E9CCAB7">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pacing w:val="0"/>
                      <w:w w:val="100"/>
                      <w:position w:val="0"/>
                      <w:sz w:val="21"/>
                      <w:szCs w:val="21"/>
                      <w:highlight w:val="none"/>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最近</w:t>
                  </w:r>
                  <w:r>
                    <w:rPr>
                      <w:rFonts w:hint="default" w:ascii="Times New Roman" w:hAnsi="Times New Roman" w:eastAsia="宋体" w:cs="Times New Roman"/>
                      <w:b w:val="0"/>
                      <w:color w:val="000000" w:themeColor="text1"/>
                      <w:spacing w:val="0"/>
                      <w:w w:val="100"/>
                      <w:position w:val="0"/>
                      <w:sz w:val="21"/>
                      <w:szCs w:val="21"/>
                      <w:highlight w:val="none"/>
                      <w14:textFill>
                        <w14:solidFill>
                          <w14:schemeClr w14:val="tx1"/>
                        </w14:solidFill>
                      </w14:textFill>
                    </w:rPr>
                    <w:t>距离</w:t>
                  </w:r>
                  <w:r>
                    <w:rPr>
                      <w:rFonts w:hint="default" w:ascii="Times New Roman" w:hAnsi="Times New Roman" w:eastAsia="宋体" w:cs="Times New Roman"/>
                      <w:b w:val="0"/>
                      <w:color w:val="000000" w:themeColor="text1"/>
                      <w:spacing w:val="0"/>
                      <w:w w:val="100"/>
                      <w:position w:val="0"/>
                      <w:sz w:val="21"/>
                      <w:szCs w:val="21"/>
                      <w:highlight w:val="none"/>
                      <w:lang w:val="en-US" w:eastAsia="en-US" w:bidi="en-US"/>
                      <w14:textFill>
                        <w14:solidFill>
                          <w14:schemeClr w14:val="tx1"/>
                        </w14:solidFill>
                      </w14:textFill>
                    </w:rPr>
                    <w:t>（m）</w:t>
                  </w:r>
                </w:p>
              </w:tc>
              <w:tc>
                <w:tcPr>
                  <w:tcW w:w="728" w:type="pct"/>
                  <w:vMerge w:val="continue"/>
                  <w:shd w:val="clear" w:color="auto" w:fill="FFFFFF"/>
                  <w:vAlign w:val="center"/>
                </w:tcPr>
                <w:p w14:paraId="16BAD996">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c>
                <w:tcPr>
                  <w:tcW w:w="729" w:type="pct"/>
                  <w:vMerge w:val="continue"/>
                  <w:tcBorders>
                    <w:right w:val="nil"/>
                  </w:tcBorders>
                  <w:shd w:val="clear" w:color="auto" w:fill="FFFFFF"/>
                  <w:vAlign w:val="center"/>
                </w:tcPr>
                <w:p w14:paraId="0AF162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themeColor="text1"/>
                      <w:sz w:val="21"/>
                      <w:szCs w:val="21"/>
                      <w:highlight w:val="none"/>
                      <w14:textFill>
                        <w14:solidFill>
                          <w14:schemeClr w14:val="tx1"/>
                        </w14:solidFill>
                      </w14:textFill>
                    </w:rPr>
                  </w:pPr>
                </w:p>
              </w:tc>
            </w:tr>
            <w:tr w14:paraId="1EE2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2AF88503">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1</w:t>
                  </w:r>
                </w:p>
              </w:tc>
              <w:tc>
                <w:tcPr>
                  <w:tcW w:w="630" w:type="pct"/>
                  <w:shd w:val="clear" w:color="auto" w:fill="FFFFFF"/>
                  <w:vAlign w:val="bottom"/>
                </w:tcPr>
                <w:p w14:paraId="19146A42">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白寨村六社</w:t>
                  </w:r>
                </w:p>
              </w:tc>
              <w:tc>
                <w:tcPr>
                  <w:tcW w:w="1134" w:type="pct"/>
                  <w:shd w:val="clear" w:color="auto" w:fill="FFFFFF"/>
                  <w:vAlign w:val="center"/>
                </w:tcPr>
                <w:p w14:paraId="4B8F1FF5">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居民/约100人</w:t>
                  </w:r>
                </w:p>
              </w:tc>
              <w:tc>
                <w:tcPr>
                  <w:tcW w:w="588" w:type="pct"/>
                  <w:shd w:val="clear" w:color="auto" w:fill="FFFFFF"/>
                  <w:vAlign w:val="center"/>
                </w:tcPr>
                <w:p w14:paraId="5ECD31BE">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W</w:t>
                  </w:r>
                </w:p>
              </w:tc>
              <w:tc>
                <w:tcPr>
                  <w:tcW w:w="842" w:type="pct"/>
                  <w:shd w:val="clear" w:color="auto" w:fill="FFFFFF"/>
                  <w:vAlign w:val="center"/>
                </w:tcPr>
                <w:p w14:paraId="041A0884">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30</w:t>
                  </w:r>
                </w:p>
              </w:tc>
              <w:tc>
                <w:tcPr>
                  <w:tcW w:w="728" w:type="pct"/>
                  <w:shd w:val="clear" w:color="auto" w:fill="FFFFFF"/>
                  <w:vAlign w:val="center"/>
                </w:tcPr>
                <w:p w14:paraId="7E3438A0">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声、大气</w:t>
                  </w:r>
                </w:p>
              </w:tc>
              <w:tc>
                <w:tcPr>
                  <w:tcW w:w="729" w:type="pct"/>
                  <w:vMerge w:val="restart"/>
                  <w:tcBorders>
                    <w:right w:val="nil"/>
                  </w:tcBorders>
                  <w:shd w:val="clear" w:color="auto" w:fill="FFFFFF"/>
                  <w:vAlign w:val="center"/>
                </w:tcPr>
                <w:p w14:paraId="1001D73F">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spacing w:val="0"/>
                      <w:w w:val="100"/>
                      <w:position w:val="0"/>
                      <w:sz w:val="21"/>
                      <w:szCs w:val="21"/>
                      <w:highlight w:val="none"/>
                      <w:lang w:val="en-US" w:eastAsia="zh-CN"/>
                    </w:rPr>
                  </w:pPr>
                  <w:r>
                    <w:rPr>
                      <w:rFonts w:hint="default" w:ascii="Times New Roman" w:hAnsi="Times New Roman" w:cs="Times New Roman"/>
                      <w:b w:val="0"/>
                      <w:color w:val="000000"/>
                      <w:sz w:val="21"/>
                      <w:szCs w:val="21"/>
                    </w:rPr>
                    <w:t>《环境空气质量标准》</w:t>
                  </w:r>
                  <w:r>
                    <w:rPr>
                      <w:rFonts w:hint="default" w:ascii="Times New Roman" w:hAnsi="Times New Roman" w:cs="Times New Roman"/>
                      <w:b w:val="0"/>
                      <w:color w:val="000000"/>
                      <w:sz w:val="21"/>
                      <w:szCs w:val="21"/>
                      <w:lang w:eastAsia="zh-CN"/>
                    </w:rPr>
                    <w:t>（GB3095—2026）</w:t>
                  </w:r>
                  <w:r>
                    <w:rPr>
                      <w:rFonts w:hint="default" w:ascii="Times New Roman" w:hAnsi="Times New Roman" w:cs="Times New Roman"/>
                      <w:b w:val="0"/>
                      <w:color w:val="000000"/>
                      <w:sz w:val="21"/>
                      <w:szCs w:val="21"/>
                      <w:lang w:val="en-US" w:eastAsia="zh-CN"/>
                    </w:rPr>
                    <w:t>二类标准及《声环境质量标准》（GB3096-2008）中1类标准</w:t>
                  </w:r>
                </w:p>
              </w:tc>
            </w:tr>
            <w:tr w14:paraId="2847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5990252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2</w:t>
                  </w:r>
                </w:p>
              </w:tc>
              <w:tc>
                <w:tcPr>
                  <w:tcW w:w="630" w:type="pct"/>
                  <w:shd w:val="clear" w:color="auto" w:fill="FFFFFF"/>
                  <w:vAlign w:val="bottom"/>
                </w:tcPr>
                <w:p w14:paraId="453157A8">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东庄子</w:t>
                  </w:r>
                </w:p>
              </w:tc>
              <w:tc>
                <w:tcPr>
                  <w:tcW w:w="1134" w:type="pct"/>
                  <w:shd w:val="clear" w:color="auto" w:fill="FFFFFF"/>
                  <w:vAlign w:val="center"/>
                </w:tcPr>
                <w:p w14:paraId="3DA997F7">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居民/约50人</w:t>
                  </w:r>
                </w:p>
              </w:tc>
              <w:tc>
                <w:tcPr>
                  <w:tcW w:w="588" w:type="pct"/>
                  <w:shd w:val="clear" w:color="auto" w:fill="FFFFFF"/>
                  <w:vAlign w:val="center"/>
                </w:tcPr>
                <w:p w14:paraId="349C1FF3">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S</w:t>
                  </w:r>
                </w:p>
              </w:tc>
              <w:tc>
                <w:tcPr>
                  <w:tcW w:w="842" w:type="pct"/>
                  <w:shd w:val="clear" w:color="auto" w:fill="FFFFFF"/>
                  <w:vAlign w:val="center"/>
                </w:tcPr>
                <w:p w14:paraId="37AF03CC">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110</w:t>
                  </w:r>
                </w:p>
              </w:tc>
              <w:tc>
                <w:tcPr>
                  <w:tcW w:w="728" w:type="pct"/>
                  <w:shd w:val="clear" w:color="auto" w:fill="FFFFFF"/>
                  <w:vAlign w:val="center"/>
                </w:tcPr>
                <w:p w14:paraId="21F2C164">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声、大气</w:t>
                  </w:r>
                </w:p>
              </w:tc>
              <w:tc>
                <w:tcPr>
                  <w:tcW w:w="729" w:type="pct"/>
                  <w:vMerge w:val="continue"/>
                  <w:tcBorders>
                    <w:right w:val="nil"/>
                  </w:tcBorders>
                  <w:shd w:val="clear" w:color="auto" w:fill="FFFFFF"/>
                  <w:vAlign w:val="center"/>
                </w:tcPr>
                <w:p w14:paraId="4E2AEE2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311D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2EC2D2D4">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3</w:t>
                  </w:r>
                </w:p>
              </w:tc>
              <w:tc>
                <w:tcPr>
                  <w:tcW w:w="630" w:type="pct"/>
                  <w:shd w:val="clear" w:color="auto" w:fill="FFFFFF"/>
                  <w:vAlign w:val="bottom"/>
                </w:tcPr>
                <w:p w14:paraId="673F6523">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白寨村八社</w:t>
                  </w:r>
                </w:p>
              </w:tc>
              <w:tc>
                <w:tcPr>
                  <w:tcW w:w="1134" w:type="pct"/>
                  <w:shd w:val="clear" w:color="auto" w:fill="FFFFFF"/>
                  <w:vAlign w:val="center"/>
                </w:tcPr>
                <w:p w14:paraId="45111A23">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居民/约100人</w:t>
                  </w:r>
                </w:p>
              </w:tc>
              <w:tc>
                <w:tcPr>
                  <w:tcW w:w="588" w:type="pct"/>
                  <w:shd w:val="clear" w:color="auto" w:fill="FFFFFF"/>
                  <w:vAlign w:val="center"/>
                </w:tcPr>
                <w:p w14:paraId="11BC1393">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N</w:t>
                  </w:r>
                </w:p>
              </w:tc>
              <w:tc>
                <w:tcPr>
                  <w:tcW w:w="842" w:type="pct"/>
                  <w:shd w:val="clear" w:color="auto" w:fill="FFFFFF"/>
                  <w:vAlign w:val="center"/>
                </w:tcPr>
                <w:p w14:paraId="4F15F2AB">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40</w:t>
                  </w:r>
                </w:p>
              </w:tc>
              <w:tc>
                <w:tcPr>
                  <w:tcW w:w="728" w:type="pct"/>
                  <w:shd w:val="clear" w:color="auto" w:fill="FFFFFF"/>
                  <w:vAlign w:val="center"/>
                </w:tcPr>
                <w:p w14:paraId="357DD85F">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声、大气</w:t>
                  </w:r>
                </w:p>
              </w:tc>
              <w:tc>
                <w:tcPr>
                  <w:tcW w:w="729" w:type="pct"/>
                  <w:vMerge w:val="continue"/>
                  <w:tcBorders>
                    <w:right w:val="nil"/>
                  </w:tcBorders>
                  <w:shd w:val="clear" w:color="auto" w:fill="FFFFFF"/>
                  <w:vAlign w:val="center"/>
                </w:tcPr>
                <w:p w14:paraId="5D32B550">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3389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094922A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4</w:t>
                  </w:r>
                </w:p>
              </w:tc>
              <w:tc>
                <w:tcPr>
                  <w:tcW w:w="630" w:type="pct"/>
                  <w:shd w:val="clear" w:color="auto" w:fill="FFFFFF"/>
                  <w:vAlign w:val="bottom"/>
                </w:tcPr>
                <w:p w14:paraId="402F510E">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白寨村十社</w:t>
                  </w:r>
                </w:p>
              </w:tc>
              <w:tc>
                <w:tcPr>
                  <w:tcW w:w="1134" w:type="pct"/>
                  <w:shd w:val="clear" w:color="auto" w:fill="FFFFFF"/>
                  <w:vAlign w:val="center"/>
                </w:tcPr>
                <w:p w14:paraId="54C12F5D">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居民/约80人</w:t>
                  </w:r>
                </w:p>
              </w:tc>
              <w:tc>
                <w:tcPr>
                  <w:tcW w:w="588" w:type="pct"/>
                  <w:shd w:val="clear" w:color="auto" w:fill="FFFFFF"/>
                  <w:vAlign w:val="center"/>
                </w:tcPr>
                <w:p w14:paraId="5E50FD8A">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N</w:t>
                  </w:r>
                </w:p>
              </w:tc>
              <w:tc>
                <w:tcPr>
                  <w:tcW w:w="842" w:type="pct"/>
                  <w:shd w:val="clear" w:color="auto" w:fill="FFFFFF"/>
                  <w:vAlign w:val="center"/>
                </w:tcPr>
                <w:p w14:paraId="3BC0B177">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200</w:t>
                  </w:r>
                </w:p>
              </w:tc>
              <w:tc>
                <w:tcPr>
                  <w:tcW w:w="728" w:type="pct"/>
                  <w:shd w:val="clear" w:color="auto" w:fill="FFFFFF"/>
                  <w:vAlign w:val="center"/>
                </w:tcPr>
                <w:p w14:paraId="4C8B07F0">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声、大气</w:t>
                  </w:r>
                </w:p>
              </w:tc>
              <w:tc>
                <w:tcPr>
                  <w:tcW w:w="729" w:type="pct"/>
                  <w:vMerge w:val="continue"/>
                  <w:tcBorders>
                    <w:right w:val="nil"/>
                  </w:tcBorders>
                  <w:shd w:val="clear" w:color="auto" w:fill="FFFFFF"/>
                  <w:vAlign w:val="center"/>
                </w:tcPr>
                <w:p w14:paraId="0759FA1F">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3EDB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33522DB2">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5</w:t>
                  </w:r>
                </w:p>
              </w:tc>
              <w:tc>
                <w:tcPr>
                  <w:tcW w:w="630" w:type="pct"/>
                  <w:shd w:val="clear" w:color="auto" w:fill="FFFFFF"/>
                  <w:vAlign w:val="bottom"/>
                </w:tcPr>
                <w:p w14:paraId="4B95010C">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白寨村十一社</w:t>
                  </w:r>
                </w:p>
              </w:tc>
              <w:tc>
                <w:tcPr>
                  <w:tcW w:w="1134" w:type="pct"/>
                  <w:shd w:val="clear" w:color="auto" w:fill="FFFFFF"/>
                  <w:vAlign w:val="center"/>
                </w:tcPr>
                <w:p w14:paraId="4488A152">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居民/约50人</w:t>
                  </w:r>
                </w:p>
              </w:tc>
              <w:tc>
                <w:tcPr>
                  <w:tcW w:w="588" w:type="pct"/>
                  <w:shd w:val="clear" w:color="auto" w:fill="FFFFFF"/>
                  <w:vAlign w:val="center"/>
                </w:tcPr>
                <w:p w14:paraId="7F67DDD3">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E</w:t>
                  </w:r>
                </w:p>
              </w:tc>
              <w:tc>
                <w:tcPr>
                  <w:tcW w:w="842" w:type="pct"/>
                  <w:shd w:val="clear" w:color="auto" w:fill="FFFFFF"/>
                  <w:vAlign w:val="center"/>
                </w:tcPr>
                <w:p w14:paraId="7BCF96ED">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50</w:t>
                  </w:r>
                </w:p>
              </w:tc>
              <w:tc>
                <w:tcPr>
                  <w:tcW w:w="728" w:type="pct"/>
                  <w:shd w:val="clear" w:color="auto" w:fill="FFFFFF"/>
                  <w:vAlign w:val="center"/>
                </w:tcPr>
                <w:p w14:paraId="7DEF1F59">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声、大气</w:t>
                  </w:r>
                </w:p>
              </w:tc>
              <w:tc>
                <w:tcPr>
                  <w:tcW w:w="729" w:type="pct"/>
                  <w:vMerge w:val="continue"/>
                  <w:tcBorders>
                    <w:right w:val="nil"/>
                  </w:tcBorders>
                  <w:shd w:val="clear" w:color="auto" w:fill="FFFFFF"/>
                  <w:vAlign w:val="center"/>
                </w:tcPr>
                <w:p w14:paraId="75609C95">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111C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08A758A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6</w:t>
                  </w:r>
                </w:p>
              </w:tc>
              <w:tc>
                <w:tcPr>
                  <w:tcW w:w="630" w:type="pct"/>
                  <w:shd w:val="clear" w:color="auto" w:fill="FFFFFF"/>
                  <w:vAlign w:val="bottom"/>
                </w:tcPr>
                <w:p w14:paraId="197AAC57">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白寨村九社</w:t>
                  </w:r>
                </w:p>
              </w:tc>
              <w:tc>
                <w:tcPr>
                  <w:tcW w:w="1134" w:type="pct"/>
                  <w:shd w:val="clear" w:color="auto" w:fill="FFFFFF"/>
                  <w:vAlign w:val="center"/>
                </w:tcPr>
                <w:p w14:paraId="0961F6B4">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居民/约50人</w:t>
                  </w:r>
                </w:p>
              </w:tc>
              <w:tc>
                <w:tcPr>
                  <w:tcW w:w="588" w:type="pct"/>
                  <w:shd w:val="clear" w:color="auto" w:fill="FFFFFF"/>
                  <w:vAlign w:val="center"/>
                </w:tcPr>
                <w:p w14:paraId="5AC20813">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W</w:t>
                  </w:r>
                </w:p>
              </w:tc>
              <w:tc>
                <w:tcPr>
                  <w:tcW w:w="842" w:type="pct"/>
                  <w:shd w:val="clear" w:color="auto" w:fill="FFFFFF"/>
                  <w:vAlign w:val="center"/>
                </w:tcPr>
                <w:p w14:paraId="1C6188D3">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340</w:t>
                  </w:r>
                </w:p>
              </w:tc>
              <w:tc>
                <w:tcPr>
                  <w:tcW w:w="728" w:type="pct"/>
                  <w:shd w:val="clear" w:color="auto" w:fill="FFFFFF"/>
                  <w:vAlign w:val="center"/>
                </w:tcPr>
                <w:p w14:paraId="38E5C11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大气</w:t>
                  </w:r>
                </w:p>
              </w:tc>
              <w:tc>
                <w:tcPr>
                  <w:tcW w:w="729" w:type="pct"/>
                  <w:vMerge w:val="continue"/>
                  <w:tcBorders>
                    <w:right w:val="nil"/>
                  </w:tcBorders>
                  <w:shd w:val="clear" w:color="auto" w:fill="FFFFFF"/>
                  <w:vAlign w:val="center"/>
                </w:tcPr>
                <w:p w14:paraId="51B4C6DD">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52FB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5C019A02">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7</w:t>
                  </w:r>
                </w:p>
              </w:tc>
              <w:tc>
                <w:tcPr>
                  <w:tcW w:w="630" w:type="pct"/>
                  <w:shd w:val="clear" w:color="auto" w:fill="FFFFFF"/>
                  <w:vAlign w:val="bottom"/>
                </w:tcPr>
                <w:p w14:paraId="27F7FA75">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小屯村二社</w:t>
                  </w:r>
                </w:p>
              </w:tc>
              <w:tc>
                <w:tcPr>
                  <w:tcW w:w="1134" w:type="pct"/>
                  <w:shd w:val="clear" w:color="auto" w:fill="FFFFFF"/>
                  <w:vAlign w:val="center"/>
                </w:tcPr>
                <w:p w14:paraId="469742A2">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居民/约100人</w:t>
                  </w:r>
                </w:p>
              </w:tc>
              <w:tc>
                <w:tcPr>
                  <w:tcW w:w="588" w:type="pct"/>
                  <w:shd w:val="clear" w:color="auto" w:fill="FFFFFF"/>
                  <w:vAlign w:val="center"/>
                </w:tcPr>
                <w:p w14:paraId="52112C76">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S</w:t>
                  </w:r>
                </w:p>
              </w:tc>
              <w:tc>
                <w:tcPr>
                  <w:tcW w:w="842" w:type="pct"/>
                  <w:shd w:val="clear" w:color="auto" w:fill="FFFFFF"/>
                  <w:vAlign w:val="center"/>
                </w:tcPr>
                <w:p w14:paraId="5C184C7E">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280</w:t>
                  </w:r>
                </w:p>
              </w:tc>
              <w:tc>
                <w:tcPr>
                  <w:tcW w:w="728" w:type="pct"/>
                  <w:shd w:val="clear" w:color="auto" w:fill="FFFFFF"/>
                  <w:vAlign w:val="center"/>
                </w:tcPr>
                <w:p w14:paraId="1CE508DA">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大气</w:t>
                  </w:r>
                </w:p>
              </w:tc>
              <w:tc>
                <w:tcPr>
                  <w:tcW w:w="729" w:type="pct"/>
                  <w:vMerge w:val="continue"/>
                  <w:tcBorders>
                    <w:right w:val="nil"/>
                  </w:tcBorders>
                  <w:shd w:val="clear" w:color="auto" w:fill="FFFFFF"/>
                  <w:vAlign w:val="center"/>
                </w:tcPr>
                <w:p w14:paraId="3B7A2EFF">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3885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03035FD7">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8</w:t>
                  </w:r>
                </w:p>
              </w:tc>
              <w:tc>
                <w:tcPr>
                  <w:tcW w:w="630" w:type="pct"/>
                  <w:shd w:val="clear" w:color="auto" w:fill="FFFFFF"/>
                  <w:vAlign w:val="bottom"/>
                </w:tcPr>
                <w:p w14:paraId="26432965">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小屯村</w:t>
                  </w:r>
                </w:p>
              </w:tc>
              <w:tc>
                <w:tcPr>
                  <w:tcW w:w="1134" w:type="pct"/>
                  <w:shd w:val="clear" w:color="auto" w:fill="FFFFFF"/>
                  <w:vAlign w:val="center"/>
                </w:tcPr>
                <w:p w14:paraId="5AC6C641">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居民/约60人</w:t>
                  </w:r>
                </w:p>
              </w:tc>
              <w:tc>
                <w:tcPr>
                  <w:tcW w:w="588" w:type="pct"/>
                  <w:shd w:val="clear" w:color="auto" w:fill="FFFFFF"/>
                  <w:vAlign w:val="center"/>
                </w:tcPr>
                <w:p w14:paraId="0577A295">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W</w:t>
                  </w:r>
                </w:p>
              </w:tc>
              <w:tc>
                <w:tcPr>
                  <w:tcW w:w="842" w:type="pct"/>
                  <w:shd w:val="clear" w:color="auto" w:fill="FFFFFF"/>
                  <w:vAlign w:val="center"/>
                </w:tcPr>
                <w:p w14:paraId="16B42F2B">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260</w:t>
                  </w:r>
                </w:p>
              </w:tc>
              <w:tc>
                <w:tcPr>
                  <w:tcW w:w="728" w:type="pct"/>
                  <w:shd w:val="clear" w:color="auto" w:fill="FFFFFF"/>
                  <w:vAlign w:val="center"/>
                </w:tcPr>
                <w:p w14:paraId="62BBB259">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大气</w:t>
                  </w:r>
                </w:p>
              </w:tc>
              <w:tc>
                <w:tcPr>
                  <w:tcW w:w="729" w:type="pct"/>
                  <w:vMerge w:val="continue"/>
                  <w:tcBorders>
                    <w:right w:val="nil"/>
                  </w:tcBorders>
                  <w:shd w:val="clear" w:color="auto" w:fill="FFFFFF"/>
                  <w:vAlign w:val="center"/>
                </w:tcPr>
                <w:p w14:paraId="3B23EC31">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2CE8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2D474D01">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9</w:t>
                  </w:r>
                </w:p>
              </w:tc>
              <w:tc>
                <w:tcPr>
                  <w:tcW w:w="630" w:type="pct"/>
                  <w:shd w:val="clear" w:color="auto" w:fill="FFFFFF"/>
                  <w:vAlign w:val="bottom"/>
                </w:tcPr>
                <w:p w14:paraId="7CD8F4E0">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曹庄村二社</w:t>
                  </w:r>
                </w:p>
              </w:tc>
              <w:tc>
                <w:tcPr>
                  <w:tcW w:w="1134" w:type="pct"/>
                  <w:shd w:val="clear" w:color="auto" w:fill="FFFFFF"/>
                  <w:vAlign w:val="center"/>
                </w:tcPr>
                <w:p w14:paraId="36A5FC6C">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居民/约50人</w:t>
                  </w:r>
                </w:p>
              </w:tc>
              <w:tc>
                <w:tcPr>
                  <w:tcW w:w="588" w:type="pct"/>
                  <w:shd w:val="clear" w:color="auto" w:fill="FFFFFF"/>
                  <w:vAlign w:val="center"/>
                </w:tcPr>
                <w:p w14:paraId="1803BC5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N</w:t>
                  </w:r>
                </w:p>
              </w:tc>
              <w:tc>
                <w:tcPr>
                  <w:tcW w:w="842" w:type="pct"/>
                  <w:shd w:val="clear" w:color="auto" w:fill="FFFFFF"/>
                  <w:vAlign w:val="center"/>
                </w:tcPr>
                <w:p w14:paraId="7008EF7D">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341</w:t>
                  </w:r>
                </w:p>
              </w:tc>
              <w:tc>
                <w:tcPr>
                  <w:tcW w:w="728" w:type="pct"/>
                  <w:shd w:val="clear" w:color="auto" w:fill="FFFFFF"/>
                  <w:vAlign w:val="center"/>
                </w:tcPr>
                <w:p w14:paraId="0D351A6B">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大气</w:t>
                  </w:r>
                </w:p>
              </w:tc>
              <w:tc>
                <w:tcPr>
                  <w:tcW w:w="729" w:type="pct"/>
                  <w:vMerge w:val="continue"/>
                  <w:tcBorders>
                    <w:right w:val="nil"/>
                  </w:tcBorders>
                  <w:shd w:val="clear" w:color="auto" w:fill="FFFFFF"/>
                  <w:vAlign w:val="center"/>
                </w:tcPr>
                <w:p w14:paraId="335F96D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1E39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561334A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10</w:t>
                  </w:r>
                </w:p>
              </w:tc>
              <w:tc>
                <w:tcPr>
                  <w:tcW w:w="630" w:type="pct"/>
                  <w:shd w:val="clear" w:color="auto" w:fill="FFFFFF"/>
                  <w:vAlign w:val="bottom"/>
                </w:tcPr>
                <w:p w14:paraId="414F1BF5">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白寨村十二社</w:t>
                  </w:r>
                </w:p>
              </w:tc>
              <w:tc>
                <w:tcPr>
                  <w:tcW w:w="1134" w:type="pct"/>
                  <w:shd w:val="clear" w:color="auto" w:fill="FFFFFF"/>
                  <w:vAlign w:val="center"/>
                </w:tcPr>
                <w:p w14:paraId="4B17189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居民/约50人</w:t>
                  </w:r>
                </w:p>
              </w:tc>
              <w:tc>
                <w:tcPr>
                  <w:tcW w:w="588" w:type="pct"/>
                  <w:shd w:val="clear" w:color="auto" w:fill="FFFFFF"/>
                  <w:vAlign w:val="center"/>
                </w:tcPr>
                <w:p w14:paraId="45F278F5">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W</w:t>
                  </w:r>
                </w:p>
              </w:tc>
              <w:tc>
                <w:tcPr>
                  <w:tcW w:w="842" w:type="pct"/>
                  <w:shd w:val="clear" w:color="auto" w:fill="FFFFFF"/>
                  <w:vAlign w:val="center"/>
                </w:tcPr>
                <w:p w14:paraId="626B0AA6">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130</w:t>
                  </w:r>
                </w:p>
              </w:tc>
              <w:tc>
                <w:tcPr>
                  <w:tcW w:w="728" w:type="pct"/>
                  <w:shd w:val="clear" w:color="auto" w:fill="FFFFFF"/>
                  <w:vAlign w:val="center"/>
                </w:tcPr>
                <w:p w14:paraId="355BA3F7">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声、大气</w:t>
                  </w:r>
                </w:p>
              </w:tc>
              <w:tc>
                <w:tcPr>
                  <w:tcW w:w="729" w:type="pct"/>
                  <w:vMerge w:val="continue"/>
                  <w:tcBorders>
                    <w:right w:val="nil"/>
                  </w:tcBorders>
                  <w:shd w:val="clear" w:color="auto" w:fill="FFFFFF"/>
                  <w:vAlign w:val="center"/>
                </w:tcPr>
                <w:p w14:paraId="48BC6A79">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7F94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50B062FF">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11</w:t>
                  </w:r>
                </w:p>
              </w:tc>
              <w:tc>
                <w:tcPr>
                  <w:tcW w:w="630" w:type="pct"/>
                  <w:shd w:val="clear" w:color="auto" w:fill="FFFFFF"/>
                  <w:vAlign w:val="bottom"/>
                </w:tcPr>
                <w:p w14:paraId="7936B536">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古寨村七社</w:t>
                  </w:r>
                </w:p>
              </w:tc>
              <w:tc>
                <w:tcPr>
                  <w:tcW w:w="1134" w:type="pct"/>
                  <w:shd w:val="clear" w:color="auto" w:fill="FFFFFF"/>
                  <w:vAlign w:val="center"/>
                </w:tcPr>
                <w:p w14:paraId="746AC5B4">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居民/约40人</w:t>
                  </w:r>
                </w:p>
              </w:tc>
              <w:tc>
                <w:tcPr>
                  <w:tcW w:w="588" w:type="pct"/>
                  <w:shd w:val="clear" w:color="auto" w:fill="FFFFFF"/>
                  <w:vAlign w:val="center"/>
                </w:tcPr>
                <w:p w14:paraId="24CFBCDD">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W</w:t>
                  </w:r>
                </w:p>
              </w:tc>
              <w:tc>
                <w:tcPr>
                  <w:tcW w:w="842" w:type="pct"/>
                  <w:shd w:val="clear" w:color="auto" w:fill="FFFFFF"/>
                  <w:vAlign w:val="center"/>
                </w:tcPr>
                <w:p w14:paraId="6EF3ADD7">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80</w:t>
                  </w:r>
                </w:p>
              </w:tc>
              <w:tc>
                <w:tcPr>
                  <w:tcW w:w="728" w:type="pct"/>
                  <w:shd w:val="clear" w:color="auto" w:fill="FFFFFF"/>
                  <w:vAlign w:val="center"/>
                </w:tcPr>
                <w:p w14:paraId="39134D85">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声、大气</w:t>
                  </w:r>
                </w:p>
              </w:tc>
              <w:tc>
                <w:tcPr>
                  <w:tcW w:w="729" w:type="pct"/>
                  <w:vMerge w:val="continue"/>
                  <w:tcBorders>
                    <w:right w:val="nil"/>
                  </w:tcBorders>
                  <w:shd w:val="clear" w:color="auto" w:fill="FFFFFF"/>
                  <w:vAlign w:val="center"/>
                </w:tcPr>
                <w:p w14:paraId="2A37344E">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0199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55EA4EFE">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12</w:t>
                  </w:r>
                </w:p>
              </w:tc>
              <w:tc>
                <w:tcPr>
                  <w:tcW w:w="630" w:type="pct"/>
                  <w:shd w:val="clear" w:color="auto" w:fill="FFFFFF"/>
                  <w:vAlign w:val="bottom"/>
                </w:tcPr>
                <w:p w14:paraId="2811FC68">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古寨村十社</w:t>
                  </w:r>
                </w:p>
              </w:tc>
              <w:tc>
                <w:tcPr>
                  <w:tcW w:w="1134" w:type="pct"/>
                  <w:shd w:val="clear" w:color="auto" w:fill="FFFFFF"/>
                  <w:vAlign w:val="center"/>
                </w:tcPr>
                <w:p w14:paraId="1BBC4716">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居民/约50人</w:t>
                  </w:r>
                </w:p>
              </w:tc>
              <w:tc>
                <w:tcPr>
                  <w:tcW w:w="588" w:type="pct"/>
                  <w:shd w:val="clear" w:color="auto" w:fill="FFFFFF"/>
                  <w:vAlign w:val="center"/>
                </w:tcPr>
                <w:p w14:paraId="76E75EA4">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W</w:t>
                  </w:r>
                </w:p>
              </w:tc>
              <w:tc>
                <w:tcPr>
                  <w:tcW w:w="842" w:type="pct"/>
                  <w:shd w:val="clear" w:color="auto" w:fill="FFFFFF"/>
                  <w:vAlign w:val="center"/>
                </w:tcPr>
                <w:p w14:paraId="47FC1A80">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60</w:t>
                  </w:r>
                </w:p>
              </w:tc>
              <w:tc>
                <w:tcPr>
                  <w:tcW w:w="728" w:type="pct"/>
                  <w:shd w:val="clear" w:color="auto" w:fill="FFFFFF"/>
                  <w:vAlign w:val="center"/>
                </w:tcPr>
                <w:p w14:paraId="255737A7">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声、大气</w:t>
                  </w:r>
                </w:p>
              </w:tc>
              <w:tc>
                <w:tcPr>
                  <w:tcW w:w="729" w:type="pct"/>
                  <w:vMerge w:val="continue"/>
                  <w:tcBorders>
                    <w:right w:val="nil"/>
                  </w:tcBorders>
                  <w:shd w:val="clear" w:color="auto" w:fill="FFFFFF"/>
                  <w:vAlign w:val="center"/>
                </w:tcPr>
                <w:p w14:paraId="4DC4B9DC">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1A65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152AC883">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13</w:t>
                  </w:r>
                </w:p>
              </w:tc>
              <w:tc>
                <w:tcPr>
                  <w:tcW w:w="630" w:type="pct"/>
                  <w:shd w:val="clear" w:color="auto" w:fill="FFFFFF"/>
                  <w:vAlign w:val="bottom"/>
                </w:tcPr>
                <w:p w14:paraId="63272B00">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古寨村二社</w:t>
                  </w:r>
                </w:p>
              </w:tc>
              <w:tc>
                <w:tcPr>
                  <w:tcW w:w="1134" w:type="pct"/>
                  <w:shd w:val="clear" w:color="auto" w:fill="FFFFFF"/>
                  <w:vAlign w:val="center"/>
                </w:tcPr>
                <w:p w14:paraId="66A84DD1">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居民/约50人</w:t>
                  </w:r>
                </w:p>
              </w:tc>
              <w:tc>
                <w:tcPr>
                  <w:tcW w:w="588" w:type="pct"/>
                  <w:shd w:val="clear" w:color="auto" w:fill="FFFFFF"/>
                  <w:vAlign w:val="center"/>
                </w:tcPr>
                <w:p w14:paraId="32D23B4A">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W</w:t>
                  </w:r>
                </w:p>
              </w:tc>
              <w:tc>
                <w:tcPr>
                  <w:tcW w:w="842" w:type="pct"/>
                  <w:shd w:val="clear" w:color="auto" w:fill="FFFFFF"/>
                  <w:vAlign w:val="center"/>
                </w:tcPr>
                <w:p w14:paraId="1C33E8D3">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130</w:t>
                  </w:r>
                </w:p>
              </w:tc>
              <w:tc>
                <w:tcPr>
                  <w:tcW w:w="728" w:type="pct"/>
                  <w:shd w:val="clear" w:color="auto" w:fill="FFFFFF"/>
                  <w:vAlign w:val="center"/>
                </w:tcPr>
                <w:p w14:paraId="11202785">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声、大气</w:t>
                  </w:r>
                </w:p>
              </w:tc>
              <w:tc>
                <w:tcPr>
                  <w:tcW w:w="729" w:type="pct"/>
                  <w:vMerge w:val="continue"/>
                  <w:tcBorders>
                    <w:right w:val="nil"/>
                  </w:tcBorders>
                  <w:shd w:val="clear" w:color="auto" w:fill="FFFFFF"/>
                  <w:vAlign w:val="center"/>
                </w:tcPr>
                <w:p w14:paraId="07E8B5E7">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2986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tcBorders>
                  <w:shd w:val="clear" w:color="auto" w:fill="FFFFFF"/>
                  <w:vAlign w:val="center"/>
                </w:tcPr>
                <w:p w14:paraId="4DECA83E">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14</w:t>
                  </w:r>
                </w:p>
              </w:tc>
              <w:tc>
                <w:tcPr>
                  <w:tcW w:w="630" w:type="pct"/>
                  <w:shd w:val="clear" w:color="auto" w:fill="FFFFFF"/>
                  <w:vAlign w:val="bottom"/>
                </w:tcPr>
                <w:p w14:paraId="2C04B549">
                  <w:pPr>
                    <w:pStyle w:val="51"/>
                    <w:bidi w:val="0"/>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古寨村七组</w:t>
                  </w:r>
                </w:p>
              </w:tc>
              <w:tc>
                <w:tcPr>
                  <w:tcW w:w="1134" w:type="pct"/>
                  <w:shd w:val="clear" w:color="auto" w:fill="FFFFFF"/>
                  <w:vAlign w:val="center"/>
                </w:tcPr>
                <w:p w14:paraId="35B6E084">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居民/50人</w:t>
                  </w:r>
                </w:p>
              </w:tc>
              <w:tc>
                <w:tcPr>
                  <w:tcW w:w="588" w:type="pct"/>
                  <w:shd w:val="clear" w:color="auto" w:fill="FFFFFF"/>
                  <w:vAlign w:val="center"/>
                </w:tcPr>
                <w:p w14:paraId="6D9982D7">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W</w:t>
                  </w:r>
                </w:p>
              </w:tc>
              <w:tc>
                <w:tcPr>
                  <w:tcW w:w="842" w:type="pct"/>
                  <w:shd w:val="clear" w:color="auto" w:fill="FFFFFF"/>
                  <w:vAlign w:val="center"/>
                </w:tcPr>
                <w:p w14:paraId="65C2D46D">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100</w:t>
                  </w:r>
                </w:p>
              </w:tc>
              <w:tc>
                <w:tcPr>
                  <w:tcW w:w="728" w:type="pct"/>
                  <w:shd w:val="clear" w:color="auto" w:fill="FFFFFF"/>
                  <w:vAlign w:val="center"/>
                </w:tcPr>
                <w:p w14:paraId="171AB704">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u w:val="none"/>
                      <w:shd w:val="clear" w:color="auto" w:fill="auto"/>
                      <w:lang w:val="en-US" w:eastAsia="zh-CN" w:bidi="zh-TW"/>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声、大气</w:t>
                  </w:r>
                </w:p>
              </w:tc>
              <w:tc>
                <w:tcPr>
                  <w:tcW w:w="729" w:type="pct"/>
                  <w:vMerge w:val="continue"/>
                  <w:tcBorders>
                    <w:right w:val="nil"/>
                  </w:tcBorders>
                  <w:shd w:val="clear" w:color="auto" w:fill="FFFFFF"/>
                  <w:vAlign w:val="center"/>
                </w:tcPr>
                <w:p w14:paraId="22AFE20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pPr>
                </w:p>
              </w:tc>
            </w:tr>
            <w:tr w14:paraId="4068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jc w:val="center"/>
              </w:trPr>
              <w:tc>
                <w:tcPr>
                  <w:tcW w:w="346" w:type="pct"/>
                  <w:tcBorders>
                    <w:left w:val="nil"/>
                    <w:bottom w:val="single" w:color="000000" w:sz="12" w:space="0"/>
                  </w:tcBorders>
                  <w:shd w:val="clear" w:color="auto" w:fill="FFFFFF"/>
                  <w:vAlign w:val="center"/>
                </w:tcPr>
                <w:p w14:paraId="5B4DA0E8">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lang w:val="en-US" w:eastAsia="zh-CN"/>
                      <w14:textFill>
                        <w14:solidFill>
                          <w14:schemeClr w14:val="tx1"/>
                        </w14:solidFill>
                      </w14:textFill>
                    </w:rPr>
                    <w:t>15</w:t>
                  </w:r>
                </w:p>
              </w:tc>
              <w:tc>
                <w:tcPr>
                  <w:tcW w:w="1764" w:type="pct"/>
                  <w:gridSpan w:val="2"/>
                  <w:tcBorders>
                    <w:bottom w:val="single" w:color="000000" w:sz="12" w:space="0"/>
                  </w:tcBorders>
                  <w:shd w:val="clear" w:color="auto" w:fill="FFFFFF"/>
                  <w:vAlign w:val="center"/>
                </w:tcPr>
                <w:p w14:paraId="5A1C5EF0">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ascii="Arial" w:hAnsi="Arial" w:eastAsia="Arial" w:cs="Arial"/>
                      <w:color w:val="8B0515"/>
                      <w:sz w:val="20"/>
                    </w:rPr>
                    <w:t>临泽县一般湿地</w:t>
                  </w:r>
                </w:p>
              </w:tc>
              <w:tc>
                <w:tcPr>
                  <w:tcW w:w="1430" w:type="pct"/>
                  <w:gridSpan w:val="2"/>
                  <w:tcBorders>
                    <w:bottom w:val="single" w:color="000000" w:sz="12" w:space="0"/>
                  </w:tcBorders>
                  <w:shd w:val="clear" w:color="auto" w:fill="FFFFFF"/>
                  <w:vAlign w:val="center"/>
                </w:tcPr>
                <w:p w14:paraId="6B23E27B">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项目穿越</w:t>
                  </w:r>
                </w:p>
              </w:tc>
              <w:tc>
                <w:tcPr>
                  <w:tcW w:w="728" w:type="pct"/>
                  <w:tcBorders>
                    <w:bottom w:val="single" w:color="000000" w:sz="12" w:space="0"/>
                  </w:tcBorders>
                  <w:shd w:val="clear" w:color="auto" w:fill="FFFFFF"/>
                  <w:vAlign w:val="center"/>
                </w:tcPr>
                <w:p w14:paraId="3546DEDC">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生态环境</w:t>
                  </w:r>
                </w:p>
              </w:tc>
              <w:tc>
                <w:tcPr>
                  <w:tcW w:w="729" w:type="pct"/>
                  <w:tcBorders>
                    <w:bottom w:val="single" w:color="000000" w:sz="12" w:space="0"/>
                    <w:right w:val="nil"/>
                  </w:tcBorders>
                  <w:shd w:val="clear" w:color="auto" w:fill="FFFFFF"/>
                  <w:vAlign w:val="center"/>
                </w:tcPr>
                <w:p w14:paraId="20232D90">
                  <w:pPr>
                    <w:pStyle w:val="72"/>
                    <w:keepNext w:val="0"/>
                    <w:keepLines w:val="0"/>
                    <w:pageBreakBefore w:val="0"/>
                    <w:widowControl w:val="0"/>
                    <w:shd w:val="clear" w:color="auto" w:fill="auto"/>
                    <w:kinsoku/>
                    <w:wordWrap/>
                    <w:overflowPunct/>
                    <w:topLinePunct w:val="0"/>
                    <w:autoSpaceDE/>
                    <w:autoSpaceDN/>
                    <w:bidi w:val="0"/>
                    <w:adjustRightInd/>
                    <w:snapToGrid/>
                    <w:spacing w:after="0" w:line="240" w:lineRule="auto"/>
                    <w:ind w:left="0" w:right="0" w:firstLine="0" w:firstLineChars="0"/>
                    <w:jc w:val="center"/>
                    <w:textAlignment w:val="auto"/>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ascii="Arial" w:hAnsi="Arial" w:eastAsia="Arial" w:cs="Arial"/>
                      <w:color w:val="8B0515"/>
                      <w:sz w:val="20"/>
                    </w:rPr>
                    <w:t>保护湿地生态功能，减少施工占用与污染，施工结束后恢复植被</w:t>
                  </w:r>
                </w:p>
              </w:tc>
            </w:tr>
          </w:tbl>
          <w:p w14:paraId="02E04734">
            <w:pPr>
              <w:adjustRightInd w:val="0"/>
              <w:snapToGrid w:val="0"/>
              <w:ind w:firstLine="480" w:firstLineChars="200"/>
              <w:rPr>
                <w:rFonts w:hint="default" w:ascii="Times New Roman" w:hAnsi="Times New Roman" w:eastAsia="宋体" w:cs="Times New Roman"/>
                <w:color w:val="000000" w:themeColor="text1"/>
                <w:kern w:val="0"/>
                <w:szCs w:val="21"/>
                <w14:textFill>
                  <w14:solidFill>
                    <w14:schemeClr w14:val="tx1"/>
                  </w14:solidFill>
                </w14:textFill>
              </w:rPr>
            </w:pPr>
          </w:p>
        </w:tc>
      </w:tr>
      <w:tr w14:paraId="14076F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443" w:type="pct"/>
            <w:noWrap w:val="0"/>
            <w:vAlign w:val="center"/>
          </w:tcPr>
          <w:p w14:paraId="19EC1F3A">
            <w:pPr>
              <w:adjustRightInd w:val="0"/>
              <w:snapToGrid w:val="0"/>
              <w:ind w:left="0" w:leftChars="0" w:firstLine="0" w:firstLineChars="0"/>
              <w:jc w:val="both"/>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评</w:t>
            </w:r>
          </w:p>
          <w:p w14:paraId="14C3769B">
            <w:pPr>
              <w:adjustRightInd w:val="0"/>
              <w:snapToGrid w:val="0"/>
              <w:ind w:left="0" w:leftChars="0" w:firstLine="0" w:firstLineChars="0"/>
              <w:jc w:val="both"/>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价</w:t>
            </w:r>
          </w:p>
          <w:p w14:paraId="2379C083">
            <w:pPr>
              <w:adjustRightInd w:val="0"/>
              <w:snapToGrid w:val="0"/>
              <w:ind w:left="0" w:leftChars="0" w:firstLine="0" w:firstLineChars="0"/>
              <w:jc w:val="both"/>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标</w:t>
            </w:r>
          </w:p>
          <w:p w14:paraId="7E900AEF">
            <w:pPr>
              <w:adjustRightInd w:val="0"/>
              <w:snapToGrid w:val="0"/>
              <w:ind w:left="0" w:leftChars="0" w:firstLine="0" w:firstLineChars="0"/>
              <w:jc w:val="both"/>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准</w:t>
            </w:r>
          </w:p>
        </w:tc>
        <w:tc>
          <w:tcPr>
            <w:tcW w:w="4556" w:type="pct"/>
            <w:noWrap w:val="0"/>
            <w:vAlign w:val="center"/>
          </w:tcPr>
          <w:p w14:paraId="09CF00E3">
            <w:pPr>
              <w:pStyle w:val="2"/>
              <w:spacing w:before="0" w:after="0" w:line="360" w:lineRule="auto"/>
              <w:ind w:firstLine="0" w:firstLineChars="0"/>
              <w:rPr>
                <w:rFonts w:hint="default" w:ascii="Times New Roman" w:hAnsi="Times New Roman" w:eastAsia="宋体" w:cs="Times New Roman"/>
                <w:b w:val="0"/>
                <w:bCs w:val="0"/>
                <w:color w:val="000000" w:themeColor="text1"/>
                <w:kern w:val="2"/>
                <w:sz w:val="28"/>
                <w:szCs w:val="28"/>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8"/>
                <w:szCs w:val="28"/>
                <w:lang w:val="en-US" w:eastAsia="zh-CN" w:bidi="ar-SA"/>
                <w14:textFill>
                  <w14:solidFill>
                    <w14:schemeClr w14:val="tx1"/>
                  </w14:solidFill>
                </w14:textFill>
              </w:rPr>
              <w:t>1、环境质量标准</w:t>
            </w:r>
          </w:p>
          <w:p w14:paraId="4B56167F">
            <w:pPr>
              <w:pStyle w:val="11"/>
              <w:rPr>
                <w:rFonts w:hint="default" w:ascii="Times New Roman" w:hAnsi="Times New Roman" w:cs="Times New Roman"/>
              </w:rPr>
            </w:pPr>
            <w:bookmarkStart w:id="16" w:name="_Toc9176"/>
            <w:r>
              <w:rPr>
                <w:rFonts w:hint="default" w:ascii="Times New Roman" w:hAnsi="Times New Roman" w:cs="Times New Roman"/>
              </w:rPr>
              <w:t>项目环境空气质量执行《环境空气质量标准》</w:t>
            </w:r>
            <w:r>
              <w:rPr>
                <w:rFonts w:hint="default" w:ascii="Times New Roman" w:hAnsi="Times New Roman" w:cs="Times New Roman"/>
                <w:lang w:eastAsia="zh-CN"/>
              </w:rPr>
              <w:t>（GB</w:t>
            </w:r>
            <w:r>
              <w:rPr>
                <w:rFonts w:hint="eastAsia" w:ascii="Times New Roman" w:cs="Times New Roman"/>
                <w:lang w:val="en-US" w:eastAsia="zh-CN"/>
              </w:rPr>
              <w:t xml:space="preserve"> </w:t>
            </w:r>
            <w:r>
              <w:rPr>
                <w:rFonts w:hint="default" w:ascii="Times New Roman" w:hAnsi="Times New Roman" w:cs="Times New Roman"/>
                <w:lang w:eastAsia="zh-CN"/>
              </w:rPr>
              <w:t>3095—2026）中过渡阶段浓度限值二级标准</w:t>
            </w:r>
            <w:r>
              <w:rPr>
                <w:rFonts w:hint="default" w:ascii="Times New Roman" w:hAnsi="Times New Roman" w:cs="Times New Roman"/>
              </w:rPr>
              <w:t>限值要求。</w:t>
            </w:r>
          </w:p>
          <w:p w14:paraId="02D2904E">
            <w:pPr>
              <w:pStyle w:val="63"/>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表3-</w:t>
            </w:r>
            <w:r>
              <w:rPr>
                <w:rFonts w:hint="eastAsia" w:cs="Times New Roman"/>
                <w:color w:val="auto"/>
                <w:highlight w:val="none"/>
                <w:lang w:val="en-US" w:eastAsia="zh-CN"/>
              </w:rPr>
              <w:t>10</w:t>
            </w:r>
            <w:r>
              <w:rPr>
                <w:rFonts w:hint="default" w:ascii="Times New Roman" w:hAnsi="Times New Roman" w:cs="Times New Roman"/>
                <w:color w:val="auto"/>
                <w:highlight w:val="none"/>
              </w:rPr>
              <w:t>环境空气质量标准单位：µg/m</w:t>
            </w:r>
            <w:r>
              <w:rPr>
                <w:rFonts w:hint="default" w:ascii="Times New Roman" w:hAnsi="Times New Roman" w:cs="Times New Roman"/>
                <w:color w:val="auto"/>
                <w:highlight w:val="none"/>
                <w:vertAlign w:val="superscript"/>
              </w:rPr>
              <w:t>3</w:t>
            </w:r>
            <w:r>
              <w:rPr>
                <w:rFonts w:hint="eastAsia" w:cs="Times New Roman"/>
                <w:color w:val="auto"/>
                <w:highlight w:val="none"/>
                <w:vertAlign w:val="superscript"/>
                <w:lang w:val="en-US" w:eastAsia="zh-CN"/>
              </w:rPr>
              <w:t xml:space="preserve"> </w:t>
            </w:r>
            <w:r>
              <w:rPr>
                <w:rFonts w:hint="default" w:ascii="Times New Roman" w:hAnsi="Times New Roman" w:cs="Times New Roman"/>
              </w:rPr>
              <w:t>mg/m</w:t>
            </w:r>
            <w:r>
              <w:rPr>
                <w:rFonts w:hint="default" w:ascii="Times New Roman" w:hAnsi="Times New Roman" w:cs="Times New Roman"/>
                <w:vertAlign w:val="superscript"/>
              </w:rPr>
              <w:t>3</w:t>
            </w:r>
          </w:p>
          <w:tbl>
            <w:tblPr>
              <w:tblStyle w:val="2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4"/>
              <w:gridCol w:w="900"/>
              <w:gridCol w:w="2131"/>
              <w:gridCol w:w="1408"/>
              <w:gridCol w:w="1485"/>
              <w:gridCol w:w="1050"/>
            </w:tblGrid>
            <w:tr w14:paraId="6E5315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restart"/>
                  <w:tcBorders>
                    <w:tl2br w:val="nil"/>
                    <w:tr2bl w:val="nil"/>
                  </w:tcBorders>
                  <w:noWrap w:val="0"/>
                  <w:vAlign w:val="center"/>
                </w:tcPr>
                <w:p w14:paraId="4F455B3E">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序号</w:t>
                  </w:r>
                </w:p>
              </w:tc>
              <w:tc>
                <w:tcPr>
                  <w:tcW w:w="596" w:type="pct"/>
                  <w:vMerge w:val="restart"/>
                  <w:tcBorders>
                    <w:tl2br w:val="nil"/>
                    <w:tr2bl w:val="nil"/>
                  </w:tcBorders>
                  <w:noWrap w:val="0"/>
                  <w:vAlign w:val="center"/>
                </w:tcPr>
                <w:p w14:paraId="28BC7B77">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污染物项目</w:t>
                  </w:r>
                </w:p>
              </w:tc>
              <w:tc>
                <w:tcPr>
                  <w:tcW w:w="1411" w:type="pct"/>
                  <w:vMerge w:val="restart"/>
                  <w:tcBorders>
                    <w:tl2br w:val="nil"/>
                    <w:tr2bl w:val="nil"/>
                  </w:tcBorders>
                  <w:noWrap w:val="0"/>
                  <w:vAlign w:val="center"/>
                </w:tcPr>
                <w:p w14:paraId="36ECD21B">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平均时间</w:t>
                  </w:r>
                </w:p>
              </w:tc>
              <w:tc>
                <w:tcPr>
                  <w:tcW w:w="1915" w:type="pct"/>
                  <w:gridSpan w:val="2"/>
                  <w:tcBorders>
                    <w:tl2br w:val="nil"/>
                    <w:tr2bl w:val="nil"/>
                  </w:tcBorders>
                  <w:noWrap w:val="0"/>
                  <w:vAlign w:val="center"/>
                </w:tcPr>
                <w:p w14:paraId="5A1846FA">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lang w:val="en-US" w:eastAsia="zh-CN"/>
                    </w:rPr>
                    <w:t>过渡阶段</w:t>
                  </w:r>
                  <w:r>
                    <w:rPr>
                      <w:rFonts w:hint="default" w:ascii="Times New Roman" w:hAnsi="Times New Roman" w:cs="Times New Roman"/>
                    </w:rPr>
                    <w:t>浓度限值</w:t>
                  </w:r>
                </w:p>
              </w:tc>
              <w:tc>
                <w:tcPr>
                  <w:tcW w:w="695" w:type="pct"/>
                  <w:vMerge w:val="restart"/>
                  <w:tcBorders>
                    <w:tl2br w:val="nil"/>
                    <w:tr2bl w:val="nil"/>
                  </w:tcBorders>
                  <w:noWrap w:val="0"/>
                  <w:vAlign w:val="center"/>
                </w:tcPr>
                <w:p w14:paraId="44B7DB5A">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单位</w:t>
                  </w:r>
                </w:p>
              </w:tc>
            </w:tr>
            <w:tr w14:paraId="1133BE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continue"/>
                  <w:tcBorders>
                    <w:tl2br w:val="nil"/>
                    <w:tr2bl w:val="nil"/>
                  </w:tcBorders>
                  <w:noWrap w:val="0"/>
                  <w:vAlign w:val="center"/>
                </w:tcPr>
                <w:p w14:paraId="7B3FF467">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596" w:type="pct"/>
                  <w:vMerge w:val="continue"/>
                  <w:tcBorders>
                    <w:tl2br w:val="nil"/>
                    <w:tr2bl w:val="nil"/>
                  </w:tcBorders>
                  <w:noWrap w:val="0"/>
                  <w:vAlign w:val="center"/>
                </w:tcPr>
                <w:p w14:paraId="4C3DBC84">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1411" w:type="pct"/>
                  <w:vMerge w:val="continue"/>
                  <w:tcBorders>
                    <w:tl2br w:val="nil"/>
                    <w:tr2bl w:val="nil"/>
                  </w:tcBorders>
                  <w:noWrap w:val="0"/>
                  <w:vAlign w:val="center"/>
                </w:tcPr>
                <w:p w14:paraId="1D30F96D">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932" w:type="pct"/>
                  <w:tcBorders>
                    <w:tl2br w:val="nil"/>
                    <w:tr2bl w:val="nil"/>
                  </w:tcBorders>
                  <w:noWrap w:val="0"/>
                  <w:vAlign w:val="center"/>
                </w:tcPr>
                <w:p w14:paraId="7C3A11BE">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一级</w:t>
                  </w:r>
                </w:p>
              </w:tc>
              <w:tc>
                <w:tcPr>
                  <w:tcW w:w="982" w:type="pct"/>
                  <w:tcBorders>
                    <w:tl2br w:val="nil"/>
                    <w:tr2bl w:val="nil"/>
                  </w:tcBorders>
                  <w:noWrap w:val="0"/>
                  <w:vAlign w:val="center"/>
                </w:tcPr>
                <w:p w14:paraId="103F3A55">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二级</w:t>
                  </w:r>
                </w:p>
              </w:tc>
              <w:tc>
                <w:tcPr>
                  <w:tcW w:w="695" w:type="pct"/>
                  <w:vMerge w:val="continue"/>
                  <w:tcBorders>
                    <w:tl2br w:val="nil"/>
                    <w:tr2bl w:val="nil"/>
                  </w:tcBorders>
                  <w:noWrap w:val="0"/>
                  <w:vAlign w:val="center"/>
                </w:tcPr>
                <w:p w14:paraId="24E53BD8">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146C71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restart"/>
                  <w:tcBorders>
                    <w:tl2br w:val="nil"/>
                    <w:tr2bl w:val="nil"/>
                  </w:tcBorders>
                  <w:noWrap w:val="0"/>
                  <w:vAlign w:val="center"/>
                </w:tcPr>
                <w:p w14:paraId="2EADAFCB">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w:t>
                  </w:r>
                </w:p>
              </w:tc>
              <w:tc>
                <w:tcPr>
                  <w:tcW w:w="596" w:type="pct"/>
                  <w:vMerge w:val="restart"/>
                  <w:tcBorders>
                    <w:tl2br w:val="nil"/>
                    <w:tr2bl w:val="nil"/>
                  </w:tcBorders>
                  <w:noWrap w:val="0"/>
                  <w:vAlign w:val="center"/>
                </w:tcPr>
                <w:p w14:paraId="256ECF7D">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SO2</w:t>
                  </w:r>
                </w:p>
              </w:tc>
              <w:tc>
                <w:tcPr>
                  <w:tcW w:w="1411" w:type="pct"/>
                  <w:tcBorders>
                    <w:tl2br w:val="nil"/>
                    <w:tr2bl w:val="nil"/>
                  </w:tcBorders>
                  <w:noWrap w:val="0"/>
                  <w:vAlign w:val="center"/>
                </w:tcPr>
                <w:p w14:paraId="6156B57C">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年平均</w:t>
                  </w:r>
                </w:p>
              </w:tc>
              <w:tc>
                <w:tcPr>
                  <w:tcW w:w="932" w:type="pct"/>
                  <w:tcBorders>
                    <w:tl2br w:val="nil"/>
                    <w:tr2bl w:val="nil"/>
                  </w:tcBorders>
                  <w:noWrap w:val="0"/>
                  <w:vAlign w:val="center"/>
                </w:tcPr>
                <w:p w14:paraId="6CB07152">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20</w:t>
                  </w:r>
                </w:p>
              </w:tc>
              <w:tc>
                <w:tcPr>
                  <w:tcW w:w="982" w:type="pct"/>
                  <w:tcBorders>
                    <w:tl2br w:val="nil"/>
                    <w:tr2bl w:val="nil"/>
                  </w:tcBorders>
                  <w:noWrap w:val="0"/>
                  <w:vAlign w:val="center"/>
                </w:tcPr>
                <w:p w14:paraId="2F7EB19F">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60</w:t>
                  </w:r>
                </w:p>
              </w:tc>
              <w:tc>
                <w:tcPr>
                  <w:tcW w:w="695" w:type="pct"/>
                  <w:vMerge w:val="restart"/>
                  <w:tcBorders>
                    <w:tl2br w:val="nil"/>
                    <w:tr2bl w:val="nil"/>
                  </w:tcBorders>
                  <w:noWrap w:val="0"/>
                  <w:vAlign w:val="center"/>
                </w:tcPr>
                <w:p w14:paraId="21271363">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μg/m</w:t>
                  </w:r>
                  <w:r>
                    <w:rPr>
                      <w:rFonts w:hint="default" w:ascii="Times New Roman" w:hAnsi="Times New Roman" w:cs="Times New Roman"/>
                      <w:vertAlign w:val="superscript"/>
                    </w:rPr>
                    <w:t>3</w:t>
                  </w:r>
                </w:p>
              </w:tc>
            </w:tr>
            <w:tr w14:paraId="30CBFA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continue"/>
                  <w:tcBorders>
                    <w:tl2br w:val="nil"/>
                    <w:tr2bl w:val="nil"/>
                  </w:tcBorders>
                  <w:noWrap w:val="0"/>
                  <w:vAlign w:val="center"/>
                </w:tcPr>
                <w:p w14:paraId="7B645FE7">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596" w:type="pct"/>
                  <w:vMerge w:val="continue"/>
                  <w:tcBorders>
                    <w:tl2br w:val="nil"/>
                    <w:tr2bl w:val="nil"/>
                  </w:tcBorders>
                  <w:noWrap w:val="0"/>
                  <w:vAlign w:val="center"/>
                </w:tcPr>
                <w:p w14:paraId="0AF66EEF">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1411" w:type="pct"/>
                  <w:tcBorders>
                    <w:tl2br w:val="nil"/>
                    <w:tr2bl w:val="nil"/>
                  </w:tcBorders>
                  <w:noWrap w:val="0"/>
                  <w:vAlign w:val="center"/>
                </w:tcPr>
                <w:p w14:paraId="6CF77EDC">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24小时平均</w:t>
                  </w:r>
                </w:p>
              </w:tc>
              <w:tc>
                <w:tcPr>
                  <w:tcW w:w="932" w:type="pct"/>
                  <w:tcBorders>
                    <w:tl2br w:val="nil"/>
                    <w:tr2bl w:val="nil"/>
                  </w:tcBorders>
                  <w:noWrap w:val="0"/>
                  <w:vAlign w:val="center"/>
                </w:tcPr>
                <w:p w14:paraId="178F91EC">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50</w:t>
                  </w:r>
                </w:p>
              </w:tc>
              <w:tc>
                <w:tcPr>
                  <w:tcW w:w="982" w:type="pct"/>
                  <w:tcBorders>
                    <w:tl2br w:val="nil"/>
                    <w:tr2bl w:val="nil"/>
                  </w:tcBorders>
                  <w:noWrap w:val="0"/>
                  <w:vAlign w:val="center"/>
                </w:tcPr>
                <w:p w14:paraId="5E4CC089">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150</w:t>
                  </w:r>
                </w:p>
              </w:tc>
              <w:tc>
                <w:tcPr>
                  <w:tcW w:w="695" w:type="pct"/>
                  <w:vMerge w:val="continue"/>
                  <w:tcBorders>
                    <w:tl2br w:val="nil"/>
                    <w:tr2bl w:val="nil"/>
                  </w:tcBorders>
                  <w:noWrap w:val="0"/>
                  <w:vAlign w:val="center"/>
                </w:tcPr>
                <w:p w14:paraId="4B1933DF">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012144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continue"/>
                  <w:tcBorders>
                    <w:tl2br w:val="nil"/>
                    <w:tr2bl w:val="nil"/>
                  </w:tcBorders>
                  <w:noWrap w:val="0"/>
                  <w:vAlign w:val="center"/>
                </w:tcPr>
                <w:p w14:paraId="26D095AE">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596" w:type="pct"/>
                  <w:vMerge w:val="continue"/>
                  <w:tcBorders>
                    <w:tl2br w:val="nil"/>
                    <w:tr2bl w:val="nil"/>
                  </w:tcBorders>
                  <w:noWrap w:val="0"/>
                  <w:vAlign w:val="center"/>
                </w:tcPr>
                <w:p w14:paraId="14EE41AE">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1411" w:type="pct"/>
                  <w:tcBorders>
                    <w:tl2br w:val="nil"/>
                    <w:tr2bl w:val="nil"/>
                  </w:tcBorders>
                  <w:noWrap w:val="0"/>
                  <w:vAlign w:val="center"/>
                </w:tcPr>
                <w:p w14:paraId="7CF1D58D">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1小时平均</w:t>
                  </w:r>
                </w:p>
              </w:tc>
              <w:tc>
                <w:tcPr>
                  <w:tcW w:w="932" w:type="pct"/>
                  <w:tcBorders>
                    <w:tl2br w:val="nil"/>
                    <w:tr2bl w:val="nil"/>
                  </w:tcBorders>
                  <w:noWrap w:val="0"/>
                  <w:vAlign w:val="center"/>
                </w:tcPr>
                <w:p w14:paraId="27A98423">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150</w:t>
                  </w:r>
                </w:p>
              </w:tc>
              <w:tc>
                <w:tcPr>
                  <w:tcW w:w="982" w:type="pct"/>
                  <w:tcBorders>
                    <w:tl2br w:val="nil"/>
                    <w:tr2bl w:val="nil"/>
                  </w:tcBorders>
                  <w:noWrap w:val="0"/>
                  <w:vAlign w:val="center"/>
                </w:tcPr>
                <w:p w14:paraId="7D647B65">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500</w:t>
                  </w:r>
                </w:p>
              </w:tc>
              <w:tc>
                <w:tcPr>
                  <w:tcW w:w="695" w:type="pct"/>
                  <w:vMerge w:val="continue"/>
                  <w:tcBorders>
                    <w:tl2br w:val="nil"/>
                    <w:tr2bl w:val="nil"/>
                  </w:tcBorders>
                  <w:noWrap w:val="0"/>
                  <w:vAlign w:val="center"/>
                </w:tcPr>
                <w:p w14:paraId="13620507">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4D1FEC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restart"/>
                  <w:tcBorders>
                    <w:tl2br w:val="nil"/>
                    <w:tr2bl w:val="nil"/>
                  </w:tcBorders>
                  <w:noWrap w:val="0"/>
                  <w:vAlign w:val="center"/>
                </w:tcPr>
                <w:p w14:paraId="1D04FA0E">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w:t>
                  </w:r>
                </w:p>
              </w:tc>
              <w:tc>
                <w:tcPr>
                  <w:tcW w:w="596" w:type="pct"/>
                  <w:vMerge w:val="restart"/>
                  <w:tcBorders>
                    <w:tl2br w:val="nil"/>
                    <w:tr2bl w:val="nil"/>
                  </w:tcBorders>
                  <w:noWrap w:val="0"/>
                  <w:vAlign w:val="center"/>
                </w:tcPr>
                <w:p w14:paraId="38144E6E">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NO2</w:t>
                  </w:r>
                </w:p>
              </w:tc>
              <w:tc>
                <w:tcPr>
                  <w:tcW w:w="1411" w:type="pct"/>
                  <w:tcBorders>
                    <w:tl2br w:val="nil"/>
                    <w:tr2bl w:val="nil"/>
                  </w:tcBorders>
                  <w:noWrap w:val="0"/>
                  <w:vAlign w:val="center"/>
                </w:tcPr>
                <w:p w14:paraId="7AD5E363">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年平均</w:t>
                  </w:r>
                </w:p>
              </w:tc>
              <w:tc>
                <w:tcPr>
                  <w:tcW w:w="932" w:type="pct"/>
                  <w:tcBorders>
                    <w:tl2br w:val="nil"/>
                    <w:tr2bl w:val="nil"/>
                  </w:tcBorders>
                  <w:noWrap w:val="0"/>
                  <w:vAlign w:val="center"/>
                </w:tcPr>
                <w:p w14:paraId="006EF54B">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40</w:t>
                  </w:r>
                </w:p>
              </w:tc>
              <w:tc>
                <w:tcPr>
                  <w:tcW w:w="982" w:type="pct"/>
                  <w:tcBorders>
                    <w:tl2br w:val="nil"/>
                    <w:tr2bl w:val="nil"/>
                  </w:tcBorders>
                  <w:noWrap w:val="0"/>
                  <w:vAlign w:val="center"/>
                </w:tcPr>
                <w:p w14:paraId="6DB35F5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40</w:t>
                  </w:r>
                </w:p>
              </w:tc>
              <w:tc>
                <w:tcPr>
                  <w:tcW w:w="695" w:type="pct"/>
                  <w:vMerge w:val="continue"/>
                  <w:tcBorders>
                    <w:tl2br w:val="nil"/>
                    <w:tr2bl w:val="nil"/>
                  </w:tcBorders>
                  <w:noWrap w:val="0"/>
                  <w:vAlign w:val="center"/>
                </w:tcPr>
                <w:p w14:paraId="0AB271E4">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016BCA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continue"/>
                  <w:tcBorders>
                    <w:tl2br w:val="nil"/>
                    <w:tr2bl w:val="nil"/>
                  </w:tcBorders>
                  <w:noWrap w:val="0"/>
                  <w:vAlign w:val="center"/>
                </w:tcPr>
                <w:p w14:paraId="3C6E519B">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596" w:type="pct"/>
                  <w:vMerge w:val="continue"/>
                  <w:tcBorders>
                    <w:tl2br w:val="nil"/>
                    <w:tr2bl w:val="nil"/>
                  </w:tcBorders>
                  <w:noWrap w:val="0"/>
                  <w:vAlign w:val="center"/>
                </w:tcPr>
                <w:p w14:paraId="3D7C1C52">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1411" w:type="pct"/>
                  <w:tcBorders>
                    <w:tl2br w:val="nil"/>
                    <w:tr2bl w:val="nil"/>
                  </w:tcBorders>
                  <w:noWrap w:val="0"/>
                  <w:vAlign w:val="center"/>
                </w:tcPr>
                <w:p w14:paraId="4FB96E24">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24小时平均</w:t>
                  </w:r>
                </w:p>
              </w:tc>
              <w:tc>
                <w:tcPr>
                  <w:tcW w:w="932" w:type="pct"/>
                  <w:tcBorders>
                    <w:tl2br w:val="nil"/>
                    <w:tr2bl w:val="nil"/>
                  </w:tcBorders>
                  <w:noWrap w:val="0"/>
                  <w:vAlign w:val="center"/>
                </w:tcPr>
                <w:p w14:paraId="35DC81AE">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80</w:t>
                  </w:r>
                </w:p>
              </w:tc>
              <w:tc>
                <w:tcPr>
                  <w:tcW w:w="982" w:type="pct"/>
                  <w:tcBorders>
                    <w:tl2br w:val="nil"/>
                    <w:tr2bl w:val="nil"/>
                  </w:tcBorders>
                  <w:noWrap w:val="0"/>
                  <w:vAlign w:val="center"/>
                </w:tcPr>
                <w:p w14:paraId="41590B62">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80</w:t>
                  </w:r>
                </w:p>
              </w:tc>
              <w:tc>
                <w:tcPr>
                  <w:tcW w:w="695" w:type="pct"/>
                  <w:vMerge w:val="continue"/>
                  <w:tcBorders>
                    <w:tl2br w:val="nil"/>
                    <w:tr2bl w:val="nil"/>
                  </w:tcBorders>
                  <w:noWrap w:val="0"/>
                  <w:vAlign w:val="center"/>
                </w:tcPr>
                <w:p w14:paraId="364E2183">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6E673C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continue"/>
                  <w:tcBorders>
                    <w:tl2br w:val="nil"/>
                    <w:tr2bl w:val="nil"/>
                  </w:tcBorders>
                  <w:noWrap w:val="0"/>
                  <w:vAlign w:val="center"/>
                </w:tcPr>
                <w:p w14:paraId="149B9D97">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596" w:type="pct"/>
                  <w:vMerge w:val="continue"/>
                  <w:tcBorders>
                    <w:tl2br w:val="nil"/>
                    <w:tr2bl w:val="nil"/>
                  </w:tcBorders>
                  <w:noWrap w:val="0"/>
                  <w:vAlign w:val="center"/>
                </w:tcPr>
                <w:p w14:paraId="035F634A">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1411" w:type="pct"/>
                  <w:tcBorders>
                    <w:tl2br w:val="nil"/>
                    <w:tr2bl w:val="nil"/>
                  </w:tcBorders>
                  <w:noWrap w:val="0"/>
                  <w:vAlign w:val="center"/>
                </w:tcPr>
                <w:p w14:paraId="0688826A">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1小时平均</w:t>
                  </w:r>
                </w:p>
              </w:tc>
              <w:tc>
                <w:tcPr>
                  <w:tcW w:w="932" w:type="pct"/>
                  <w:tcBorders>
                    <w:tl2br w:val="nil"/>
                    <w:tr2bl w:val="nil"/>
                  </w:tcBorders>
                  <w:noWrap w:val="0"/>
                  <w:vAlign w:val="center"/>
                </w:tcPr>
                <w:p w14:paraId="6736B42D">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200</w:t>
                  </w:r>
                </w:p>
              </w:tc>
              <w:tc>
                <w:tcPr>
                  <w:tcW w:w="982" w:type="pct"/>
                  <w:tcBorders>
                    <w:tl2br w:val="nil"/>
                    <w:tr2bl w:val="nil"/>
                  </w:tcBorders>
                  <w:noWrap w:val="0"/>
                  <w:vAlign w:val="center"/>
                </w:tcPr>
                <w:p w14:paraId="39F40B5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200</w:t>
                  </w:r>
                </w:p>
              </w:tc>
              <w:tc>
                <w:tcPr>
                  <w:tcW w:w="695" w:type="pct"/>
                  <w:vMerge w:val="continue"/>
                  <w:tcBorders>
                    <w:tl2br w:val="nil"/>
                    <w:tr2bl w:val="nil"/>
                  </w:tcBorders>
                  <w:noWrap w:val="0"/>
                  <w:vAlign w:val="center"/>
                </w:tcPr>
                <w:p w14:paraId="1AE1DD31">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27F9C9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restart"/>
                  <w:tcBorders>
                    <w:tl2br w:val="nil"/>
                    <w:tr2bl w:val="nil"/>
                  </w:tcBorders>
                  <w:noWrap w:val="0"/>
                  <w:vAlign w:val="center"/>
                </w:tcPr>
                <w:p w14:paraId="5012EC25">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3</w:t>
                  </w:r>
                </w:p>
              </w:tc>
              <w:tc>
                <w:tcPr>
                  <w:tcW w:w="596" w:type="pct"/>
                  <w:vMerge w:val="restart"/>
                  <w:tcBorders>
                    <w:tl2br w:val="nil"/>
                    <w:tr2bl w:val="nil"/>
                  </w:tcBorders>
                  <w:noWrap w:val="0"/>
                  <w:vAlign w:val="center"/>
                </w:tcPr>
                <w:p w14:paraId="703F9E92">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CO</w:t>
                  </w:r>
                </w:p>
              </w:tc>
              <w:tc>
                <w:tcPr>
                  <w:tcW w:w="1411" w:type="pct"/>
                  <w:tcBorders>
                    <w:tl2br w:val="nil"/>
                    <w:tr2bl w:val="nil"/>
                  </w:tcBorders>
                  <w:noWrap w:val="0"/>
                  <w:vAlign w:val="center"/>
                </w:tcPr>
                <w:p w14:paraId="6A9BF8A6">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24小时平均</w:t>
                  </w:r>
                </w:p>
              </w:tc>
              <w:tc>
                <w:tcPr>
                  <w:tcW w:w="932" w:type="pct"/>
                  <w:tcBorders>
                    <w:tl2br w:val="nil"/>
                    <w:tr2bl w:val="nil"/>
                  </w:tcBorders>
                  <w:noWrap w:val="0"/>
                  <w:vAlign w:val="center"/>
                </w:tcPr>
                <w:p w14:paraId="37927D0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4</w:t>
                  </w:r>
                </w:p>
              </w:tc>
              <w:tc>
                <w:tcPr>
                  <w:tcW w:w="982" w:type="pct"/>
                  <w:tcBorders>
                    <w:tl2br w:val="nil"/>
                    <w:tr2bl w:val="nil"/>
                  </w:tcBorders>
                  <w:noWrap w:val="0"/>
                  <w:vAlign w:val="center"/>
                </w:tcPr>
                <w:p w14:paraId="3ECEB58C">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4</w:t>
                  </w:r>
                </w:p>
              </w:tc>
              <w:tc>
                <w:tcPr>
                  <w:tcW w:w="695" w:type="pct"/>
                  <w:vMerge w:val="restart"/>
                  <w:tcBorders>
                    <w:tl2br w:val="nil"/>
                    <w:tr2bl w:val="nil"/>
                  </w:tcBorders>
                  <w:noWrap w:val="0"/>
                  <w:vAlign w:val="center"/>
                </w:tcPr>
                <w:p w14:paraId="682C4457">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mg/m</w:t>
                  </w:r>
                  <w:r>
                    <w:rPr>
                      <w:rFonts w:hint="default" w:ascii="Times New Roman" w:hAnsi="Times New Roman" w:cs="Times New Roman"/>
                      <w:vertAlign w:val="superscript"/>
                    </w:rPr>
                    <w:t>3</w:t>
                  </w:r>
                </w:p>
              </w:tc>
            </w:tr>
            <w:tr w14:paraId="38019A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continue"/>
                  <w:tcBorders>
                    <w:tl2br w:val="nil"/>
                    <w:tr2bl w:val="nil"/>
                  </w:tcBorders>
                  <w:noWrap w:val="0"/>
                  <w:vAlign w:val="center"/>
                </w:tcPr>
                <w:p w14:paraId="5031EBA9">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596" w:type="pct"/>
                  <w:vMerge w:val="continue"/>
                  <w:tcBorders>
                    <w:tl2br w:val="nil"/>
                    <w:tr2bl w:val="nil"/>
                  </w:tcBorders>
                  <w:noWrap w:val="0"/>
                  <w:vAlign w:val="center"/>
                </w:tcPr>
                <w:p w14:paraId="3ED566FB">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1411" w:type="pct"/>
                  <w:tcBorders>
                    <w:tl2br w:val="nil"/>
                    <w:tr2bl w:val="nil"/>
                  </w:tcBorders>
                  <w:noWrap w:val="0"/>
                  <w:vAlign w:val="center"/>
                </w:tcPr>
                <w:p w14:paraId="0510CAAC">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1小时平均</w:t>
                  </w:r>
                </w:p>
              </w:tc>
              <w:tc>
                <w:tcPr>
                  <w:tcW w:w="932" w:type="pct"/>
                  <w:tcBorders>
                    <w:tl2br w:val="nil"/>
                    <w:tr2bl w:val="nil"/>
                  </w:tcBorders>
                  <w:noWrap w:val="0"/>
                  <w:vAlign w:val="center"/>
                </w:tcPr>
                <w:p w14:paraId="73D5E7BE">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10</w:t>
                  </w:r>
                </w:p>
              </w:tc>
              <w:tc>
                <w:tcPr>
                  <w:tcW w:w="982" w:type="pct"/>
                  <w:tcBorders>
                    <w:tl2br w:val="nil"/>
                    <w:tr2bl w:val="nil"/>
                  </w:tcBorders>
                  <w:noWrap w:val="0"/>
                  <w:vAlign w:val="center"/>
                </w:tcPr>
                <w:p w14:paraId="26C87324">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10</w:t>
                  </w:r>
                </w:p>
              </w:tc>
              <w:tc>
                <w:tcPr>
                  <w:tcW w:w="695" w:type="pct"/>
                  <w:vMerge w:val="continue"/>
                  <w:tcBorders>
                    <w:tl2br w:val="nil"/>
                    <w:tr2bl w:val="nil"/>
                  </w:tcBorders>
                  <w:noWrap w:val="0"/>
                  <w:vAlign w:val="center"/>
                </w:tcPr>
                <w:p w14:paraId="0CFFF3ED">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24A7EE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restart"/>
                  <w:tcBorders>
                    <w:tl2br w:val="nil"/>
                    <w:tr2bl w:val="nil"/>
                  </w:tcBorders>
                  <w:noWrap w:val="0"/>
                  <w:vAlign w:val="center"/>
                </w:tcPr>
                <w:p w14:paraId="121AE04F">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4</w:t>
                  </w:r>
                </w:p>
              </w:tc>
              <w:tc>
                <w:tcPr>
                  <w:tcW w:w="596" w:type="pct"/>
                  <w:vMerge w:val="restart"/>
                  <w:tcBorders>
                    <w:tl2br w:val="nil"/>
                    <w:tr2bl w:val="nil"/>
                  </w:tcBorders>
                  <w:noWrap w:val="0"/>
                  <w:vAlign w:val="center"/>
                </w:tcPr>
                <w:p w14:paraId="60187E12">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O3</w:t>
                  </w:r>
                </w:p>
              </w:tc>
              <w:tc>
                <w:tcPr>
                  <w:tcW w:w="1411" w:type="pct"/>
                  <w:tcBorders>
                    <w:tl2br w:val="nil"/>
                    <w:tr2bl w:val="nil"/>
                  </w:tcBorders>
                  <w:noWrap w:val="0"/>
                  <w:vAlign w:val="center"/>
                </w:tcPr>
                <w:p w14:paraId="033D0F6F">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日最大8小时平均</w:t>
                  </w:r>
                </w:p>
              </w:tc>
              <w:tc>
                <w:tcPr>
                  <w:tcW w:w="932" w:type="pct"/>
                  <w:tcBorders>
                    <w:tl2br w:val="nil"/>
                    <w:tr2bl w:val="nil"/>
                  </w:tcBorders>
                  <w:noWrap w:val="0"/>
                  <w:vAlign w:val="center"/>
                </w:tcPr>
                <w:p w14:paraId="65FB6F9C">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100</w:t>
                  </w:r>
                </w:p>
              </w:tc>
              <w:tc>
                <w:tcPr>
                  <w:tcW w:w="982" w:type="pct"/>
                  <w:tcBorders>
                    <w:tl2br w:val="nil"/>
                    <w:tr2bl w:val="nil"/>
                  </w:tcBorders>
                  <w:noWrap w:val="0"/>
                  <w:vAlign w:val="center"/>
                </w:tcPr>
                <w:p w14:paraId="2F28D4FD">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160</w:t>
                  </w:r>
                </w:p>
              </w:tc>
              <w:tc>
                <w:tcPr>
                  <w:tcW w:w="695" w:type="pct"/>
                  <w:vMerge w:val="restart"/>
                  <w:tcBorders>
                    <w:tl2br w:val="nil"/>
                    <w:tr2bl w:val="nil"/>
                  </w:tcBorders>
                  <w:noWrap w:val="0"/>
                  <w:vAlign w:val="center"/>
                </w:tcPr>
                <w:p w14:paraId="1B366D8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μg/m</w:t>
                  </w:r>
                  <w:r>
                    <w:rPr>
                      <w:rFonts w:hint="default" w:ascii="Times New Roman" w:hAnsi="Times New Roman" w:cs="Times New Roman"/>
                      <w:vertAlign w:val="superscript"/>
                    </w:rPr>
                    <w:t>3</w:t>
                  </w:r>
                </w:p>
              </w:tc>
            </w:tr>
            <w:tr w14:paraId="681832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continue"/>
                  <w:tcBorders>
                    <w:tl2br w:val="nil"/>
                    <w:tr2bl w:val="nil"/>
                  </w:tcBorders>
                  <w:noWrap w:val="0"/>
                  <w:vAlign w:val="center"/>
                </w:tcPr>
                <w:p w14:paraId="52D04C7C">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596" w:type="pct"/>
                  <w:vMerge w:val="continue"/>
                  <w:tcBorders>
                    <w:tl2br w:val="nil"/>
                    <w:tr2bl w:val="nil"/>
                  </w:tcBorders>
                  <w:noWrap w:val="0"/>
                  <w:vAlign w:val="center"/>
                </w:tcPr>
                <w:p w14:paraId="1257C48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1411" w:type="pct"/>
                  <w:tcBorders>
                    <w:tl2br w:val="nil"/>
                    <w:tr2bl w:val="nil"/>
                  </w:tcBorders>
                  <w:noWrap w:val="0"/>
                  <w:vAlign w:val="center"/>
                </w:tcPr>
                <w:p w14:paraId="78FC617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1小时平均</w:t>
                  </w:r>
                </w:p>
              </w:tc>
              <w:tc>
                <w:tcPr>
                  <w:tcW w:w="932" w:type="pct"/>
                  <w:tcBorders>
                    <w:tl2br w:val="nil"/>
                    <w:tr2bl w:val="nil"/>
                  </w:tcBorders>
                  <w:noWrap w:val="0"/>
                  <w:vAlign w:val="center"/>
                </w:tcPr>
                <w:p w14:paraId="6C802F9B">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160</w:t>
                  </w:r>
                </w:p>
              </w:tc>
              <w:tc>
                <w:tcPr>
                  <w:tcW w:w="982" w:type="pct"/>
                  <w:tcBorders>
                    <w:tl2br w:val="nil"/>
                    <w:tr2bl w:val="nil"/>
                  </w:tcBorders>
                  <w:noWrap w:val="0"/>
                  <w:vAlign w:val="center"/>
                </w:tcPr>
                <w:p w14:paraId="0A7F7861">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200</w:t>
                  </w:r>
                </w:p>
              </w:tc>
              <w:tc>
                <w:tcPr>
                  <w:tcW w:w="695" w:type="pct"/>
                  <w:vMerge w:val="continue"/>
                  <w:tcBorders>
                    <w:tl2br w:val="nil"/>
                    <w:tr2bl w:val="nil"/>
                  </w:tcBorders>
                  <w:noWrap w:val="0"/>
                  <w:vAlign w:val="center"/>
                </w:tcPr>
                <w:p w14:paraId="74E159A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79FF85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restart"/>
                  <w:tcBorders>
                    <w:tl2br w:val="nil"/>
                    <w:tr2bl w:val="nil"/>
                  </w:tcBorders>
                  <w:noWrap w:val="0"/>
                  <w:vAlign w:val="center"/>
                </w:tcPr>
                <w:p w14:paraId="21FEFC3F">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5</w:t>
                  </w:r>
                </w:p>
              </w:tc>
              <w:tc>
                <w:tcPr>
                  <w:tcW w:w="596" w:type="pct"/>
                  <w:vMerge w:val="restart"/>
                  <w:tcBorders>
                    <w:tl2br w:val="nil"/>
                    <w:tr2bl w:val="nil"/>
                  </w:tcBorders>
                  <w:noWrap w:val="0"/>
                  <w:vAlign w:val="center"/>
                </w:tcPr>
                <w:p w14:paraId="70F79E5D">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PM10</w:t>
                  </w:r>
                </w:p>
              </w:tc>
              <w:tc>
                <w:tcPr>
                  <w:tcW w:w="1411" w:type="pct"/>
                  <w:tcBorders>
                    <w:tl2br w:val="nil"/>
                    <w:tr2bl w:val="nil"/>
                  </w:tcBorders>
                  <w:noWrap w:val="0"/>
                  <w:vAlign w:val="center"/>
                </w:tcPr>
                <w:p w14:paraId="5CB77D7B">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年平均</w:t>
                  </w:r>
                </w:p>
              </w:tc>
              <w:tc>
                <w:tcPr>
                  <w:tcW w:w="932" w:type="pct"/>
                  <w:tcBorders>
                    <w:tl2br w:val="nil"/>
                    <w:tr2bl w:val="nil"/>
                  </w:tcBorders>
                  <w:noWrap w:val="0"/>
                  <w:vAlign w:val="center"/>
                </w:tcPr>
                <w:p w14:paraId="1D3F6375">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eastAsia="宋体" w:cs="Times New Roman"/>
                      <w:lang w:val="en-US" w:eastAsia="zh-CN"/>
                    </w:rPr>
                  </w:pPr>
                  <w:r>
                    <w:rPr>
                      <w:rFonts w:hint="eastAsia" w:cs="Times New Roman"/>
                      <w:lang w:val="en-US" w:eastAsia="zh-CN"/>
                    </w:rPr>
                    <w:t>20</w:t>
                  </w:r>
                </w:p>
              </w:tc>
              <w:tc>
                <w:tcPr>
                  <w:tcW w:w="982" w:type="pct"/>
                  <w:tcBorders>
                    <w:tl2br w:val="nil"/>
                    <w:tr2bl w:val="nil"/>
                  </w:tcBorders>
                  <w:noWrap w:val="0"/>
                  <w:vAlign w:val="center"/>
                </w:tcPr>
                <w:p w14:paraId="32525C64">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60</w:t>
                  </w:r>
                </w:p>
              </w:tc>
              <w:tc>
                <w:tcPr>
                  <w:tcW w:w="695" w:type="pct"/>
                  <w:vMerge w:val="continue"/>
                  <w:tcBorders>
                    <w:tl2br w:val="nil"/>
                    <w:tr2bl w:val="nil"/>
                  </w:tcBorders>
                  <w:noWrap w:val="0"/>
                  <w:vAlign w:val="center"/>
                </w:tcPr>
                <w:p w14:paraId="7481FE6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4F31EE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continue"/>
                  <w:tcBorders>
                    <w:tl2br w:val="nil"/>
                    <w:tr2bl w:val="nil"/>
                  </w:tcBorders>
                  <w:noWrap w:val="0"/>
                  <w:vAlign w:val="center"/>
                </w:tcPr>
                <w:p w14:paraId="5F391EF5">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596" w:type="pct"/>
                  <w:vMerge w:val="continue"/>
                  <w:tcBorders>
                    <w:tl2br w:val="nil"/>
                    <w:tr2bl w:val="nil"/>
                  </w:tcBorders>
                  <w:noWrap w:val="0"/>
                  <w:vAlign w:val="center"/>
                </w:tcPr>
                <w:p w14:paraId="7662637E">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1411" w:type="pct"/>
                  <w:tcBorders>
                    <w:tl2br w:val="nil"/>
                    <w:tr2bl w:val="nil"/>
                  </w:tcBorders>
                  <w:noWrap w:val="0"/>
                  <w:vAlign w:val="center"/>
                </w:tcPr>
                <w:p w14:paraId="4EB88784">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24小时平均</w:t>
                  </w:r>
                </w:p>
              </w:tc>
              <w:tc>
                <w:tcPr>
                  <w:tcW w:w="932" w:type="pct"/>
                  <w:tcBorders>
                    <w:tl2br w:val="nil"/>
                    <w:tr2bl w:val="nil"/>
                  </w:tcBorders>
                  <w:noWrap w:val="0"/>
                  <w:vAlign w:val="center"/>
                </w:tcPr>
                <w:p w14:paraId="65157C5A">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50</w:t>
                  </w:r>
                </w:p>
              </w:tc>
              <w:tc>
                <w:tcPr>
                  <w:tcW w:w="982" w:type="pct"/>
                  <w:tcBorders>
                    <w:tl2br w:val="nil"/>
                    <w:tr2bl w:val="nil"/>
                  </w:tcBorders>
                  <w:noWrap w:val="0"/>
                  <w:vAlign w:val="center"/>
                </w:tcPr>
                <w:p w14:paraId="2FD67B04">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2</w:t>
                  </w:r>
                  <w:r>
                    <w:rPr>
                      <w:rFonts w:hint="default" w:ascii="Times New Roman" w:hAnsi="Times New Roman" w:cs="Times New Roman"/>
                    </w:rPr>
                    <w:t>0</w:t>
                  </w:r>
                </w:p>
              </w:tc>
              <w:tc>
                <w:tcPr>
                  <w:tcW w:w="695" w:type="pct"/>
                  <w:vMerge w:val="continue"/>
                  <w:tcBorders>
                    <w:tl2br w:val="nil"/>
                    <w:tr2bl w:val="nil"/>
                  </w:tcBorders>
                  <w:noWrap w:val="0"/>
                  <w:vAlign w:val="center"/>
                </w:tcPr>
                <w:p w14:paraId="2BF81CA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024D22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restart"/>
                  <w:tcBorders>
                    <w:tl2br w:val="nil"/>
                    <w:tr2bl w:val="nil"/>
                  </w:tcBorders>
                  <w:noWrap w:val="0"/>
                  <w:vAlign w:val="center"/>
                </w:tcPr>
                <w:p w14:paraId="15F5192C">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6</w:t>
                  </w:r>
                </w:p>
              </w:tc>
              <w:tc>
                <w:tcPr>
                  <w:tcW w:w="596" w:type="pct"/>
                  <w:vMerge w:val="restart"/>
                  <w:tcBorders>
                    <w:tl2br w:val="nil"/>
                    <w:tr2bl w:val="nil"/>
                  </w:tcBorders>
                  <w:noWrap w:val="0"/>
                  <w:vAlign w:val="center"/>
                </w:tcPr>
                <w:p w14:paraId="7B28F609">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PM2.5</w:t>
                  </w:r>
                </w:p>
              </w:tc>
              <w:tc>
                <w:tcPr>
                  <w:tcW w:w="1411" w:type="pct"/>
                  <w:tcBorders>
                    <w:tl2br w:val="nil"/>
                    <w:tr2bl w:val="nil"/>
                  </w:tcBorders>
                  <w:noWrap w:val="0"/>
                  <w:vAlign w:val="center"/>
                </w:tcPr>
                <w:p w14:paraId="047EF278">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年平均</w:t>
                  </w:r>
                </w:p>
              </w:tc>
              <w:tc>
                <w:tcPr>
                  <w:tcW w:w="932" w:type="pct"/>
                  <w:tcBorders>
                    <w:tl2br w:val="nil"/>
                    <w:tr2bl w:val="nil"/>
                  </w:tcBorders>
                  <w:noWrap w:val="0"/>
                  <w:vAlign w:val="center"/>
                </w:tcPr>
                <w:p w14:paraId="426BE366">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eastAsia" w:ascii="Times New Roman" w:hAnsi="Times New Roman" w:eastAsia="宋体" w:cs="Times New Roman"/>
                      <w:lang w:val="en-US" w:eastAsia="zh-CN"/>
                    </w:rPr>
                  </w:pPr>
                  <w:r>
                    <w:rPr>
                      <w:rFonts w:hint="default" w:ascii="Times New Roman" w:hAnsi="Times New Roman" w:cs="Times New Roman"/>
                    </w:rPr>
                    <w:t>1</w:t>
                  </w:r>
                  <w:r>
                    <w:rPr>
                      <w:rFonts w:hint="eastAsia" w:cs="Times New Roman"/>
                      <w:lang w:val="en-US" w:eastAsia="zh-CN"/>
                    </w:rPr>
                    <w:t>0</w:t>
                  </w:r>
                </w:p>
              </w:tc>
              <w:tc>
                <w:tcPr>
                  <w:tcW w:w="982" w:type="pct"/>
                  <w:tcBorders>
                    <w:tl2br w:val="nil"/>
                    <w:tr2bl w:val="nil"/>
                  </w:tcBorders>
                  <w:noWrap w:val="0"/>
                  <w:vAlign w:val="center"/>
                </w:tcPr>
                <w:p w14:paraId="6C8A01D9">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30</w:t>
                  </w:r>
                </w:p>
              </w:tc>
              <w:tc>
                <w:tcPr>
                  <w:tcW w:w="695" w:type="pct"/>
                  <w:vMerge w:val="continue"/>
                  <w:tcBorders>
                    <w:tl2br w:val="nil"/>
                    <w:tr2bl w:val="nil"/>
                  </w:tcBorders>
                  <w:noWrap w:val="0"/>
                  <w:vAlign w:val="center"/>
                </w:tcPr>
                <w:p w14:paraId="7EF93EC1">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4F4D60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continue"/>
                  <w:tcBorders>
                    <w:tl2br w:val="nil"/>
                    <w:tr2bl w:val="nil"/>
                  </w:tcBorders>
                  <w:noWrap w:val="0"/>
                  <w:vAlign w:val="center"/>
                </w:tcPr>
                <w:p w14:paraId="5F88BEC8">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596" w:type="pct"/>
                  <w:vMerge w:val="continue"/>
                  <w:tcBorders>
                    <w:tl2br w:val="nil"/>
                    <w:tr2bl w:val="nil"/>
                  </w:tcBorders>
                  <w:noWrap w:val="0"/>
                  <w:vAlign w:val="center"/>
                </w:tcPr>
                <w:p w14:paraId="0C1570A5">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1411" w:type="pct"/>
                  <w:tcBorders>
                    <w:tl2br w:val="nil"/>
                    <w:tr2bl w:val="nil"/>
                  </w:tcBorders>
                  <w:noWrap w:val="0"/>
                  <w:vAlign w:val="center"/>
                </w:tcPr>
                <w:p w14:paraId="6FCECC38">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24小时平均</w:t>
                  </w:r>
                </w:p>
              </w:tc>
              <w:tc>
                <w:tcPr>
                  <w:tcW w:w="932" w:type="pct"/>
                  <w:tcBorders>
                    <w:tl2br w:val="nil"/>
                    <w:tr2bl w:val="nil"/>
                  </w:tcBorders>
                  <w:noWrap w:val="0"/>
                  <w:vAlign w:val="center"/>
                </w:tcPr>
                <w:p w14:paraId="5AB342C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eastAsia" w:cs="Times New Roman"/>
                      <w:lang w:val="en-US" w:eastAsia="zh-CN"/>
                    </w:rPr>
                    <w:t>2</w:t>
                  </w:r>
                  <w:r>
                    <w:rPr>
                      <w:rFonts w:hint="default" w:ascii="Times New Roman" w:hAnsi="Times New Roman" w:cs="Times New Roman"/>
                    </w:rPr>
                    <w:t>5</w:t>
                  </w:r>
                </w:p>
              </w:tc>
              <w:tc>
                <w:tcPr>
                  <w:tcW w:w="982" w:type="pct"/>
                  <w:tcBorders>
                    <w:tl2br w:val="nil"/>
                    <w:tr2bl w:val="nil"/>
                  </w:tcBorders>
                  <w:noWrap w:val="0"/>
                  <w:vAlign w:val="center"/>
                </w:tcPr>
                <w:p w14:paraId="3BDDB359">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60</w:t>
                  </w:r>
                </w:p>
              </w:tc>
              <w:tc>
                <w:tcPr>
                  <w:tcW w:w="695" w:type="pct"/>
                  <w:vMerge w:val="continue"/>
                  <w:tcBorders>
                    <w:tl2br w:val="nil"/>
                    <w:tr2bl w:val="nil"/>
                  </w:tcBorders>
                  <w:noWrap w:val="0"/>
                  <w:vAlign w:val="center"/>
                </w:tcPr>
                <w:p w14:paraId="4D03A832">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566C6B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restart"/>
                  <w:tcBorders>
                    <w:tl2br w:val="nil"/>
                    <w:tr2bl w:val="nil"/>
                  </w:tcBorders>
                  <w:noWrap w:val="0"/>
                  <w:vAlign w:val="center"/>
                </w:tcPr>
                <w:p w14:paraId="4E649D8D">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7</w:t>
                  </w:r>
                </w:p>
              </w:tc>
              <w:tc>
                <w:tcPr>
                  <w:tcW w:w="596" w:type="pct"/>
                  <w:vMerge w:val="restart"/>
                  <w:tcBorders>
                    <w:tl2br w:val="nil"/>
                    <w:tr2bl w:val="nil"/>
                  </w:tcBorders>
                  <w:noWrap w:val="0"/>
                  <w:vAlign w:val="center"/>
                </w:tcPr>
                <w:p w14:paraId="218919A9">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TSP</w:t>
                  </w:r>
                </w:p>
              </w:tc>
              <w:tc>
                <w:tcPr>
                  <w:tcW w:w="1411" w:type="pct"/>
                  <w:tcBorders>
                    <w:tl2br w:val="nil"/>
                    <w:tr2bl w:val="nil"/>
                  </w:tcBorders>
                  <w:noWrap w:val="0"/>
                  <w:vAlign w:val="center"/>
                </w:tcPr>
                <w:p w14:paraId="5E6FDE5F">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年平均</w:t>
                  </w:r>
                </w:p>
              </w:tc>
              <w:tc>
                <w:tcPr>
                  <w:tcW w:w="932" w:type="pct"/>
                  <w:tcBorders>
                    <w:tl2br w:val="nil"/>
                    <w:tr2bl w:val="nil"/>
                  </w:tcBorders>
                  <w:noWrap w:val="0"/>
                  <w:vAlign w:val="center"/>
                </w:tcPr>
                <w:p w14:paraId="78479582">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80</w:t>
                  </w:r>
                </w:p>
              </w:tc>
              <w:tc>
                <w:tcPr>
                  <w:tcW w:w="982" w:type="pct"/>
                  <w:tcBorders>
                    <w:tl2br w:val="nil"/>
                    <w:tr2bl w:val="nil"/>
                  </w:tcBorders>
                  <w:noWrap w:val="0"/>
                  <w:vAlign w:val="center"/>
                </w:tcPr>
                <w:p w14:paraId="7DFD9693">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200</w:t>
                  </w:r>
                </w:p>
              </w:tc>
              <w:tc>
                <w:tcPr>
                  <w:tcW w:w="695" w:type="pct"/>
                  <w:vMerge w:val="continue"/>
                  <w:tcBorders>
                    <w:tl2br w:val="nil"/>
                    <w:tr2bl w:val="nil"/>
                  </w:tcBorders>
                  <w:noWrap w:val="0"/>
                  <w:vAlign w:val="center"/>
                </w:tcPr>
                <w:p w14:paraId="7EB7B588">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tr w14:paraId="4A7173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81" w:type="pct"/>
                  <w:vMerge w:val="continue"/>
                  <w:tcBorders>
                    <w:tl2br w:val="nil"/>
                    <w:tr2bl w:val="nil"/>
                  </w:tcBorders>
                  <w:noWrap w:val="0"/>
                  <w:vAlign w:val="center"/>
                </w:tcPr>
                <w:p w14:paraId="7DC6FA78">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596" w:type="pct"/>
                  <w:vMerge w:val="continue"/>
                  <w:tcBorders>
                    <w:tl2br w:val="nil"/>
                    <w:tr2bl w:val="nil"/>
                  </w:tcBorders>
                  <w:noWrap w:val="0"/>
                  <w:vAlign w:val="center"/>
                </w:tcPr>
                <w:p w14:paraId="5FC0E5D2">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c>
                <w:tcPr>
                  <w:tcW w:w="1411" w:type="pct"/>
                  <w:tcBorders>
                    <w:tl2br w:val="nil"/>
                    <w:tr2bl w:val="nil"/>
                  </w:tcBorders>
                  <w:noWrap w:val="0"/>
                  <w:vAlign w:val="center"/>
                </w:tcPr>
                <w:p w14:paraId="19E83440">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24小时平均</w:t>
                  </w:r>
                </w:p>
              </w:tc>
              <w:tc>
                <w:tcPr>
                  <w:tcW w:w="932" w:type="pct"/>
                  <w:tcBorders>
                    <w:tl2br w:val="nil"/>
                    <w:tr2bl w:val="nil"/>
                  </w:tcBorders>
                  <w:noWrap w:val="0"/>
                  <w:vAlign w:val="center"/>
                </w:tcPr>
                <w:p w14:paraId="31E289B6">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120</w:t>
                  </w:r>
                </w:p>
              </w:tc>
              <w:tc>
                <w:tcPr>
                  <w:tcW w:w="982" w:type="pct"/>
                  <w:tcBorders>
                    <w:tl2br w:val="nil"/>
                    <w:tr2bl w:val="nil"/>
                  </w:tcBorders>
                  <w:noWrap w:val="0"/>
                  <w:vAlign w:val="center"/>
                </w:tcPr>
                <w:p w14:paraId="3A49D77C">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r>
                    <w:rPr>
                      <w:rFonts w:hint="default" w:ascii="Times New Roman" w:hAnsi="Times New Roman" w:cs="Times New Roman"/>
                    </w:rPr>
                    <w:t>300</w:t>
                  </w:r>
                </w:p>
              </w:tc>
              <w:tc>
                <w:tcPr>
                  <w:tcW w:w="695" w:type="pct"/>
                  <w:vMerge w:val="continue"/>
                  <w:tcBorders>
                    <w:tl2br w:val="nil"/>
                    <w:tr2bl w:val="nil"/>
                  </w:tcBorders>
                  <w:noWrap w:val="0"/>
                  <w:vAlign w:val="center"/>
                </w:tcPr>
                <w:p w14:paraId="7E62B415">
                  <w:pPr>
                    <w:pStyle w:val="59"/>
                    <w:keepNext w:val="0"/>
                    <w:keepLines w:val="0"/>
                    <w:pageBreakBefore w:val="0"/>
                    <w:widowControl w:val="0"/>
                    <w:kinsoku/>
                    <w:wordWrap/>
                    <w:overflowPunct/>
                    <w:topLinePunct w:val="0"/>
                    <w:autoSpaceDE/>
                    <w:autoSpaceDN/>
                    <w:bidi w:val="0"/>
                    <w:adjustRightInd/>
                    <w:snapToGrid/>
                    <w:spacing w:line="240" w:lineRule="auto"/>
                    <w:ind w:firstLineChars="0"/>
                    <w:textAlignment w:val="auto"/>
                    <w:rPr>
                      <w:rFonts w:hint="default" w:ascii="Times New Roman" w:hAnsi="Times New Roman" w:cs="Times New Roman"/>
                    </w:rPr>
                  </w:pPr>
                </w:p>
              </w:tc>
            </w:tr>
            <w:bookmarkEnd w:id="16"/>
          </w:tbl>
          <w:p w14:paraId="3748D73C">
            <w:pPr>
              <w:pStyle w:val="2"/>
              <w:spacing w:before="0" w:after="0" w:line="360" w:lineRule="auto"/>
              <w:ind w:firstLine="0" w:firstLineChars="0"/>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（2）声环境</w:t>
            </w:r>
          </w:p>
          <w:p w14:paraId="3CA6168A">
            <w:pPr>
              <w:pStyle w:val="2"/>
              <w:keepNext/>
              <w:keepLines w:val="0"/>
              <w:pageBreakBefore w:val="0"/>
              <w:widowControl w:val="0"/>
              <w:kinsoku/>
              <w:wordWrap/>
              <w:overflowPunct w:val="0"/>
              <w:topLinePunct w:val="0"/>
              <w:autoSpaceDE/>
              <w:autoSpaceDN/>
              <w:bidi w:val="0"/>
              <w:adjustRightInd/>
              <w:snapToGrid w:val="0"/>
              <w:spacing w:before="0" w:after="0" w:line="360" w:lineRule="auto"/>
              <w:ind w:left="0" w:leftChars="0"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项目所在地声环境质量执行《声环境质量标准》（GB3096-2008）中</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类标准。</w:t>
            </w:r>
          </w:p>
          <w:p w14:paraId="3D7A42BC">
            <w:pPr>
              <w:pStyle w:val="63"/>
              <w:spacing w:before="163"/>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表3-</w:t>
            </w:r>
            <w:r>
              <w:rPr>
                <w:rFonts w:hint="eastAsia" w:cs="Times New Roman"/>
                <w:b/>
                <w:bCs/>
                <w:color w:val="000000" w:themeColor="text1"/>
                <w:sz w:val="24"/>
                <w:szCs w:val="24"/>
                <w:lang w:val="en-US" w:eastAsia="zh-CN"/>
                <w14:textFill>
                  <w14:solidFill>
                    <w14:schemeClr w14:val="tx1"/>
                  </w14:solidFill>
                </w14:textFill>
              </w:rPr>
              <w:t>11</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14:textFill>
                  <w14:solidFill>
                    <w14:schemeClr w14:val="tx1"/>
                  </w14:solidFill>
                </w14:textFill>
              </w:rPr>
              <w:t>声环境质量标准单位：dB（A）</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2"/>
              <w:gridCol w:w="2515"/>
              <w:gridCol w:w="2514"/>
            </w:tblGrid>
            <w:tr w14:paraId="5693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54" w:type="dxa"/>
                  <w:tcBorders>
                    <w:top w:val="single" w:color="000000" w:sz="12" w:space="0"/>
                    <w:left w:val="nil"/>
                    <w:tl2br w:val="nil"/>
                    <w:tr2bl w:val="nil"/>
                  </w:tcBorders>
                  <w:shd w:val="clear" w:color="auto" w:fill="FFFFFF"/>
                  <w:noWrap w:val="0"/>
                  <w:vAlign w:val="center"/>
                </w:tcPr>
                <w:p w14:paraId="48002973">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类别</w:t>
                  </w:r>
                </w:p>
              </w:tc>
              <w:tc>
                <w:tcPr>
                  <w:tcW w:w="2857" w:type="dxa"/>
                  <w:tcBorders>
                    <w:top w:val="single" w:color="000000" w:sz="12" w:space="0"/>
                    <w:tl2br w:val="nil"/>
                    <w:tr2bl w:val="nil"/>
                  </w:tcBorders>
                  <w:shd w:val="clear" w:color="auto" w:fill="FFFFFF"/>
                  <w:noWrap w:val="0"/>
                  <w:vAlign w:val="center"/>
                </w:tcPr>
                <w:p w14:paraId="3A6A7827">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昼间</w:t>
                  </w:r>
                </w:p>
              </w:tc>
              <w:tc>
                <w:tcPr>
                  <w:tcW w:w="2856" w:type="dxa"/>
                  <w:tcBorders>
                    <w:top w:val="single" w:color="000000" w:sz="12" w:space="0"/>
                    <w:right w:val="nil"/>
                    <w:tl2br w:val="nil"/>
                    <w:tr2bl w:val="nil"/>
                  </w:tcBorders>
                  <w:shd w:val="clear" w:color="auto" w:fill="FFFFFF"/>
                  <w:noWrap w:val="0"/>
                  <w:vAlign w:val="center"/>
                </w:tcPr>
                <w:p w14:paraId="7EAD664C">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夜间</w:t>
                  </w:r>
                </w:p>
              </w:tc>
            </w:tr>
            <w:tr w14:paraId="3404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54" w:type="dxa"/>
                  <w:tcBorders>
                    <w:left w:val="nil"/>
                    <w:bottom w:val="single" w:color="000000" w:sz="12" w:space="0"/>
                    <w:tl2br w:val="nil"/>
                    <w:tr2bl w:val="nil"/>
                  </w:tcBorders>
                  <w:shd w:val="clear" w:color="auto" w:fill="FFFFFF"/>
                  <w:noWrap w:val="0"/>
                  <w:vAlign w:val="center"/>
                </w:tcPr>
                <w:p w14:paraId="44684A68">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lang w:eastAsia="zh-CN"/>
                      <w14:textFill>
                        <w14:solidFill>
                          <w14:schemeClr w14:val="tx1"/>
                        </w14:solidFill>
                      </w14:textFill>
                    </w:rPr>
                  </w:pPr>
                  <w:r>
                    <w:rPr>
                      <w:rFonts w:hint="default" w:ascii="Times New Roman" w:hAnsi="Times New Roman" w:cs="Times New Roman"/>
                      <w:b w:val="0"/>
                      <w:color w:val="000000" w:themeColor="text1"/>
                      <w:sz w:val="24"/>
                      <w:szCs w:val="24"/>
                      <w:lang w:val="en-US" w:eastAsia="zh-CN"/>
                      <w14:textFill>
                        <w14:solidFill>
                          <w14:schemeClr w14:val="tx1"/>
                        </w14:solidFill>
                      </w14:textFill>
                    </w:rPr>
                    <w:t>1</w:t>
                  </w:r>
                </w:p>
              </w:tc>
              <w:tc>
                <w:tcPr>
                  <w:tcW w:w="2857" w:type="dxa"/>
                  <w:tcBorders>
                    <w:bottom w:val="single" w:color="000000" w:sz="12" w:space="0"/>
                    <w:tl2br w:val="nil"/>
                    <w:tr2bl w:val="nil"/>
                  </w:tcBorders>
                  <w:shd w:val="clear" w:color="auto" w:fill="FFFFFF"/>
                  <w:noWrap w:val="0"/>
                  <w:vAlign w:val="center"/>
                </w:tcPr>
                <w:p w14:paraId="05C0D988">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color w:val="000000" w:themeColor="text1"/>
                      <w:sz w:val="24"/>
                      <w:szCs w:val="24"/>
                      <w:lang w:val="en-US" w:eastAsia="zh-CN"/>
                      <w14:textFill>
                        <w14:solidFill>
                          <w14:schemeClr w14:val="tx1"/>
                        </w14:solidFill>
                      </w14:textFill>
                    </w:rPr>
                    <w:t>55</w:t>
                  </w:r>
                </w:p>
              </w:tc>
              <w:tc>
                <w:tcPr>
                  <w:tcW w:w="2856" w:type="dxa"/>
                  <w:tcBorders>
                    <w:bottom w:val="single" w:color="000000" w:sz="12" w:space="0"/>
                    <w:right w:val="nil"/>
                    <w:tl2br w:val="nil"/>
                    <w:tr2bl w:val="nil"/>
                  </w:tcBorders>
                  <w:shd w:val="clear" w:color="auto" w:fill="FFFFFF"/>
                  <w:noWrap w:val="0"/>
                  <w:vAlign w:val="center"/>
                </w:tcPr>
                <w:p w14:paraId="7EBC2B3E">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color w:val="000000" w:themeColor="text1"/>
                      <w:sz w:val="24"/>
                      <w:szCs w:val="24"/>
                      <w:lang w:val="en-US" w:eastAsia="zh-CN"/>
                      <w14:textFill>
                        <w14:solidFill>
                          <w14:schemeClr w14:val="tx1"/>
                        </w14:solidFill>
                      </w14:textFill>
                    </w:rPr>
                    <w:t>45</w:t>
                  </w:r>
                </w:p>
              </w:tc>
            </w:tr>
          </w:tbl>
          <w:p w14:paraId="50B86215">
            <w:pPr>
              <w:pStyle w:val="2"/>
              <w:spacing w:before="0" w:after="0" w:line="360" w:lineRule="auto"/>
              <w:ind w:firstLine="0" w:firstLineChars="0"/>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2、污染物排放控制标准</w:t>
            </w:r>
          </w:p>
          <w:p w14:paraId="227A6A2B">
            <w:pPr>
              <w:adjustRightInd w:val="0"/>
              <w:snapToGrid w:val="0"/>
              <w:spacing w:line="360" w:lineRule="auto"/>
              <w:ind w:firstLine="480" w:firstLineChars="200"/>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（1）废气</w:t>
            </w:r>
          </w:p>
          <w:p w14:paraId="664B35A5">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本项目为生态类项目，主要污染为施工场地清理平整过程中的颗粒物，因此，大气污染物排放执行《大气污染物综合排放标准》（GB16297-1996）中颗粒物无组织排放监控浓度限值标准要求。</w:t>
            </w:r>
          </w:p>
          <w:p w14:paraId="6FE6D195">
            <w:pPr>
              <w:pStyle w:val="64"/>
              <w:adjustRightInd w:val="0"/>
              <w:spacing w:beforeLines="50" w:line="240" w:lineRule="auto"/>
              <w:ind w:firstLine="422"/>
              <w:jc w:val="center"/>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表3-</w:t>
            </w:r>
            <w:r>
              <w:rPr>
                <w:rFonts w:hint="eastAsia" w:cs="Times New Roman"/>
                <w:b/>
                <w:bCs/>
                <w:color w:val="000000" w:themeColor="text1"/>
                <w:sz w:val="24"/>
                <w:szCs w:val="24"/>
                <w:lang w:val="en-US" w:eastAsia="zh-CN"/>
                <w14:textFill>
                  <w14:solidFill>
                    <w14:schemeClr w14:val="tx1"/>
                  </w14:solidFill>
                </w14:textFill>
              </w:rPr>
              <w:t>12</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14:textFill>
                  <w14:solidFill>
                    <w14:schemeClr w14:val="tx1"/>
                  </w14:solidFill>
                </w14:textFill>
              </w:rPr>
              <w:t>大气污染物排放限值</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9"/>
              <w:gridCol w:w="4493"/>
              <w:gridCol w:w="1617"/>
            </w:tblGrid>
            <w:tr w14:paraId="2564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8" w:type="pct"/>
                  <w:vMerge w:val="restart"/>
                  <w:tcBorders>
                    <w:top w:val="single" w:color="000000" w:sz="12" w:space="0"/>
                    <w:left w:val="nil"/>
                    <w:tl2br w:val="nil"/>
                    <w:tr2bl w:val="nil"/>
                  </w:tcBorders>
                  <w:shd w:val="clear" w:color="auto" w:fill="FFFFFF"/>
                  <w:noWrap w:val="0"/>
                  <w:tcMar>
                    <w:left w:w="0" w:type="dxa"/>
                    <w:right w:w="0" w:type="dxa"/>
                  </w:tcMar>
                  <w:vAlign w:val="center"/>
                </w:tcPr>
                <w:p w14:paraId="1A40E5F3">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污染物</w:t>
                  </w:r>
                </w:p>
              </w:tc>
              <w:tc>
                <w:tcPr>
                  <w:tcW w:w="4051" w:type="pct"/>
                  <w:gridSpan w:val="2"/>
                  <w:tcBorders>
                    <w:top w:val="single" w:color="000000" w:sz="12" w:space="0"/>
                    <w:right w:val="nil"/>
                    <w:tl2br w:val="nil"/>
                    <w:tr2bl w:val="nil"/>
                  </w:tcBorders>
                  <w:shd w:val="clear" w:color="auto" w:fill="FFFFFF"/>
                  <w:noWrap w:val="0"/>
                  <w:tcMar>
                    <w:left w:w="0" w:type="dxa"/>
                    <w:right w:w="0" w:type="dxa"/>
                  </w:tcMar>
                  <w:vAlign w:val="center"/>
                </w:tcPr>
                <w:p w14:paraId="2453AF33">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组织排放监控浓度限值</w:t>
                  </w:r>
                </w:p>
              </w:tc>
            </w:tr>
            <w:tr w14:paraId="405E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8" w:type="pct"/>
                  <w:vMerge w:val="continue"/>
                  <w:tcBorders>
                    <w:left w:val="nil"/>
                    <w:tl2br w:val="nil"/>
                    <w:tr2bl w:val="nil"/>
                  </w:tcBorders>
                  <w:shd w:val="clear" w:color="auto" w:fill="FFFFFF"/>
                  <w:noWrap w:val="0"/>
                  <w:tcMar>
                    <w:left w:w="0" w:type="dxa"/>
                    <w:right w:w="0" w:type="dxa"/>
                  </w:tcMar>
                  <w:vAlign w:val="center"/>
                </w:tcPr>
                <w:p w14:paraId="53D82FBD">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p>
              </w:tc>
              <w:tc>
                <w:tcPr>
                  <w:tcW w:w="2979" w:type="pct"/>
                  <w:tcBorders>
                    <w:tl2br w:val="nil"/>
                    <w:tr2bl w:val="nil"/>
                  </w:tcBorders>
                  <w:shd w:val="clear" w:color="auto" w:fill="FFFFFF"/>
                  <w:noWrap w:val="0"/>
                  <w:tcMar>
                    <w:left w:w="0" w:type="dxa"/>
                    <w:right w:w="0" w:type="dxa"/>
                  </w:tcMar>
                  <w:vAlign w:val="center"/>
                </w:tcPr>
                <w:p w14:paraId="6BBAACA6">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监控点</w:t>
                  </w:r>
                </w:p>
              </w:tc>
              <w:tc>
                <w:tcPr>
                  <w:tcW w:w="1072" w:type="pct"/>
                  <w:tcBorders>
                    <w:right w:val="nil"/>
                    <w:tl2br w:val="nil"/>
                    <w:tr2bl w:val="nil"/>
                  </w:tcBorders>
                  <w:shd w:val="clear" w:color="auto" w:fill="FFFFFF"/>
                  <w:noWrap w:val="0"/>
                  <w:tcMar>
                    <w:left w:w="0" w:type="dxa"/>
                    <w:right w:w="0" w:type="dxa"/>
                  </w:tcMar>
                  <w:vAlign w:val="center"/>
                </w:tcPr>
                <w:p w14:paraId="43C2391E">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浓度mg/m</w:t>
                  </w:r>
                  <w:r>
                    <w:rPr>
                      <w:rFonts w:hint="default" w:ascii="Times New Roman" w:hAnsi="Times New Roman" w:eastAsia="宋体" w:cs="Times New Roman"/>
                      <w:b w:val="0"/>
                      <w:color w:val="000000" w:themeColor="text1"/>
                      <w:sz w:val="24"/>
                      <w:szCs w:val="24"/>
                      <w:vertAlign w:val="superscript"/>
                      <w14:textFill>
                        <w14:solidFill>
                          <w14:schemeClr w14:val="tx1"/>
                        </w14:solidFill>
                      </w14:textFill>
                    </w:rPr>
                    <w:t>3</w:t>
                  </w:r>
                </w:p>
              </w:tc>
            </w:tr>
            <w:tr w14:paraId="732B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8" w:type="pct"/>
                  <w:tcBorders>
                    <w:left w:val="nil"/>
                    <w:bottom w:val="single" w:color="000000" w:sz="12" w:space="0"/>
                    <w:tl2br w:val="nil"/>
                    <w:tr2bl w:val="nil"/>
                  </w:tcBorders>
                  <w:shd w:val="clear" w:color="auto" w:fill="FFFFFF"/>
                  <w:noWrap w:val="0"/>
                  <w:tcMar>
                    <w:left w:w="0" w:type="dxa"/>
                    <w:right w:w="0" w:type="dxa"/>
                  </w:tcMar>
                  <w:vAlign w:val="center"/>
                </w:tcPr>
                <w:p w14:paraId="723308FA">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颗粒物</w:t>
                  </w:r>
                </w:p>
              </w:tc>
              <w:tc>
                <w:tcPr>
                  <w:tcW w:w="2979" w:type="pct"/>
                  <w:tcBorders>
                    <w:bottom w:val="single" w:color="000000" w:sz="12" w:space="0"/>
                    <w:tl2br w:val="nil"/>
                    <w:tr2bl w:val="nil"/>
                  </w:tcBorders>
                  <w:shd w:val="clear" w:color="auto" w:fill="FFFFFF"/>
                  <w:noWrap w:val="0"/>
                  <w:tcMar>
                    <w:left w:w="0" w:type="dxa"/>
                    <w:right w:w="0" w:type="dxa"/>
                  </w:tcMar>
                  <w:vAlign w:val="center"/>
                </w:tcPr>
                <w:p w14:paraId="7552A8C8">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周界外浓度最高点</w:t>
                  </w:r>
                </w:p>
              </w:tc>
              <w:tc>
                <w:tcPr>
                  <w:tcW w:w="1072" w:type="pct"/>
                  <w:tcBorders>
                    <w:bottom w:val="single" w:color="000000" w:sz="12" w:space="0"/>
                    <w:right w:val="nil"/>
                    <w:tl2br w:val="nil"/>
                    <w:tr2bl w:val="nil"/>
                  </w:tcBorders>
                  <w:shd w:val="clear" w:color="auto" w:fill="FFFFFF"/>
                  <w:noWrap w:val="0"/>
                  <w:tcMar>
                    <w:left w:w="0" w:type="dxa"/>
                    <w:right w:w="0" w:type="dxa"/>
                  </w:tcMar>
                  <w:vAlign w:val="center"/>
                </w:tcPr>
                <w:p w14:paraId="2CF9BF42">
                  <w:pPr>
                    <w:pStyle w:val="1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1.0</w:t>
                  </w:r>
                </w:p>
              </w:tc>
            </w:tr>
          </w:tbl>
          <w:p w14:paraId="449EAE27">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噪声</w:t>
            </w:r>
          </w:p>
          <w:p w14:paraId="32973C88">
            <w:pPr>
              <w:keepNext w:val="0"/>
              <w:keepLines w:val="0"/>
              <w:pageBreakBefore w:val="0"/>
              <w:widowControl/>
              <w:kinsoku/>
              <w:wordWrap/>
              <w:overflowPunct/>
              <w:topLinePunct w:val="0"/>
              <w:autoSpaceDE/>
              <w:autoSpaceDN/>
              <w:bidi w:val="0"/>
              <w:adjustRightInd w:val="0"/>
              <w:snapToGrid w:val="0"/>
              <w:ind w:firstLine="48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本项目</w:t>
            </w:r>
            <w:r>
              <w:rPr>
                <w:rFonts w:hint="default" w:ascii="Times New Roman" w:hAnsi="Times New Roman" w:cs="Times New Roman"/>
                <w:color w:val="auto"/>
                <w:highlight w:val="none"/>
              </w:rPr>
              <w:t>施工期噪声执行《</w:t>
            </w:r>
            <w:r>
              <w:rPr>
                <w:rFonts w:hint="default" w:ascii="Times New Roman" w:hAnsi="Times New Roman" w:cs="Times New Roman"/>
                <w:color w:val="auto"/>
                <w:highlight w:val="none"/>
                <w:lang w:eastAsia="zh-CN"/>
              </w:rPr>
              <w:t>建筑施工噪声排放标准</w:t>
            </w:r>
            <w:r>
              <w:rPr>
                <w:rFonts w:hint="default" w:ascii="Times New Roman" w:hAnsi="Times New Roman" w:cs="Times New Roman"/>
                <w:color w:val="auto"/>
                <w:highlight w:val="none"/>
              </w:rPr>
              <w:t>》（GB12523-20</w:t>
            </w:r>
            <w:r>
              <w:rPr>
                <w:rFonts w:hint="default" w:ascii="Times New Roman" w:hAnsi="Times New Roman" w:cs="Times New Roman"/>
                <w:color w:val="auto"/>
                <w:highlight w:val="none"/>
                <w:lang w:val="en-US" w:eastAsia="zh-CN"/>
              </w:rPr>
              <w:t>25</w:t>
            </w:r>
            <w:r>
              <w:rPr>
                <w:rFonts w:hint="default" w:ascii="Times New Roman" w:hAnsi="Times New Roman" w:cs="Times New Roman"/>
                <w:color w:val="auto"/>
                <w:highlight w:val="none"/>
              </w:rPr>
              <w:t>）中</w:t>
            </w:r>
            <w:r>
              <w:rPr>
                <w:rFonts w:hint="default" w:ascii="Times New Roman" w:hAnsi="Times New Roman" w:cs="Times New Roman"/>
                <w:b w:val="0"/>
                <w:bCs w:val="0"/>
                <w:color w:val="auto"/>
                <w:sz w:val="24"/>
                <w:szCs w:val="24"/>
                <w:highlight w:val="none"/>
                <w:lang w:eastAsia="zh-CN"/>
              </w:rPr>
              <w:t>标准限值要求</w:t>
            </w:r>
            <w:r>
              <w:rPr>
                <w:rFonts w:hint="default" w:ascii="Times New Roman" w:hAnsi="Times New Roman" w:cs="Times New Roman"/>
                <w:color w:val="auto"/>
                <w:highlight w:val="none"/>
              </w:rPr>
              <w:t>。</w:t>
            </w:r>
          </w:p>
          <w:p w14:paraId="1FA3A292">
            <w:pPr>
              <w:pStyle w:val="64"/>
              <w:adjustRightInd w:val="0"/>
              <w:spacing w:beforeLines="50" w:line="240" w:lineRule="auto"/>
              <w:ind w:firstLine="422"/>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表3-1</w:t>
            </w:r>
            <w:r>
              <w:rPr>
                <w:rFonts w:hint="eastAsia"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建筑施工场界噪声限值</w:t>
            </w:r>
          </w:p>
          <w:tbl>
            <w:tblPr>
              <w:tblStyle w:val="2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16"/>
              <w:gridCol w:w="3735"/>
            </w:tblGrid>
            <w:tr w14:paraId="5A1A7C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000" w:type="pct"/>
                  <w:gridSpan w:val="2"/>
                  <w:tcBorders>
                    <w:tl2br w:val="nil"/>
                    <w:tr2bl w:val="nil"/>
                  </w:tcBorders>
                  <w:noWrap w:val="0"/>
                  <w:vAlign w:val="center"/>
                </w:tcPr>
                <w:p w14:paraId="03DD9903">
                  <w:pPr>
                    <w:pStyle w:val="59"/>
                    <w:rPr>
                      <w:rFonts w:hint="default" w:ascii="Times New Roman" w:hAnsi="Times New Roman" w:cs="Times New Roman"/>
                    </w:rPr>
                  </w:pPr>
                  <w:r>
                    <w:rPr>
                      <w:rFonts w:hint="default" w:ascii="Times New Roman" w:hAnsi="Times New Roman" w:cs="Times New Roman"/>
                    </w:rPr>
                    <w:t>噪声限值dB(A)</w:t>
                  </w:r>
                </w:p>
              </w:tc>
            </w:tr>
            <w:tr w14:paraId="77FD66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527" w:type="pct"/>
                  <w:tcBorders>
                    <w:tl2br w:val="nil"/>
                    <w:tr2bl w:val="nil"/>
                  </w:tcBorders>
                  <w:noWrap w:val="0"/>
                  <w:vAlign w:val="center"/>
                </w:tcPr>
                <w:p w14:paraId="4ED260AA">
                  <w:pPr>
                    <w:pStyle w:val="59"/>
                    <w:rPr>
                      <w:rFonts w:hint="default" w:ascii="Times New Roman" w:hAnsi="Times New Roman" w:cs="Times New Roman"/>
                    </w:rPr>
                  </w:pPr>
                  <w:r>
                    <w:rPr>
                      <w:rFonts w:hint="default" w:ascii="Times New Roman" w:hAnsi="Times New Roman" w:cs="Times New Roman"/>
                    </w:rPr>
                    <w:t>昼间</w:t>
                  </w:r>
                </w:p>
              </w:tc>
              <w:tc>
                <w:tcPr>
                  <w:tcW w:w="2472" w:type="pct"/>
                  <w:tcBorders>
                    <w:tl2br w:val="nil"/>
                    <w:tr2bl w:val="nil"/>
                  </w:tcBorders>
                  <w:noWrap w:val="0"/>
                  <w:vAlign w:val="center"/>
                </w:tcPr>
                <w:p w14:paraId="17D21D0C">
                  <w:pPr>
                    <w:pStyle w:val="59"/>
                    <w:rPr>
                      <w:rFonts w:hint="default" w:ascii="Times New Roman" w:hAnsi="Times New Roman" w:cs="Times New Roman"/>
                    </w:rPr>
                  </w:pPr>
                  <w:r>
                    <w:rPr>
                      <w:rFonts w:hint="default" w:ascii="Times New Roman" w:hAnsi="Times New Roman" w:cs="Times New Roman"/>
                    </w:rPr>
                    <w:t>夜间</w:t>
                  </w:r>
                </w:p>
              </w:tc>
            </w:tr>
            <w:tr w14:paraId="4BFD56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527" w:type="pct"/>
                  <w:tcBorders>
                    <w:tl2br w:val="nil"/>
                    <w:tr2bl w:val="nil"/>
                  </w:tcBorders>
                  <w:noWrap w:val="0"/>
                  <w:vAlign w:val="center"/>
                </w:tcPr>
                <w:p w14:paraId="7426F7CC">
                  <w:pPr>
                    <w:pStyle w:val="59"/>
                    <w:rPr>
                      <w:rFonts w:hint="default" w:ascii="Times New Roman" w:hAnsi="Times New Roman" w:cs="Times New Roman"/>
                    </w:rPr>
                  </w:pPr>
                  <w:r>
                    <w:rPr>
                      <w:rFonts w:hint="default" w:ascii="Times New Roman" w:hAnsi="Times New Roman" w:cs="Times New Roman"/>
                    </w:rPr>
                    <w:t>70</w:t>
                  </w:r>
                </w:p>
              </w:tc>
              <w:tc>
                <w:tcPr>
                  <w:tcW w:w="2472" w:type="pct"/>
                  <w:tcBorders>
                    <w:tl2br w:val="nil"/>
                    <w:tr2bl w:val="nil"/>
                  </w:tcBorders>
                  <w:noWrap w:val="0"/>
                  <w:vAlign w:val="center"/>
                </w:tcPr>
                <w:p w14:paraId="5CCE9819">
                  <w:pPr>
                    <w:pStyle w:val="59"/>
                    <w:rPr>
                      <w:rFonts w:hint="default" w:ascii="Times New Roman" w:hAnsi="Times New Roman" w:cs="Times New Roman"/>
                    </w:rPr>
                  </w:pPr>
                  <w:r>
                    <w:rPr>
                      <w:rFonts w:hint="default" w:ascii="Times New Roman" w:hAnsi="Times New Roman" w:cs="Times New Roman"/>
                    </w:rPr>
                    <w:t>55</w:t>
                  </w:r>
                </w:p>
              </w:tc>
            </w:tr>
            <w:tr w14:paraId="38ADD0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tblHeader/>
                <w:jc w:val="center"/>
              </w:trPr>
              <w:tc>
                <w:tcPr>
                  <w:tcW w:w="5000" w:type="pct"/>
                  <w:gridSpan w:val="2"/>
                  <w:tcBorders>
                    <w:tl2br w:val="nil"/>
                    <w:tr2bl w:val="nil"/>
                  </w:tcBorders>
                  <w:noWrap w:val="0"/>
                  <w:vAlign w:val="center"/>
                </w:tcPr>
                <w:p w14:paraId="0181A7BB">
                  <w:pPr>
                    <w:pStyle w:val="59"/>
                    <w:rPr>
                      <w:rFonts w:hint="default" w:ascii="Times New Roman" w:hAnsi="Times New Roman" w:cs="Times New Roman"/>
                    </w:rPr>
                  </w:pPr>
                  <w:r>
                    <w:rPr>
                      <w:rFonts w:hint="default" w:ascii="Times New Roman" w:hAnsi="Times New Roman" w:cs="Times New Roman"/>
                    </w:rPr>
                    <w:t>备注：夜间噪声最大声级超过限值的幅度不得高于15dB(A)</w:t>
                  </w:r>
                </w:p>
              </w:tc>
            </w:tr>
          </w:tbl>
          <w:p w14:paraId="6B76300A">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（3）固体废物</w:t>
            </w:r>
          </w:p>
          <w:p w14:paraId="67D66460">
            <w:pPr>
              <w:numPr>
                <w:ilvl w:val="0"/>
                <w:numId w:val="0"/>
              </w:numPr>
              <w:adjustRightInd w:val="0"/>
              <w:snapToGrid w:val="0"/>
              <w:spacing w:line="360" w:lineRule="auto"/>
              <w:ind w:left="0" w:leftChars="0" w:firstLine="480" w:firstLineChars="200"/>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施工期生活垃圾集中收集后交由环卫部门清运处置；植物根系等一般固废运至垃圾收集点处理。</w:t>
            </w:r>
          </w:p>
        </w:tc>
      </w:tr>
      <w:tr w14:paraId="68608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28" w:hRule="atLeast"/>
          <w:jc w:val="center"/>
        </w:trPr>
        <w:tc>
          <w:tcPr>
            <w:tcW w:w="443" w:type="pct"/>
            <w:noWrap w:val="0"/>
            <w:vAlign w:val="center"/>
          </w:tcPr>
          <w:p w14:paraId="6FD6DAA4">
            <w:pPr>
              <w:adjustRightInd w:val="0"/>
              <w:snapToGrid w:val="0"/>
              <w:ind w:left="0" w:leftChars="0" w:firstLine="0" w:firstLineChars="0"/>
              <w:jc w:val="both"/>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其他</w:t>
            </w:r>
          </w:p>
        </w:tc>
        <w:tc>
          <w:tcPr>
            <w:tcW w:w="4556" w:type="pct"/>
            <w:noWrap w:val="0"/>
            <w:vAlign w:val="center"/>
          </w:tcPr>
          <w:p w14:paraId="3C151DEC">
            <w:pPr>
              <w:adjustRightInd w:val="0"/>
              <w:snapToGrid w:val="0"/>
              <w:spacing w:line="360" w:lineRule="auto"/>
              <w:ind w:firstLine="480" w:firstLineChars="200"/>
              <w:jc w:val="left"/>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本项目属于以生态环境影响为主的项目，污染影响主要发生在施工期，运营期无废气、废水污染物排放，因此本项目不设置总量控制指标</w:t>
            </w:r>
            <w:r>
              <w:rPr>
                <w:rFonts w:hint="eastAsia" w:ascii="宋体" w:hAnsi="宋体" w:eastAsia="宋体" w:cs="宋体"/>
                <w:color w:val="000000" w:themeColor="text1"/>
                <w:kern w:val="0"/>
                <w:sz w:val="24"/>
                <w:szCs w:val="24"/>
                <w:lang w:eastAsia="zh-CN"/>
                <w14:textFill>
                  <w14:solidFill>
                    <w14:schemeClr w14:val="tx1"/>
                  </w14:solidFill>
                </w14:textFill>
              </w:rPr>
              <w:t>。</w:t>
            </w:r>
          </w:p>
        </w:tc>
      </w:tr>
    </w:tbl>
    <w:p w14:paraId="2B03D4E6">
      <w:pPr>
        <w:pStyle w:val="24"/>
        <w:adjustRightInd w:val="0"/>
        <w:snapToGrid w:val="0"/>
        <w:spacing w:before="0" w:beforeAutospacing="0" w:after="0" w:afterAutospacing="0" w:line="14" w:lineRule="auto"/>
        <w:jc w:val="center"/>
        <w:outlineLvl w:val="9"/>
        <w:rPr>
          <w:rFonts w:hint="default" w:ascii="Times New Roman" w:hAnsi="Times New Roman" w:eastAsia="仿宋" w:cs="Times New Roman"/>
          <w:snapToGrid w:val="0"/>
          <w:color w:val="000000" w:themeColor="text1"/>
          <w:kern w:val="2"/>
          <w:sz w:val="36"/>
          <w:szCs w:val="36"/>
          <w14:textFill>
            <w14:solidFill>
              <w14:schemeClr w14:val="tx1"/>
            </w14:solidFill>
          </w14:textFill>
        </w:rPr>
      </w:pPr>
    </w:p>
    <w:p w14:paraId="506D5F33">
      <w:pPr>
        <w:pStyle w:val="24"/>
        <w:jc w:val="center"/>
        <w:outlineLvl w:val="0"/>
        <w:rPr>
          <w:rFonts w:hint="default" w:ascii="Times New Roman" w:hAnsi="Times New Roman" w:eastAsia="仿宋" w:cs="Times New Roman"/>
          <w:b/>
          <w:bCs/>
          <w:snapToGrid w:val="0"/>
          <w:color w:val="000000" w:themeColor="text1"/>
          <w:sz w:val="30"/>
          <w:szCs w:val="30"/>
          <w14:textFill>
            <w14:solidFill>
              <w14:schemeClr w14:val="tx1"/>
            </w14:solidFill>
          </w14:textFill>
        </w:rPr>
      </w:pPr>
      <w:r>
        <w:rPr>
          <w:rFonts w:hint="default" w:ascii="Times New Roman" w:hAnsi="Times New Roman" w:eastAsia="仿宋" w:cs="Times New Roman"/>
          <w:snapToGrid w:val="0"/>
          <w:color w:val="000000" w:themeColor="text1"/>
          <w:kern w:val="2"/>
          <w:sz w:val="36"/>
          <w:szCs w:val="36"/>
          <w14:textFill>
            <w14:solidFill>
              <w14:schemeClr w14:val="tx1"/>
            </w14:solidFill>
          </w14:textFill>
        </w:rPr>
        <w:br w:type="page"/>
      </w:r>
      <w:r>
        <w:rPr>
          <w:rFonts w:hint="default" w:ascii="Times New Roman" w:hAnsi="Times New Roman" w:eastAsia="仿宋" w:cs="Times New Roman"/>
          <w:b/>
          <w:bCs/>
          <w:snapToGrid w:val="0"/>
          <w:color w:val="000000" w:themeColor="text1"/>
          <w:sz w:val="30"/>
          <w:szCs w:val="30"/>
          <w14:textFill>
            <w14:solidFill>
              <w14:schemeClr w14:val="tx1"/>
            </w14:solidFill>
          </w14:textFill>
        </w:rPr>
        <w:t>四、生态环境影响分析</w:t>
      </w:r>
    </w:p>
    <w:tbl>
      <w:tblPr>
        <w:tblStyle w:val="27"/>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7944"/>
      </w:tblGrid>
      <w:tr w14:paraId="533D4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244" w:type="pct"/>
            <w:noWrap w:val="0"/>
            <w:tcMar>
              <w:left w:w="28" w:type="dxa"/>
              <w:right w:w="28" w:type="dxa"/>
            </w:tcMar>
            <w:vAlign w:val="center"/>
          </w:tcPr>
          <w:p w14:paraId="27E0BE58">
            <w:pPr>
              <w:pStyle w:val="24"/>
              <w:keepNext w:val="0"/>
              <w:keepLines w:val="0"/>
              <w:pageBreakBefore w:val="0"/>
              <w:widowControl/>
              <w:kinsoku/>
              <w:wordWrap/>
              <w:overflowPunct/>
              <w:topLinePunct w:val="0"/>
              <w:autoSpaceDE/>
              <w:autoSpaceDN/>
              <w:bidi w:val="0"/>
              <w:adjustRightInd w:val="0"/>
              <w:snapToGrid w:val="0"/>
              <w:spacing w:before="0" w:beforeAutospacing="0" w:after="0" w:afterAutospacing="0"/>
              <w:ind w:left="0" w:leftChars="0" w:firstLine="0" w:firstLineChars="0"/>
              <w:jc w:val="both"/>
              <w:textAlignment w:val="auto"/>
              <w:rPr>
                <w:rFonts w:hint="default" w:ascii="Times New Roman" w:hAnsi="Times New Roman" w:eastAsia="仿宋" w:cs="Times New Roman"/>
                <w:bCs/>
                <w:color w:val="000000" w:themeColor="text1"/>
                <w:kern w:val="2"/>
                <w:sz w:val="21"/>
                <w:szCs w:val="21"/>
                <w14:textFill>
                  <w14:solidFill>
                    <w14:schemeClr w14:val="tx1"/>
                  </w14:solidFill>
                </w14:textFill>
              </w:rPr>
            </w:pPr>
            <w:bookmarkStart w:id="17" w:name="_Hlk49796138"/>
            <w:r>
              <w:rPr>
                <w:rFonts w:hint="default" w:ascii="Times New Roman" w:hAnsi="Times New Roman" w:eastAsia="仿宋" w:cs="Times New Roman"/>
                <w:bCs/>
                <w:color w:val="000000" w:themeColor="text1"/>
                <w:spacing w:val="10"/>
                <w:kern w:val="2"/>
                <w:sz w:val="28"/>
                <w:szCs w:val="28"/>
                <w:lang w:eastAsia="zh-CN"/>
                <w14:textFill>
                  <w14:solidFill>
                    <w14:schemeClr w14:val="tx1"/>
                  </w14:solidFill>
                </w14:textFill>
              </w:rPr>
              <w:t>施</w:t>
            </w:r>
            <w:r>
              <w:rPr>
                <w:rFonts w:hint="default" w:ascii="Times New Roman" w:hAnsi="Times New Roman" w:eastAsia="仿宋" w:cs="Times New Roman"/>
                <w:bCs/>
                <w:color w:val="000000" w:themeColor="text1"/>
                <w:spacing w:val="10"/>
                <w:kern w:val="2"/>
                <w:sz w:val="28"/>
                <w:szCs w:val="28"/>
                <w14:textFill>
                  <w14:solidFill>
                    <w14:schemeClr w14:val="tx1"/>
                  </w14:solidFill>
                </w14:textFill>
              </w:rPr>
              <w:t>工期生态环境影响分析</w:t>
            </w:r>
            <w:bookmarkEnd w:id="17"/>
          </w:p>
        </w:tc>
        <w:tc>
          <w:tcPr>
            <w:tcW w:w="4755" w:type="pct"/>
            <w:noWrap w:val="0"/>
            <w:vAlign w:val="top"/>
          </w:tcPr>
          <w:p w14:paraId="3A95C553">
            <w:pPr>
              <w:keepNext w:val="0"/>
              <w:keepLines w:val="0"/>
              <w:widowControl/>
              <w:numPr>
                <w:ilvl w:val="0"/>
                <w:numId w:val="0"/>
              </w:numPr>
              <w:suppressLineNumbers w:val="0"/>
              <w:jc w:val="left"/>
              <w:rPr>
                <w:rFonts w:hint="default" w:ascii="Times New Roman" w:hAnsi="Times New Roman" w:eastAsia="宋体" w:cs="Times New Roman"/>
                <w:b/>
                <w:bCs/>
                <w:color w:val="000000" w:themeColor="text1"/>
                <w:spacing w:val="-7"/>
                <w:sz w:val="28"/>
                <w:szCs w:val="28"/>
                <w14:textFill>
                  <w14:solidFill>
                    <w14:schemeClr w14:val="tx1"/>
                  </w14:solidFill>
                </w14:textFill>
              </w:rPr>
            </w:pPr>
            <w:r>
              <w:rPr>
                <w:rFonts w:hint="default" w:ascii="Times New Roman" w:hAnsi="Times New Roman" w:eastAsia="宋体" w:cs="Times New Roman"/>
                <w:b/>
                <w:bCs/>
                <w:color w:val="000000" w:themeColor="text1"/>
                <w:spacing w:val="-7"/>
                <w:sz w:val="28"/>
                <w:szCs w:val="28"/>
                <w14:textFill>
                  <w14:solidFill>
                    <w14:schemeClr w14:val="tx1"/>
                  </w14:solidFill>
                </w14:textFill>
              </w:rPr>
              <w:t>4.1施工期生态环境影响分析</w:t>
            </w:r>
          </w:p>
          <w:p w14:paraId="27E0803A">
            <w:pPr>
              <w:keepNext w:val="0"/>
              <w:keepLines w:val="0"/>
              <w:widowControl/>
              <w:numPr>
                <w:ilvl w:val="0"/>
                <w:numId w:val="0"/>
              </w:numPr>
              <w:suppressLineNumbers w:val="0"/>
              <w:ind w:firstLine="452" w:firstLineChars="200"/>
              <w:jc w:val="left"/>
              <w:rPr>
                <w:rFonts w:hint="default" w:ascii="Times New Roman" w:hAnsi="Times New Roman" w:eastAsia="宋体" w:cs="Times New Roman"/>
                <w:color w:val="000000" w:themeColor="text1"/>
                <w:spacing w:val="-7"/>
                <w:sz w:val="24"/>
                <w:szCs w:val="24"/>
                <w14:textFill>
                  <w14:solidFill>
                    <w14:schemeClr w14:val="tx1"/>
                  </w14:solidFill>
                </w14:textFill>
              </w:rPr>
            </w:pPr>
            <w:r>
              <w:rPr>
                <w:rFonts w:hint="default" w:ascii="Times New Roman" w:hAnsi="Times New Roman" w:eastAsia="宋体" w:cs="Times New Roman"/>
                <w:color w:val="000000" w:themeColor="text1"/>
                <w:spacing w:val="-7"/>
                <w:sz w:val="24"/>
                <w:szCs w:val="24"/>
                <w14:textFill>
                  <w14:solidFill>
                    <w14:schemeClr w14:val="tx1"/>
                  </w14:solidFill>
                </w14:textFill>
              </w:rPr>
              <w:t>项目施工工期为</w:t>
            </w:r>
            <w:r>
              <w:rPr>
                <w:rFonts w:hint="default" w:ascii="Times New Roman" w:hAnsi="Times New Roman" w:eastAsia="宋体" w:cs="Times New Roman"/>
                <w:color w:val="000000" w:themeColor="text1"/>
                <w:spacing w:val="-7"/>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pacing w:val="-7"/>
                <w:sz w:val="24"/>
                <w:szCs w:val="24"/>
                <w14:textFill>
                  <w14:solidFill>
                    <w14:schemeClr w14:val="tx1"/>
                  </w14:solidFill>
                </w14:textFill>
              </w:rPr>
              <w:t>个月，施工人员为</w:t>
            </w:r>
            <w:r>
              <w:rPr>
                <w:rFonts w:hint="default" w:ascii="Times New Roman" w:hAnsi="Times New Roman" w:cs="Times New Roman"/>
                <w:color w:val="000000" w:themeColor="text1"/>
                <w:spacing w:val="-7"/>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pacing w:val="-7"/>
                <w:sz w:val="24"/>
                <w:szCs w:val="24"/>
                <w14:textFill>
                  <w14:solidFill>
                    <w14:schemeClr w14:val="tx1"/>
                  </w14:solidFill>
                </w14:textFill>
              </w:rPr>
              <w:t>0人。施工期主要环境污染为施工机械噪声、施工</w:t>
            </w:r>
            <w:bookmarkStart w:id="18" w:name="OLE_LINK46"/>
            <w:r>
              <w:rPr>
                <w:rFonts w:hint="default" w:ascii="Times New Roman" w:hAnsi="Times New Roman" w:eastAsia="宋体" w:cs="Times New Roman"/>
                <w:color w:val="000000" w:themeColor="text1"/>
                <w:spacing w:val="-7"/>
                <w:sz w:val="24"/>
                <w:szCs w:val="24"/>
                <w14:textFill>
                  <w14:solidFill>
                    <w14:schemeClr w14:val="tx1"/>
                  </w14:solidFill>
                </w14:textFill>
              </w:rPr>
              <w:t>人员生活污水及生活</w:t>
            </w:r>
            <w:bookmarkEnd w:id="18"/>
            <w:r>
              <w:rPr>
                <w:rFonts w:hint="default" w:ascii="Times New Roman" w:hAnsi="Times New Roman" w:eastAsia="宋体" w:cs="Times New Roman"/>
                <w:color w:val="000000" w:themeColor="text1"/>
                <w:spacing w:val="-7"/>
                <w:sz w:val="24"/>
                <w:szCs w:val="24"/>
                <w14:textFill>
                  <w14:solidFill>
                    <w14:schemeClr w14:val="tx1"/>
                  </w14:solidFill>
                </w14:textFill>
              </w:rPr>
              <w:t>垃圾、施工废水、施工场地扬尘、施工机械和汽车尾气</w:t>
            </w:r>
            <w:r>
              <w:rPr>
                <w:rFonts w:hint="eastAsia" w:cs="Times New Roman"/>
                <w:color w:val="000000" w:themeColor="text1"/>
                <w:spacing w:val="-7"/>
                <w:sz w:val="24"/>
                <w:szCs w:val="24"/>
                <w:lang w:eastAsia="zh-CN"/>
                <w14:textFill>
                  <w14:solidFill>
                    <w14:schemeClr w14:val="tx1"/>
                  </w14:solidFill>
                </w14:textFill>
              </w:rPr>
              <w:t>、</w:t>
            </w:r>
            <w:r>
              <w:rPr>
                <w:rFonts w:hint="eastAsia" w:cs="Times New Roman"/>
                <w:color w:val="000000" w:themeColor="text1"/>
                <w:spacing w:val="-7"/>
                <w:sz w:val="24"/>
                <w:szCs w:val="24"/>
                <w:lang w:val="en-US" w:eastAsia="zh-CN"/>
                <w14:textFill>
                  <w14:solidFill>
                    <w14:schemeClr w14:val="tx1"/>
                  </w14:solidFill>
                </w14:textFill>
              </w:rPr>
              <w:t>建筑垃圾</w:t>
            </w:r>
            <w:r>
              <w:rPr>
                <w:rFonts w:hint="default" w:ascii="Times New Roman" w:hAnsi="Times New Roman" w:eastAsia="宋体" w:cs="Times New Roman"/>
                <w:color w:val="000000" w:themeColor="text1"/>
                <w:spacing w:val="-7"/>
                <w:sz w:val="24"/>
                <w:szCs w:val="24"/>
                <w14:textFill>
                  <w14:solidFill>
                    <w14:schemeClr w14:val="tx1"/>
                  </w14:solidFill>
                </w14:textFill>
              </w:rPr>
              <w:t>等。</w:t>
            </w:r>
          </w:p>
          <w:p w14:paraId="7CCA157A">
            <w:pPr>
              <w:pStyle w:val="8"/>
              <w:ind w:left="0" w:leftChars="0" w:firstLine="0" w:firstLineChars="0"/>
              <w:rPr>
                <w:rFonts w:hint="default" w:ascii="Times New Roman" w:hAnsi="Times New Roman" w:eastAsia="宋体" w:cs="Times New Roman"/>
                <w:b/>
                <w:bCs w:val="0"/>
                <w:color w:val="000000" w:themeColor="text1"/>
                <w:spacing w:val="-7"/>
                <w:sz w:val="28"/>
                <w:szCs w:val="28"/>
                <w14:textFill>
                  <w14:solidFill>
                    <w14:schemeClr w14:val="tx1"/>
                  </w14:solidFill>
                </w14:textFill>
              </w:rPr>
            </w:pPr>
            <w:r>
              <w:rPr>
                <w:rFonts w:hint="default" w:ascii="Times New Roman" w:hAnsi="Times New Roman" w:eastAsia="宋体" w:cs="Times New Roman"/>
                <w:b/>
                <w:bCs w:val="0"/>
                <w:color w:val="000000" w:themeColor="text1"/>
                <w:spacing w:val="-7"/>
                <w:sz w:val="28"/>
                <w:szCs w:val="28"/>
                <w14:textFill>
                  <w14:solidFill>
                    <w14:schemeClr w14:val="tx1"/>
                  </w14:solidFill>
                </w14:textFill>
              </w:rPr>
              <w:t>4.1.1环境空气影响分析</w:t>
            </w:r>
          </w:p>
          <w:p w14:paraId="41E82064">
            <w:pPr>
              <w:pStyle w:val="8"/>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pP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本项目施工期主要的大气污染源为河道清淤、护岸建设、</w:t>
            </w:r>
            <w:r>
              <w:rPr>
                <w:rFonts w:hint="default" w:ascii="Times New Roman" w:hAnsi="Times New Roman" w:cs="Times New Roman"/>
                <w:bCs w:val="0"/>
                <w:snapToGrid/>
                <w:color w:val="000000" w:themeColor="text1"/>
                <w:spacing w:val="-7"/>
                <w:kern w:val="2"/>
                <w:sz w:val="24"/>
                <w:szCs w:val="24"/>
                <w:lang w:val="en-US" w:eastAsia="zh-CN" w:bidi="ar-SA"/>
                <w14:textFill>
                  <w14:solidFill>
                    <w14:schemeClr w14:val="tx1"/>
                  </w14:solidFill>
                </w14:textFill>
              </w:rPr>
              <w:t>道路建设</w:t>
            </w:r>
            <w:r>
              <w:rPr>
                <w:rFonts w:hint="eastAsia" w:ascii="Times New Roman" w:hAnsi="Times New Roman" w:cs="Times New Roman"/>
                <w:bCs w:val="0"/>
                <w:snapToGrid/>
                <w:color w:val="000000" w:themeColor="text1"/>
                <w:spacing w:val="-7"/>
                <w:kern w:val="2"/>
                <w:sz w:val="24"/>
                <w:szCs w:val="24"/>
                <w:lang w:val="en-US" w:eastAsia="zh-CN" w:bidi="ar-SA"/>
                <w14:textFill>
                  <w14:solidFill>
                    <w14:schemeClr w14:val="tx1"/>
                  </w14:solidFill>
                </w14:textFill>
              </w:rPr>
              <w:t>、农渠改造</w:t>
            </w: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等过程中开挖和回填、物料堆放、建材运输等过程产生的施工作业面粉尘、各类施工机械和运输车辆排放的燃油尾气以、施工交通道路扬尘等，主要污染物为TSP、一氧化碳、氮氧化物等。其影响性质与程度和当地的气象条件、施工强度、工区地形等因素有关。</w:t>
            </w:r>
          </w:p>
          <w:p w14:paraId="04AA5B6F">
            <w:pP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pP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(1)施工扬尘</w:t>
            </w:r>
          </w:p>
          <w:p w14:paraId="1C0559B4">
            <w:pP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pP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①土石方开挖和裸露场地的风力扬尘</w:t>
            </w:r>
          </w:p>
          <w:p w14:paraId="7FE989C1">
            <w:pP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pP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本工程土石方开挖在短时间内产尘量较大，对现场施工人员将产生不利影响；项目表土清理过程及道路施工区域施工时将造成大面积地表裸露，在气候干燥又有风的情况下，会产生扬尘，同时土方清运过程也会扬起少量扬尘。</w:t>
            </w:r>
          </w:p>
          <w:p w14:paraId="666EF431">
            <w:pP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pP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②运输扬尘</w:t>
            </w:r>
          </w:p>
          <w:p w14:paraId="675A700E">
            <w:pP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pP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运输扬尘主要是由施工车辆在运输施工材料而引起，引起道路扬尘的因素较多，主要跟车辆行驶速度、风速、路面积尘量和路面积尘湿度有关，其中风速还直接影响到扬尘的传输距离，尤其遇到干旱少雨季节，更为严重，将对周围环境带来一定的影响。</w:t>
            </w:r>
          </w:p>
          <w:p w14:paraId="02852C01">
            <w:pPr>
              <w:pStyle w:val="8"/>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pP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(2)机械燃油废气</w:t>
            </w:r>
          </w:p>
          <w:p w14:paraId="533C2136">
            <w:pPr>
              <w:pStyle w:val="8"/>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pP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施工机械废气主要由施工燃油机械和运输车辆产生，污染物主要为CO、NOx和THC等。由于工程施工时间不长，施工机械数量有限，燃油废气排放量相对较小且呈面源污染形式，尾气扩散范围有限，施工机械设备施工作业时对环境空气的影响范围主要局限于施工区内，预计影响范围仅限于下风向20～30m范围内，同时废气污染源具有间歇性和流动性，且施工区域较为开阔，有利于空气扩散，因此，施工燃油机械和运输车辆产生的燃油废气在空气中经自然扩散和稀释后，对评价区域环境空气质量影响较小。</w:t>
            </w:r>
          </w:p>
          <w:p w14:paraId="68F8D1A8">
            <w:pPr>
              <w:pStyle w:val="8"/>
              <w:ind w:left="0" w:leftChars="0" w:firstLine="0" w:firstLineChars="0"/>
              <w:rPr>
                <w:rFonts w:hint="default" w:ascii="Times New Roman" w:hAnsi="Times New Roman" w:eastAsia="宋体" w:cs="Times New Roman"/>
                <w:b/>
                <w:bCs w:val="0"/>
                <w:color w:val="000000" w:themeColor="text1"/>
                <w:spacing w:val="-7"/>
                <w:sz w:val="28"/>
                <w:szCs w:val="28"/>
                <w14:textFill>
                  <w14:solidFill>
                    <w14:schemeClr w14:val="tx1"/>
                  </w14:solidFill>
                </w14:textFill>
              </w:rPr>
            </w:pPr>
            <w:r>
              <w:rPr>
                <w:rFonts w:hint="default" w:ascii="Times New Roman" w:hAnsi="Times New Roman" w:eastAsia="宋体" w:cs="Times New Roman"/>
                <w:b/>
                <w:bCs w:val="0"/>
                <w:color w:val="000000" w:themeColor="text1"/>
                <w:spacing w:val="-7"/>
                <w:sz w:val="28"/>
                <w:szCs w:val="28"/>
                <w14:textFill>
                  <w14:solidFill>
                    <w14:schemeClr w14:val="tx1"/>
                  </w14:solidFill>
                </w14:textFill>
              </w:rPr>
              <w:t>4.1.</w:t>
            </w:r>
            <w:r>
              <w:rPr>
                <w:rFonts w:hint="default" w:ascii="Times New Roman" w:hAnsi="Times New Roman" w:eastAsia="宋体" w:cs="Times New Roman"/>
                <w:b/>
                <w:bCs w:val="0"/>
                <w:color w:val="000000" w:themeColor="text1"/>
                <w:spacing w:val="-7"/>
                <w:sz w:val="28"/>
                <w:szCs w:val="28"/>
                <w:lang w:val="en-US" w:eastAsia="zh-CN"/>
                <w14:textFill>
                  <w14:solidFill>
                    <w14:schemeClr w14:val="tx1"/>
                  </w14:solidFill>
                </w14:textFill>
              </w:rPr>
              <w:t>2</w:t>
            </w:r>
            <w:r>
              <w:rPr>
                <w:rFonts w:hint="default" w:ascii="Times New Roman" w:hAnsi="Times New Roman" w:eastAsia="宋体" w:cs="Times New Roman"/>
                <w:b/>
                <w:bCs w:val="0"/>
                <w:color w:val="000000" w:themeColor="text1"/>
                <w:spacing w:val="-7"/>
                <w:sz w:val="28"/>
                <w:szCs w:val="28"/>
                <w14:textFill>
                  <w14:solidFill>
                    <w14:schemeClr w14:val="tx1"/>
                  </w14:solidFill>
                </w14:textFill>
              </w:rPr>
              <w:t>施工期水环境影响分析</w:t>
            </w:r>
          </w:p>
          <w:p w14:paraId="0F93165F">
            <w:pPr>
              <w:pStyle w:val="8"/>
              <w:rPr>
                <w:rFonts w:hint="default" w:ascii="Times New Roman" w:hAnsi="Times New Roman" w:eastAsia="仿宋" w:cs="Times New Roman"/>
                <w:bCs w:val="0"/>
                <w:snapToGrid/>
                <w:color w:val="000000" w:themeColor="text1"/>
                <w:spacing w:val="-7"/>
                <w:kern w:val="2"/>
                <w:sz w:val="24"/>
                <w:szCs w:val="24"/>
                <w:lang w:val="en-US" w:eastAsia="zh-CN" w:bidi="ar-SA"/>
                <w14:textFill>
                  <w14:solidFill>
                    <w14:schemeClr w14:val="tx1"/>
                  </w14:solidFill>
                </w14:textFill>
              </w:rPr>
            </w:pP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施工期工作人员按高峰期</w:t>
            </w:r>
            <w:r>
              <w:rPr>
                <w:rFonts w:hint="eastAsia" w:ascii="Times New Roman" w:hAnsi="Times New Roman" w:cs="Times New Roman"/>
                <w:bCs w:val="0"/>
                <w:snapToGrid/>
                <w:color w:val="000000" w:themeColor="text1"/>
                <w:spacing w:val="-7"/>
                <w:kern w:val="2"/>
                <w:sz w:val="24"/>
                <w:szCs w:val="24"/>
                <w:lang w:val="en-US" w:eastAsia="zh-CN" w:bidi="ar-SA"/>
                <w14:textFill>
                  <w14:solidFill>
                    <w14:schemeClr w14:val="tx1"/>
                  </w14:solidFill>
                </w14:textFill>
              </w:rPr>
              <w:t>50</w:t>
            </w: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人计，每人生活用水量为45L/d，则施工期生活用水量约</w:t>
            </w:r>
            <w:r>
              <w:rPr>
                <w:rFonts w:hint="eastAsia" w:ascii="Times New Roman" w:hAnsi="Times New Roman" w:cs="Times New Roman"/>
                <w:bCs w:val="0"/>
                <w:snapToGrid/>
                <w:color w:val="000000" w:themeColor="text1"/>
                <w:spacing w:val="-7"/>
                <w:kern w:val="2"/>
                <w:sz w:val="24"/>
                <w:szCs w:val="24"/>
                <w:lang w:val="en-US" w:eastAsia="zh-CN" w:bidi="ar-SA"/>
                <w14:textFill>
                  <w14:solidFill>
                    <w14:schemeClr w14:val="tx1"/>
                  </w14:solidFill>
                </w14:textFill>
              </w:rPr>
              <w:t>2.25</w:t>
            </w: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m</w:t>
            </w:r>
            <w:r>
              <w:rPr>
                <w:rFonts w:hint="default" w:ascii="Times New Roman" w:hAnsi="Times New Roman" w:eastAsia="宋体" w:cs="Times New Roman"/>
                <w:bCs w:val="0"/>
                <w:snapToGrid/>
                <w:color w:val="000000" w:themeColor="text1"/>
                <w:spacing w:val="-7"/>
                <w:kern w:val="2"/>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/d，施工期为9个月，生活废水排放系数取0.8，则生活污水排放量为</w:t>
            </w:r>
            <w:r>
              <w:rPr>
                <w:rFonts w:hint="eastAsia" w:ascii="Times New Roman" w:hAnsi="Times New Roman" w:cs="Times New Roman"/>
                <w:bCs w:val="0"/>
                <w:snapToGrid/>
                <w:color w:val="000000" w:themeColor="text1"/>
                <w:spacing w:val="-7"/>
                <w:kern w:val="2"/>
                <w:sz w:val="24"/>
                <w:szCs w:val="24"/>
                <w:lang w:val="en-US" w:eastAsia="zh-CN" w:bidi="ar-SA"/>
                <w14:textFill>
                  <w14:solidFill>
                    <w14:schemeClr w14:val="tx1"/>
                  </w14:solidFill>
                </w14:textFill>
              </w:rPr>
              <w:t>1.8</w:t>
            </w: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m</w:t>
            </w:r>
            <w:r>
              <w:rPr>
                <w:rFonts w:hint="default" w:ascii="Times New Roman" w:hAnsi="Times New Roman" w:eastAsia="宋体" w:cs="Times New Roman"/>
                <w:bCs w:val="0"/>
                <w:snapToGrid/>
                <w:color w:val="000000" w:themeColor="text1"/>
                <w:spacing w:val="-7"/>
                <w:kern w:val="2"/>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/d，类比同类项目知主要污染物及浓度为</w:t>
            </w:r>
            <w:bookmarkStart w:id="19" w:name="OLE_LINK82"/>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COD：350mg/L，BOD：200mg/L，SS：200mg/L，氨氮</w:t>
            </w:r>
            <w:bookmarkEnd w:id="19"/>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：35mg/L，洗漱废水可就地泼洒，不外排，</w:t>
            </w:r>
            <w:r>
              <w:rPr>
                <w:rFonts w:hint="eastAsia" w:ascii="Times New Roman" w:hAnsi="Times New Roman" w:cs="Times New Roman"/>
                <w:bCs w:val="0"/>
                <w:snapToGrid/>
                <w:color w:val="000000" w:themeColor="text1"/>
                <w:spacing w:val="-7"/>
                <w:kern w:val="2"/>
                <w:sz w:val="24"/>
                <w:szCs w:val="24"/>
                <w:lang w:val="en-US" w:eastAsia="zh-CN" w:bidi="ar-SA"/>
                <w14:textFill>
                  <w14:solidFill>
                    <w14:schemeClr w14:val="tx1"/>
                  </w14:solidFill>
                </w14:textFill>
              </w:rPr>
              <w:t>施工期人员依托周边居民厕所</w:t>
            </w:r>
            <w:r>
              <w:rPr>
                <w:rFonts w:hint="default" w:ascii="Times New Roman" w:hAnsi="Times New Roman" w:eastAsia="宋体" w:cs="Times New Roman"/>
                <w:bCs w:val="0"/>
                <w:snapToGrid/>
                <w:color w:val="000000" w:themeColor="text1"/>
                <w:spacing w:val="-7"/>
                <w:kern w:val="2"/>
                <w:sz w:val="24"/>
                <w:szCs w:val="24"/>
                <w:lang w:val="en-US" w:eastAsia="zh-CN" w:bidi="ar-SA"/>
                <w14:textFill>
                  <w14:solidFill>
                    <w14:schemeClr w14:val="tx1"/>
                  </w14:solidFill>
                </w14:textFill>
              </w:rPr>
              <w:t>。施工期生活废水的产生对周围地表水环境的影响不大。</w:t>
            </w:r>
          </w:p>
          <w:p w14:paraId="63BBA0AA">
            <w:pPr>
              <w:ind w:left="0" w:leftChars="0" w:firstLine="0" w:firstLineChars="0"/>
              <w:rPr>
                <w:rFonts w:hint="default" w:ascii="Times New Roman" w:hAnsi="Times New Roman" w:eastAsia="仿宋" w:cs="Times New Roman"/>
                <w:b/>
                <w:bCs/>
                <w:color w:val="000000" w:themeColor="text1"/>
                <w:spacing w:val="-7"/>
                <w:sz w:val="28"/>
                <w:szCs w:val="28"/>
                <w14:textFill>
                  <w14:solidFill>
                    <w14:schemeClr w14:val="tx1"/>
                  </w14:solidFill>
                </w14:textFill>
              </w:rPr>
            </w:pPr>
            <w:r>
              <w:rPr>
                <w:rFonts w:hint="default" w:ascii="Times New Roman" w:hAnsi="Times New Roman" w:eastAsia="仿宋" w:cs="Times New Roman"/>
                <w:b/>
                <w:bCs/>
                <w:color w:val="000000" w:themeColor="text1"/>
                <w:spacing w:val="-7"/>
                <w:sz w:val="28"/>
                <w:szCs w:val="28"/>
                <w:lang w:val="en-US" w:eastAsia="zh-CN"/>
                <w14:textFill>
                  <w14:solidFill>
                    <w14:schemeClr w14:val="tx1"/>
                  </w14:solidFill>
                </w14:textFill>
              </w:rPr>
              <w:t>4.1.</w:t>
            </w:r>
            <w:r>
              <w:rPr>
                <w:rFonts w:hint="default" w:ascii="Times New Roman" w:hAnsi="Times New Roman" w:eastAsia="仿宋" w:cs="Times New Roman"/>
                <w:b/>
                <w:bCs/>
                <w:color w:val="000000" w:themeColor="text1"/>
                <w:spacing w:val="-7"/>
                <w:sz w:val="28"/>
                <w:szCs w:val="28"/>
                <w14:textFill>
                  <w14:solidFill>
                    <w14:schemeClr w14:val="tx1"/>
                  </w14:solidFill>
                </w14:textFill>
              </w:rPr>
              <w:t>3施工期噪声影响分析</w:t>
            </w:r>
          </w:p>
          <w:p w14:paraId="17BA7857">
            <w:pPr>
              <w:pStyle w:val="8"/>
              <w:rPr>
                <w:rFonts w:hint="default" w:ascii="Times New Roman" w:hAnsi="Times New Roman" w:eastAsia="宋体" w:cs="Times New Roman"/>
                <w:color w:val="000000" w:themeColor="text1"/>
                <w:spacing w:val="-7"/>
                <w:sz w:val="24"/>
                <w:szCs w:val="24"/>
                <w:lang w:eastAsia="zh-CN"/>
                <w14:textFill>
                  <w14:solidFill>
                    <w14:schemeClr w14:val="tx1"/>
                  </w14:solidFill>
                </w14:textFill>
              </w:rPr>
            </w:pPr>
            <w:r>
              <w:rPr>
                <w:rFonts w:hint="default" w:ascii="Times New Roman" w:hAnsi="Times New Roman" w:eastAsia="宋体" w:cs="Times New Roman"/>
                <w:color w:val="000000" w:themeColor="text1"/>
                <w:spacing w:val="-7"/>
                <w:sz w:val="24"/>
                <w:szCs w:val="24"/>
                <w14:textFill>
                  <w14:solidFill>
                    <w14:schemeClr w14:val="tx1"/>
                  </w14:solidFill>
                </w14:textFill>
              </w:rPr>
              <w:t>施工期噪声源主要由施工过程设备机械噪声及运输车辆噪声两部分组成，项目机械施工多为分散、轮流间歇性施工，运输车辆噪声主要沿交通路线沿程排放，影响的主要对象为施工人员、施工区周围</w:t>
            </w:r>
            <w:r>
              <w:rPr>
                <w:rFonts w:hint="default" w:ascii="Times New Roman" w:hAnsi="Times New Roman" w:eastAsia="宋体" w:cs="Times New Roman"/>
                <w:color w:val="000000" w:themeColor="text1"/>
                <w:spacing w:val="-7"/>
                <w:sz w:val="24"/>
                <w:szCs w:val="24"/>
                <w:lang w:eastAsia="zh-CN"/>
                <w14:textFill>
                  <w14:solidFill>
                    <w14:schemeClr w14:val="tx1"/>
                  </w14:solidFill>
                </w14:textFill>
              </w:rPr>
              <w:t>。</w:t>
            </w:r>
          </w:p>
          <w:p w14:paraId="602D7E12">
            <w:pPr>
              <w:pStyle w:val="8"/>
              <w:rPr>
                <w:rFonts w:hint="default" w:ascii="Times New Roman" w:hAnsi="Times New Roman" w:eastAsia="宋体" w:cs="Times New Roman"/>
                <w:color w:val="000000" w:themeColor="text1"/>
                <w:spacing w:val="-7"/>
                <w:sz w:val="24"/>
                <w:szCs w:val="24"/>
                <w14:textFill>
                  <w14:solidFill>
                    <w14:schemeClr w14:val="tx1"/>
                  </w14:solidFill>
                </w14:textFill>
              </w:rPr>
            </w:pPr>
            <w:r>
              <w:rPr>
                <w:rFonts w:hint="default" w:ascii="Times New Roman" w:hAnsi="Times New Roman" w:eastAsia="宋体" w:cs="Times New Roman"/>
                <w:color w:val="000000" w:themeColor="text1"/>
                <w:spacing w:val="-7"/>
                <w:sz w:val="24"/>
                <w:szCs w:val="24"/>
                <w14:textFill>
                  <w14:solidFill>
                    <w14:schemeClr w14:val="tx1"/>
                  </w14:solidFill>
                </w14:textFill>
              </w:rPr>
              <w:t>施工噪声主要来源于施工开挖回填、机械运行和车辆运输等活动。固定噪声源主要有土石方开挖回填等处产生的噪声，主要机械有挖掘机</w:t>
            </w:r>
            <w:r>
              <w:rPr>
                <w:rFonts w:hint="default" w:ascii="Times New Roman" w:hAnsi="Times New Roman" w:eastAsia="宋体" w:cs="Times New Roman"/>
                <w:color w:val="000000" w:themeColor="text1"/>
                <w:spacing w:val="-7"/>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7"/>
                <w:sz w:val="24"/>
                <w:szCs w:val="24"/>
                <w14:textFill>
                  <w14:solidFill>
                    <w14:schemeClr w14:val="tx1"/>
                  </w14:solidFill>
                </w14:textFill>
              </w:rPr>
              <w:t>推土机</w:t>
            </w:r>
            <w:r>
              <w:rPr>
                <w:rFonts w:hint="default" w:ascii="Times New Roman" w:hAnsi="Times New Roman" w:eastAsia="宋体" w:cs="Times New Roman"/>
                <w:color w:val="000000" w:themeColor="text1"/>
                <w:spacing w:val="-7"/>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7"/>
                <w:sz w:val="24"/>
                <w:szCs w:val="24"/>
                <w14:textFill>
                  <w14:solidFill>
                    <w14:schemeClr w14:val="tx1"/>
                  </w14:solidFill>
                </w14:textFill>
              </w:rPr>
              <w:t>自卸汽车</w:t>
            </w:r>
            <w:r>
              <w:rPr>
                <w:rFonts w:hint="default" w:ascii="Times New Roman" w:hAnsi="Times New Roman" w:eastAsia="宋体" w:cs="Times New Roman"/>
                <w:color w:val="000000" w:themeColor="text1"/>
                <w:spacing w:val="-7"/>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7"/>
                <w:sz w:val="24"/>
                <w:szCs w:val="24"/>
                <w14:textFill>
                  <w14:solidFill>
                    <w14:schemeClr w14:val="tx1"/>
                  </w14:solidFill>
                </w14:textFill>
              </w:rPr>
              <w:t>农用拖拉机等，此类噪声源声级与施工机械种类有关，一般在80~</w:t>
            </w:r>
            <w:r>
              <w:rPr>
                <w:rFonts w:hint="default" w:ascii="Times New Roman" w:hAnsi="Times New Roman" w:eastAsia="宋体" w:cs="Times New Roman"/>
                <w:color w:val="000000" w:themeColor="text1"/>
                <w:spacing w:val="-7"/>
                <w:sz w:val="24"/>
                <w:szCs w:val="24"/>
                <w:lang w:val="en-US" w:eastAsia="zh-CN"/>
                <w14:textFill>
                  <w14:solidFill>
                    <w14:schemeClr w14:val="tx1"/>
                  </w14:solidFill>
                </w14:textFill>
              </w:rPr>
              <w:t>90</w:t>
            </w:r>
            <w:r>
              <w:rPr>
                <w:rFonts w:hint="default" w:ascii="Times New Roman" w:hAnsi="Times New Roman" w:eastAsia="宋体" w:cs="Times New Roman"/>
                <w:color w:val="000000" w:themeColor="text1"/>
                <w:spacing w:val="-7"/>
                <w:sz w:val="24"/>
                <w:szCs w:val="24"/>
                <w14:textFill>
                  <w14:solidFill>
                    <w14:schemeClr w14:val="tx1"/>
                  </w14:solidFill>
                </w14:textFill>
              </w:rPr>
              <w:t>dB(A)之间。</w:t>
            </w:r>
          </w:p>
          <w:p w14:paraId="7FF46991">
            <w:pPr>
              <w:pStyle w:val="8"/>
              <w:rPr>
                <w:rFonts w:hint="default" w:ascii="Times New Roman" w:hAnsi="Times New Roman" w:eastAsia="仿宋" w:cs="Times New Roman"/>
                <w:color w:val="000000" w:themeColor="text1"/>
                <w:spacing w:val="-7"/>
                <w:sz w:val="28"/>
                <w:szCs w:val="28"/>
                <w:lang w:val="en-US" w:eastAsia="zh-CN"/>
                <w14:textFill>
                  <w14:solidFill>
                    <w14:schemeClr w14:val="tx1"/>
                  </w14:solidFill>
                </w14:textFill>
              </w:rPr>
            </w:pPr>
            <w:r>
              <w:rPr>
                <w:rFonts w:hint="default" w:ascii="Times New Roman" w:hAnsi="Times New Roman" w:eastAsia="宋体" w:cs="Times New Roman"/>
                <w:color w:val="000000" w:themeColor="text1"/>
                <w:spacing w:val="-7"/>
                <w:sz w:val="24"/>
                <w:szCs w:val="24"/>
                <w14:textFill>
                  <w14:solidFill>
                    <w14:schemeClr w14:val="tx1"/>
                  </w14:solidFill>
                </w14:textFill>
              </w:rPr>
              <w:t>流动的交通噪声主要来源于自卸汽车、载重汽车等运输和装卸过程中，其特点为源强大、流动性强，与车辆运行状况有关，一般在88~90dB(A)之间。</w:t>
            </w:r>
          </w:p>
          <w:p w14:paraId="27DE809B">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（1）施工区点源噪声影响分析</w:t>
            </w:r>
          </w:p>
          <w:p w14:paraId="0222AED4">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施工期机械设备噪声源可近似视为点源，根据点源衰减模式，计算施工期间离声源不同距离离处的噪声值，预测模式如下：</w:t>
            </w:r>
          </w:p>
          <w:p w14:paraId="037D7D4B">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drawing>
                <wp:inline distT="0" distB="0" distL="114300" distR="114300">
                  <wp:extent cx="1543050" cy="428625"/>
                  <wp:effectExtent l="0" t="0" r="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tretch>
                            <a:fillRect/>
                          </a:stretch>
                        </pic:blipFill>
                        <pic:spPr>
                          <a:xfrm>
                            <a:off x="0" y="0"/>
                            <a:ext cx="1543050" cy="428625"/>
                          </a:xfrm>
                          <a:prstGeom prst="rect">
                            <a:avLst/>
                          </a:prstGeom>
                          <a:noFill/>
                          <a:ln>
                            <a:noFill/>
                          </a:ln>
                        </pic:spPr>
                      </pic:pic>
                    </a:graphicData>
                  </a:graphic>
                </wp:inline>
              </w:drawing>
            </w:r>
          </w:p>
          <w:p w14:paraId="592C8888">
            <w:pPr>
              <w:pStyle w:val="34"/>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drawing>
                <wp:inline distT="0" distB="0" distL="114300" distR="114300">
                  <wp:extent cx="1238250" cy="390525"/>
                  <wp:effectExtent l="0" t="0" r="0" b="952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1"/>
                          <a:stretch>
                            <a:fillRect/>
                          </a:stretch>
                        </pic:blipFill>
                        <pic:spPr>
                          <a:xfrm>
                            <a:off x="0" y="0"/>
                            <a:ext cx="1238250" cy="390525"/>
                          </a:xfrm>
                          <a:prstGeom prst="rect">
                            <a:avLst/>
                          </a:prstGeom>
                          <a:noFill/>
                          <a:ln>
                            <a:noFill/>
                          </a:ln>
                        </pic:spPr>
                      </pic:pic>
                    </a:graphicData>
                  </a:graphic>
                </wp:inline>
              </w:drawing>
            </w:r>
          </w:p>
          <w:p w14:paraId="4E3BE7BF">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式中：Lri —距i点源r处的噪声值，dB(A)；</w:t>
            </w:r>
          </w:p>
          <w:p w14:paraId="6054E508">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Lr0i—距i点源r0(参考点)处的噪声值，dB(A)；</w:t>
            </w:r>
          </w:p>
          <w:p w14:paraId="63E9C109">
            <w:pPr>
              <w:ind w:firstLine="1200" w:firstLineChars="5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微软雅黑"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S</w:t>
            </w:r>
            <w:r>
              <w:rPr>
                <w:rFonts w:hint="default" w:ascii="Times New Roman" w:hAnsi="Times New Roman" w:eastAsia="宋体" w:cs="Times New Roman"/>
                <w:color w:val="000000" w:themeColor="text1"/>
                <w:sz w:val="24"/>
                <w:szCs w:val="24"/>
                <w14:textFill>
                  <w14:solidFill>
                    <w14:schemeClr w14:val="tx1"/>
                  </w14:solidFill>
                </w14:textFill>
              </w:rPr>
              <w:t>—各种声屏障引起的衰减量，dB(A)。</w:t>
            </w:r>
          </w:p>
          <w:p w14:paraId="4CEC13D2">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Ln — n个声源在评价点处叠加的噪声值(dB(A))。</w:t>
            </w:r>
          </w:p>
          <w:p w14:paraId="17B436F8">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根据噪声预测模式，利用噪声预测公式，计算出各类施工设施在不同距离处的噪声值，见表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4-1</w:t>
            </w:r>
            <w:r>
              <w:rPr>
                <w:rFonts w:hint="default" w:ascii="Times New Roman" w:hAnsi="Times New Roman" w:eastAsia="宋体" w:cs="Times New Roman"/>
                <w:color w:val="000000" w:themeColor="text1"/>
                <w:sz w:val="24"/>
                <w:szCs w:val="24"/>
                <w14:textFill>
                  <w14:solidFill>
                    <w14:schemeClr w14:val="tx1"/>
                  </w14:solidFill>
                </w14:textFill>
              </w:rPr>
              <w:t>。</w:t>
            </w:r>
          </w:p>
          <w:p w14:paraId="0321FDE7">
            <w:pPr>
              <w:pStyle w:val="84"/>
              <w:adjustRightInd w:val="0"/>
              <w:snapToGrid w:val="0"/>
              <w:spacing w:line="360" w:lineRule="auto"/>
              <w:ind w:firstLine="482" w:firstLineChars="200"/>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表</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4-1</w:t>
            </w:r>
            <w:r>
              <w:rPr>
                <w:rFonts w:hint="default" w:ascii="Times New Roman" w:hAnsi="Times New Roman" w:eastAsia="仿宋_GB2312" w:cs="Times New Roman"/>
                <w:color w:val="000000" w:themeColor="text1"/>
                <w:sz w:val="24"/>
                <w:szCs w:val="24"/>
                <w14:textFill>
                  <w14:solidFill>
                    <w14:schemeClr w14:val="tx1"/>
                  </w14:solidFill>
                </w14:textFill>
              </w:rPr>
              <w:t xml:space="preserve">  主要施工机械噪声影响预测结果统计表</w:t>
            </w:r>
          </w:p>
          <w:tbl>
            <w:tblPr>
              <w:tblStyle w:val="27"/>
              <w:tblW w:w="4965" w:type="pct"/>
              <w:tblInd w:w="2"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638"/>
              <w:gridCol w:w="944"/>
              <w:gridCol w:w="721"/>
              <w:gridCol w:w="778"/>
              <w:gridCol w:w="738"/>
              <w:gridCol w:w="721"/>
              <w:gridCol w:w="779"/>
              <w:gridCol w:w="862"/>
            </w:tblGrid>
            <w:tr w14:paraId="4E4177A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70" w:type="pct"/>
                  <w:vMerge w:val="restart"/>
                  <w:tcBorders>
                    <w:top w:val="single" w:color="000000" w:sz="12" w:space="0"/>
                    <w:left w:val="nil"/>
                    <w:tl2br w:val="nil"/>
                  </w:tcBorders>
                  <w:shd w:val="clear" w:color="auto" w:fill="FFFFFF"/>
                  <w:noWrap w:val="0"/>
                  <w:vAlign w:val="center"/>
                </w:tcPr>
                <w:p w14:paraId="09723D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设备名称</w:t>
                  </w:r>
                </w:p>
              </w:tc>
              <w:tc>
                <w:tcPr>
                  <w:tcW w:w="4029" w:type="pct"/>
                  <w:gridSpan w:val="8"/>
                  <w:tcBorders>
                    <w:top w:val="single" w:color="000000" w:sz="12" w:space="0"/>
                    <w:right w:val="nil"/>
                  </w:tcBorders>
                  <w:shd w:val="clear" w:color="auto" w:fill="FFFFFF"/>
                  <w:noWrap w:val="0"/>
                  <w:vAlign w:val="center"/>
                </w:tcPr>
                <w:p w14:paraId="34CE46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噪声预测值</w:t>
                  </w:r>
                </w:p>
              </w:tc>
            </w:tr>
            <w:tr w14:paraId="4C26DF06">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970" w:type="pct"/>
                  <w:vMerge w:val="continue"/>
                  <w:tcBorders>
                    <w:left w:val="nil"/>
                  </w:tcBorders>
                  <w:shd w:val="clear" w:color="auto" w:fill="FFFFFF"/>
                  <w:noWrap w:val="0"/>
                  <w:vAlign w:val="center"/>
                </w:tcPr>
                <w:p w14:paraId="567F00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16" w:type="pct"/>
                  <w:shd w:val="clear" w:color="auto" w:fill="FFFFFF"/>
                  <w:noWrap w:val="0"/>
                  <w:vAlign w:val="center"/>
                </w:tcPr>
                <w:p w14:paraId="70FCE7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5m</w:t>
                  </w:r>
                </w:p>
              </w:tc>
              <w:tc>
                <w:tcPr>
                  <w:tcW w:w="615" w:type="pct"/>
                  <w:shd w:val="clear" w:color="auto" w:fill="FFFFFF"/>
                  <w:noWrap w:val="0"/>
                  <w:vAlign w:val="center"/>
                </w:tcPr>
                <w:p w14:paraId="78D25A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10m</w:t>
                  </w:r>
                </w:p>
              </w:tc>
              <w:tc>
                <w:tcPr>
                  <w:tcW w:w="470" w:type="pct"/>
                  <w:shd w:val="clear" w:color="auto" w:fill="FFFFFF"/>
                  <w:noWrap w:val="0"/>
                  <w:vAlign w:val="center"/>
                </w:tcPr>
                <w:p w14:paraId="440344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20m</w:t>
                  </w:r>
                </w:p>
              </w:tc>
              <w:tc>
                <w:tcPr>
                  <w:tcW w:w="507" w:type="pct"/>
                  <w:shd w:val="clear" w:color="auto" w:fill="FFFFFF"/>
                  <w:noWrap w:val="0"/>
                  <w:vAlign w:val="center"/>
                </w:tcPr>
                <w:p w14:paraId="20A418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30m</w:t>
                  </w:r>
                </w:p>
              </w:tc>
              <w:tc>
                <w:tcPr>
                  <w:tcW w:w="481" w:type="pct"/>
                  <w:shd w:val="clear" w:color="auto" w:fill="FFFFFF"/>
                  <w:noWrap w:val="0"/>
                  <w:vAlign w:val="center"/>
                </w:tcPr>
                <w:p w14:paraId="2DA75C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40m</w:t>
                  </w:r>
                </w:p>
              </w:tc>
              <w:tc>
                <w:tcPr>
                  <w:tcW w:w="470" w:type="pct"/>
                  <w:shd w:val="clear" w:color="auto" w:fill="FFFFFF"/>
                  <w:noWrap w:val="0"/>
                  <w:vAlign w:val="center"/>
                </w:tcPr>
                <w:p w14:paraId="2F4BF9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50m</w:t>
                  </w:r>
                </w:p>
              </w:tc>
              <w:tc>
                <w:tcPr>
                  <w:tcW w:w="508" w:type="pct"/>
                  <w:shd w:val="clear" w:color="auto" w:fill="FFFFFF"/>
                  <w:noWrap w:val="0"/>
                  <w:vAlign w:val="center"/>
                </w:tcPr>
                <w:p w14:paraId="7C3367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100m</w:t>
                  </w:r>
                </w:p>
              </w:tc>
              <w:tc>
                <w:tcPr>
                  <w:tcW w:w="559" w:type="pct"/>
                  <w:tcBorders>
                    <w:right w:val="nil"/>
                  </w:tcBorders>
                  <w:shd w:val="clear" w:color="auto" w:fill="FFFFFF"/>
                  <w:noWrap w:val="0"/>
                  <w:vAlign w:val="center"/>
                </w:tcPr>
                <w:p w14:paraId="1D3D4D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200m</w:t>
                  </w:r>
                </w:p>
              </w:tc>
            </w:tr>
            <w:tr w14:paraId="5F2BF6F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c>
                <w:tcPr>
                  <w:tcW w:w="970" w:type="pct"/>
                  <w:tcBorders>
                    <w:left w:val="nil"/>
                  </w:tcBorders>
                  <w:shd w:val="clear" w:color="auto" w:fill="FFFFFF"/>
                  <w:noWrap w:val="0"/>
                  <w:vAlign w:val="center"/>
                </w:tcPr>
                <w:p w14:paraId="1D235F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推土机</w:t>
                  </w:r>
                </w:p>
              </w:tc>
              <w:tc>
                <w:tcPr>
                  <w:tcW w:w="416" w:type="pct"/>
                  <w:shd w:val="clear" w:color="auto" w:fill="FFFFFF"/>
                  <w:noWrap w:val="0"/>
                  <w:vAlign w:val="center"/>
                </w:tcPr>
                <w:p w14:paraId="40DA7D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80</w:t>
                  </w:r>
                </w:p>
              </w:tc>
              <w:tc>
                <w:tcPr>
                  <w:tcW w:w="615" w:type="pct"/>
                  <w:shd w:val="clear" w:color="auto" w:fill="FFFFFF"/>
                  <w:noWrap w:val="0"/>
                  <w:vAlign w:val="center"/>
                </w:tcPr>
                <w:p w14:paraId="43DD8A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74</w:t>
                  </w:r>
                </w:p>
              </w:tc>
              <w:tc>
                <w:tcPr>
                  <w:tcW w:w="470" w:type="pct"/>
                  <w:shd w:val="clear" w:color="auto" w:fill="FFFFFF"/>
                  <w:noWrap w:val="0"/>
                  <w:vAlign w:val="center"/>
                </w:tcPr>
                <w:p w14:paraId="221F3D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68</w:t>
                  </w:r>
                </w:p>
              </w:tc>
              <w:tc>
                <w:tcPr>
                  <w:tcW w:w="507" w:type="pct"/>
                  <w:shd w:val="clear" w:color="auto" w:fill="FFFFFF"/>
                  <w:noWrap w:val="0"/>
                  <w:vAlign w:val="center"/>
                </w:tcPr>
                <w:p w14:paraId="2F652E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64</w:t>
                  </w:r>
                </w:p>
              </w:tc>
              <w:tc>
                <w:tcPr>
                  <w:tcW w:w="481" w:type="pct"/>
                  <w:shd w:val="clear" w:color="auto" w:fill="FFFFFF"/>
                  <w:noWrap w:val="0"/>
                  <w:vAlign w:val="center"/>
                </w:tcPr>
                <w:p w14:paraId="3B5424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62</w:t>
                  </w:r>
                </w:p>
              </w:tc>
              <w:tc>
                <w:tcPr>
                  <w:tcW w:w="470" w:type="pct"/>
                  <w:shd w:val="clear" w:color="auto" w:fill="FFFFFF"/>
                  <w:noWrap w:val="0"/>
                  <w:vAlign w:val="center"/>
                </w:tcPr>
                <w:p w14:paraId="296B0A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60</w:t>
                  </w:r>
                </w:p>
              </w:tc>
              <w:tc>
                <w:tcPr>
                  <w:tcW w:w="508" w:type="pct"/>
                  <w:shd w:val="clear" w:color="auto" w:fill="FFFFFF"/>
                  <w:noWrap w:val="0"/>
                  <w:vAlign w:val="center"/>
                </w:tcPr>
                <w:p w14:paraId="5FC4F6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54</w:t>
                  </w:r>
                </w:p>
              </w:tc>
              <w:tc>
                <w:tcPr>
                  <w:tcW w:w="559" w:type="pct"/>
                  <w:tcBorders>
                    <w:right w:val="nil"/>
                  </w:tcBorders>
                  <w:shd w:val="clear" w:color="auto" w:fill="FFFFFF"/>
                  <w:noWrap w:val="0"/>
                  <w:vAlign w:val="center"/>
                </w:tcPr>
                <w:p w14:paraId="6CE36A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highlight w:val="none"/>
                      <w:lang w:val="en-US"/>
                    </w:rPr>
                  </w:pPr>
                  <w:r>
                    <w:rPr>
                      <w:rFonts w:hint="default" w:ascii="Times New Roman" w:hAnsi="Times New Roman" w:cs="Times New Roman"/>
                      <w:b w:val="0"/>
                      <w:color w:val="000000"/>
                      <w:sz w:val="21"/>
                      <w:szCs w:val="21"/>
                      <w:highlight w:val="none"/>
                      <w:lang w:val="en-US" w:eastAsia="zh-CN"/>
                    </w:rPr>
                    <w:t>48</w:t>
                  </w:r>
                </w:p>
              </w:tc>
            </w:tr>
            <w:tr w14:paraId="722F4C5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c>
                <w:tcPr>
                  <w:tcW w:w="970" w:type="pct"/>
                  <w:tcBorders>
                    <w:left w:val="nil"/>
                  </w:tcBorders>
                  <w:shd w:val="clear" w:color="auto" w:fill="FFFFFF"/>
                  <w:noWrap w:val="0"/>
                  <w:vAlign w:val="center"/>
                </w:tcPr>
                <w:p w14:paraId="081F8A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挖掘机</w:t>
                  </w:r>
                </w:p>
              </w:tc>
              <w:tc>
                <w:tcPr>
                  <w:tcW w:w="416" w:type="pct"/>
                  <w:shd w:val="clear" w:color="auto" w:fill="FFFFFF"/>
                  <w:noWrap w:val="0"/>
                  <w:vAlign w:val="center"/>
                </w:tcPr>
                <w:p w14:paraId="30CB78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78</w:t>
                  </w:r>
                </w:p>
              </w:tc>
              <w:tc>
                <w:tcPr>
                  <w:tcW w:w="615" w:type="pct"/>
                  <w:shd w:val="clear" w:color="auto" w:fill="FFFFFF"/>
                  <w:noWrap w:val="0"/>
                  <w:vAlign w:val="center"/>
                </w:tcPr>
                <w:p w14:paraId="745A50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72</w:t>
                  </w:r>
                </w:p>
              </w:tc>
              <w:tc>
                <w:tcPr>
                  <w:tcW w:w="470" w:type="pct"/>
                  <w:shd w:val="clear" w:color="auto" w:fill="FFFFFF"/>
                  <w:noWrap w:val="0"/>
                  <w:vAlign w:val="center"/>
                </w:tcPr>
                <w:p w14:paraId="01FD32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66</w:t>
                  </w:r>
                </w:p>
              </w:tc>
              <w:tc>
                <w:tcPr>
                  <w:tcW w:w="507" w:type="pct"/>
                  <w:shd w:val="clear" w:color="auto" w:fill="FFFFFF"/>
                  <w:noWrap w:val="0"/>
                  <w:vAlign w:val="center"/>
                </w:tcPr>
                <w:p w14:paraId="3A25D5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lang w:val="en-US" w:eastAsia="zh-CN"/>
                    </w:rPr>
                  </w:pPr>
                  <w:r>
                    <w:rPr>
                      <w:rFonts w:hint="eastAsia" w:cs="Times New Roman"/>
                      <w:b w:val="0"/>
                      <w:color w:val="0000FF"/>
                      <w:sz w:val="21"/>
                      <w:szCs w:val="21"/>
                      <w:lang w:val="en-US" w:eastAsia="zh-CN"/>
                    </w:rPr>
                    <w:t>62</w:t>
                  </w:r>
                </w:p>
              </w:tc>
              <w:tc>
                <w:tcPr>
                  <w:tcW w:w="481" w:type="pct"/>
                  <w:shd w:val="clear" w:color="auto" w:fill="FFFFFF"/>
                  <w:noWrap w:val="0"/>
                  <w:vAlign w:val="center"/>
                </w:tcPr>
                <w:p w14:paraId="70A021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kern w:val="2"/>
                      <w:sz w:val="21"/>
                      <w:szCs w:val="21"/>
                      <w:lang w:val="en-US" w:eastAsia="zh-CN" w:bidi="ar-SA"/>
                    </w:rPr>
                  </w:pPr>
                  <w:r>
                    <w:rPr>
                      <w:rFonts w:hint="eastAsia" w:cs="Times New Roman"/>
                      <w:b w:val="0"/>
                      <w:color w:val="0000FF"/>
                      <w:sz w:val="21"/>
                      <w:szCs w:val="21"/>
                      <w:lang w:val="en-US" w:eastAsia="zh-CN"/>
                    </w:rPr>
                    <w:t>60</w:t>
                  </w:r>
                </w:p>
              </w:tc>
              <w:tc>
                <w:tcPr>
                  <w:tcW w:w="470" w:type="pct"/>
                  <w:shd w:val="clear" w:color="auto" w:fill="FFFFFF"/>
                  <w:noWrap w:val="0"/>
                  <w:vAlign w:val="center"/>
                </w:tcPr>
                <w:p w14:paraId="78DB2F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58</w:t>
                  </w:r>
                </w:p>
              </w:tc>
              <w:tc>
                <w:tcPr>
                  <w:tcW w:w="508" w:type="pct"/>
                  <w:shd w:val="clear" w:color="auto" w:fill="FFFFFF"/>
                  <w:noWrap w:val="0"/>
                  <w:vAlign w:val="center"/>
                </w:tcPr>
                <w:p w14:paraId="4D60BF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highlight w:val="none"/>
                      <w:lang w:val="en-US" w:eastAsia="zh-CN"/>
                    </w:rPr>
                  </w:pPr>
                  <w:r>
                    <w:rPr>
                      <w:rFonts w:hint="eastAsia" w:cs="Times New Roman"/>
                      <w:b w:val="0"/>
                      <w:color w:val="0000FF"/>
                      <w:sz w:val="21"/>
                      <w:szCs w:val="21"/>
                      <w:highlight w:val="none"/>
                      <w:lang w:val="en-US" w:eastAsia="zh-CN"/>
                    </w:rPr>
                    <w:t>52</w:t>
                  </w:r>
                </w:p>
              </w:tc>
              <w:tc>
                <w:tcPr>
                  <w:tcW w:w="559" w:type="pct"/>
                  <w:tcBorders>
                    <w:right w:val="nil"/>
                  </w:tcBorders>
                  <w:shd w:val="clear" w:color="auto" w:fill="FFFFFF"/>
                  <w:noWrap w:val="0"/>
                  <w:vAlign w:val="center"/>
                </w:tcPr>
                <w:p w14:paraId="248CAC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highlight w:val="none"/>
                      <w:lang w:val="en-US" w:eastAsia="zh-CN"/>
                    </w:rPr>
                  </w:pPr>
                  <w:r>
                    <w:rPr>
                      <w:rFonts w:hint="default" w:ascii="Times New Roman" w:hAnsi="Times New Roman" w:cs="Times New Roman"/>
                      <w:b w:val="0"/>
                      <w:color w:val="0000FF"/>
                      <w:sz w:val="21"/>
                      <w:szCs w:val="21"/>
                      <w:highlight w:val="none"/>
                      <w:lang w:val="en-US" w:eastAsia="zh-CN"/>
                    </w:rPr>
                    <w:t>4</w:t>
                  </w:r>
                  <w:r>
                    <w:rPr>
                      <w:rFonts w:hint="eastAsia" w:cs="Times New Roman"/>
                      <w:b w:val="0"/>
                      <w:color w:val="0000FF"/>
                      <w:sz w:val="21"/>
                      <w:szCs w:val="21"/>
                      <w:highlight w:val="none"/>
                      <w:lang w:val="en-US" w:eastAsia="zh-CN"/>
                    </w:rPr>
                    <w:t>6</w:t>
                  </w:r>
                </w:p>
              </w:tc>
            </w:tr>
            <w:tr w14:paraId="53BBDB0D">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970" w:type="pct"/>
                  <w:tcBorders>
                    <w:left w:val="nil"/>
                  </w:tcBorders>
                  <w:shd w:val="clear" w:color="auto" w:fill="FFFFFF"/>
                  <w:noWrap w:val="0"/>
                  <w:vAlign w:val="center"/>
                </w:tcPr>
                <w:p w14:paraId="5FC750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自卸汽车</w:t>
                  </w:r>
                </w:p>
              </w:tc>
              <w:tc>
                <w:tcPr>
                  <w:tcW w:w="416" w:type="pct"/>
                  <w:shd w:val="clear" w:color="auto" w:fill="FFFFFF"/>
                  <w:noWrap w:val="0"/>
                  <w:vAlign w:val="center"/>
                </w:tcPr>
                <w:p w14:paraId="27D5CD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76</w:t>
                  </w:r>
                </w:p>
              </w:tc>
              <w:tc>
                <w:tcPr>
                  <w:tcW w:w="615" w:type="pct"/>
                  <w:shd w:val="clear" w:color="auto" w:fill="FFFFFF"/>
                  <w:noWrap w:val="0"/>
                  <w:vAlign w:val="center"/>
                </w:tcPr>
                <w:p w14:paraId="7F2439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70</w:t>
                  </w:r>
                </w:p>
              </w:tc>
              <w:tc>
                <w:tcPr>
                  <w:tcW w:w="470" w:type="pct"/>
                  <w:shd w:val="clear" w:color="auto" w:fill="FFFFFF"/>
                  <w:noWrap w:val="0"/>
                  <w:vAlign w:val="center"/>
                </w:tcPr>
                <w:p w14:paraId="4EF38B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64</w:t>
                  </w:r>
                </w:p>
              </w:tc>
              <w:tc>
                <w:tcPr>
                  <w:tcW w:w="507" w:type="pct"/>
                  <w:shd w:val="clear" w:color="auto" w:fill="FFFFFF"/>
                  <w:noWrap w:val="0"/>
                  <w:vAlign w:val="center"/>
                </w:tcPr>
                <w:p w14:paraId="6A7FDE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60</w:t>
                  </w:r>
                </w:p>
              </w:tc>
              <w:tc>
                <w:tcPr>
                  <w:tcW w:w="481" w:type="pct"/>
                  <w:shd w:val="clear" w:color="auto" w:fill="FFFFFF"/>
                  <w:noWrap w:val="0"/>
                  <w:vAlign w:val="center"/>
                </w:tcPr>
                <w:p w14:paraId="7C1943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58</w:t>
                  </w:r>
                </w:p>
              </w:tc>
              <w:tc>
                <w:tcPr>
                  <w:tcW w:w="470" w:type="pct"/>
                  <w:shd w:val="clear" w:color="auto" w:fill="FFFFFF"/>
                  <w:noWrap w:val="0"/>
                  <w:vAlign w:val="center"/>
                </w:tcPr>
                <w:p w14:paraId="5C7931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56</w:t>
                  </w:r>
                </w:p>
              </w:tc>
              <w:tc>
                <w:tcPr>
                  <w:tcW w:w="508" w:type="pct"/>
                  <w:shd w:val="clear" w:color="auto" w:fill="FFFFFF"/>
                  <w:noWrap w:val="0"/>
                  <w:vAlign w:val="center"/>
                </w:tcPr>
                <w:p w14:paraId="4F6599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50</w:t>
                  </w:r>
                </w:p>
              </w:tc>
              <w:tc>
                <w:tcPr>
                  <w:tcW w:w="559" w:type="pct"/>
                  <w:tcBorders>
                    <w:right w:val="nil"/>
                  </w:tcBorders>
                  <w:shd w:val="clear" w:color="auto" w:fill="FFFFFF"/>
                  <w:noWrap w:val="0"/>
                  <w:vAlign w:val="center"/>
                </w:tcPr>
                <w:p w14:paraId="2BE75F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44</w:t>
                  </w:r>
                </w:p>
              </w:tc>
            </w:tr>
            <w:tr w14:paraId="422133A1">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970" w:type="pct"/>
                  <w:tcBorders>
                    <w:left w:val="nil"/>
                    <w:bottom w:val="single" w:color="000000" w:sz="12" w:space="0"/>
                  </w:tcBorders>
                  <w:shd w:val="clear" w:color="auto" w:fill="FFFFFF"/>
                  <w:noWrap w:val="0"/>
                  <w:vAlign w:val="center"/>
                </w:tcPr>
                <w:p w14:paraId="3FC02B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农用拖拉机</w:t>
                  </w:r>
                </w:p>
              </w:tc>
              <w:tc>
                <w:tcPr>
                  <w:tcW w:w="416" w:type="pct"/>
                  <w:tcBorders>
                    <w:bottom w:val="single" w:color="000000" w:sz="12" w:space="0"/>
                  </w:tcBorders>
                  <w:shd w:val="clear" w:color="auto" w:fill="FFFFFF"/>
                  <w:noWrap w:val="0"/>
                  <w:vAlign w:val="center"/>
                </w:tcPr>
                <w:p w14:paraId="5FEFCB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80</w:t>
                  </w:r>
                </w:p>
              </w:tc>
              <w:tc>
                <w:tcPr>
                  <w:tcW w:w="615" w:type="pct"/>
                  <w:tcBorders>
                    <w:bottom w:val="single" w:color="000000" w:sz="12" w:space="0"/>
                  </w:tcBorders>
                  <w:shd w:val="clear" w:color="auto" w:fill="FFFFFF"/>
                  <w:noWrap w:val="0"/>
                  <w:vAlign w:val="center"/>
                </w:tcPr>
                <w:p w14:paraId="2C12CC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66</w:t>
                  </w:r>
                </w:p>
              </w:tc>
              <w:tc>
                <w:tcPr>
                  <w:tcW w:w="470" w:type="pct"/>
                  <w:tcBorders>
                    <w:bottom w:val="single" w:color="000000" w:sz="12" w:space="0"/>
                  </w:tcBorders>
                  <w:shd w:val="clear" w:color="auto" w:fill="FFFFFF"/>
                  <w:noWrap w:val="0"/>
                  <w:vAlign w:val="center"/>
                </w:tcPr>
                <w:p w14:paraId="081E0A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57</w:t>
                  </w:r>
                </w:p>
              </w:tc>
              <w:tc>
                <w:tcPr>
                  <w:tcW w:w="507" w:type="pct"/>
                  <w:tcBorders>
                    <w:bottom w:val="single" w:color="000000" w:sz="12" w:space="0"/>
                  </w:tcBorders>
                  <w:shd w:val="clear" w:color="auto" w:fill="FFFFFF"/>
                  <w:noWrap w:val="0"/>
                  <w:vAlign w:val="center"/>
                </w:tcPr>
                <w:p w14:paraId="6D3712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50</w:t>
                  </w:r>
                </w:p>
              </w:tc>
              <w:tc>
                <w:tcPr>
                  <w:tcW w:w="481" w:type="pct"/>
                  <w:tcBorders>
                    <w:bottom w:val="single" w:color="000000" w:sz="12" w:space="0"/>
                  </w:tcBorders>
                  <w:shd w:val="clear" w:color="auto" w:fill="FFFFFF"/>
                  <w:noWrap w:val="0"/>
                  <w:vAlign w:val="center"/>
                </w:tcPr>
                <w:p w14:paraId="4CFC9A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49</w:t>
                  </w:r>
                </w:p>
              </w:tc>
              <w:tc>
                <w:tcPr>
                  <w:tcW w:w="470" w:type="pct"/>
                  <w:tcBorders>
                    <w:bottom w:val="single" w:color="000000" w:sz="12" w:space="0"/>
                  </w:tcBorders>
                  <w:shd w:val="clear" w:color="auto" w:fill="FFFFFF"/>
                  <w:noWrap w:val="0"/>
                  <w:vAlign w:val="center"/>
                </w:tcPr>
                <w:p w14:paraId="5DF13E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47</w:t>
                  </w:r>
                </w:p>
              </w:tc>
              <w:tc>
                <w:tcPr>
                  <w:tcW w:w="508" w:type="pct"/>
                  <w:tcBorders>
                    <w:bottom w:val="single" w:color="000000" w:sz="12" w:space="0"/>
                  </w:tcBorders>
                  <w:shd w:val="clear" w:color="auto" w:fill="FFFFFF"/>
                  <w:noWrap w:val="0"/>
                  <w:vAlign w:val="center"/>
                </w:tcPr>
                <w:p w14:paraId="0E5842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41</w:t>
                  </w:r>
                </w:p>
              </w:tc>
              <w:tc>
                <w:tcPr>
                  <w:tcW w:w="559" w:type="pct"/>
                  <w:tcBorders>
                    <w:bottom w:val="single" w:color="000000" w:sz="12" w:space="0"/>
                    <w:right w:val="nil"/>
                  </w:tcBorders>
                  <w:shd w:val="clear" w:color="auto" w:fill="FFFFFF"/>
                  <w:noWrap w:val="0"/>
                  <w:vAlign w:val="center"/>
                </w:tcPr>
                <w:p w14:paraId="6CC5FC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35</w:t>
                  </w:r>
                </w:p>
              </w:tc>
            </w:tr>
          </w:tbl>
          <w:p w14:paraId="4E1D7933">
            <w:pPr>
              <w:pStyle w:val="15"/>
              <w:adjustRightInd w:val="0"/>
              <w:snapToGrid w:val="0"/>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由预测结果可知，单台施工机械在无遮挡情况下，昼间在距施工场地边界100m处可达到《建筑施工场界环境噪声排放标准》（GB12523-2011）昼间70dB(A)的限值要求（项目夜间不施工）。根据现场调查，距本项目施工区最近的居民点为白寨村六社，距离约30m。由表4-1预测结果可知，距声源30m处，主要施工机械（推土机、挖掘机等）的噪声贡献值为50~64dB(A)，单台机械可满足70dB(A)的昼间限值，但考虑到施工期间可能存在多台机械同时作业的叠加效应，仍可能对邻近居民产生一定影响。</w:t>
            </w:r>
            <w:r>
              <w:rPr>
                <w:rFonts w:hint="eastAsia" w:ascii="Times New Roman" w:hAnsi="Times New Roman" w:cs="Times New Roman"/>
                <w:color w:val="000000" w:themeColor="text1"/>
                <w:sz w:val="24"/>
                <w:szCs w:val="24"/>
                <w:lang w:val="en-US" w:eastAsia="zh-CN"/>
                <w14:textFill>
                  <w14:solidFill>
                    <w14:schemeClr w14:val="tx1"/>
                  </w14:solidFill>
                </w14:textFill>
              </w:rPr>
              <w:t>本项目选用推土机、挖掘机及汽车同时同时运行的情况下的噪声叠加影响。</w:t>
            </w:r>
          </w:p>
          <w:p w14:paraId="3A71FD04">
            <w:pPr>
              <w:pStyle w:val="84"/>
              <w:adjustRightInd w:val="0"/>
              <w:snapToGrid w:val="0"/>
              <w:spacing w:line="360" w:lineRule="auto"/>
              <w:ind w:firstLine="482" w:firstLineChars="200"/>
              <w:rPr>
                <w:rFonts w:hint="default" w:ascii="Times New Roman" w:hAnsi="Times New Roman" w:eastAsia="仿宋_GB2312" w:cs="Times New Roman"/>
                <w:color w:val="0000FF"/>
                <w:sz w:val="24"/>
                <w:szCs w:val="24"/>
              </w:rPr>
            </w:pPr>
            <w:r>
              <w:rPr>
                <w:rFonts w:hint="default" w:ascii="Times New Roman" w:hAnsi="Times New Roman" w:eastAsia="仿宋_GB2312" w:cs="Times New Roman"/>
                <w:color w:val="0000FF"/>
                <w:sz w:val="24"/>
                <w:szCs w:val="24"/>
              </w:rPr>
              <w:t>表</w:t>
            </w:r>
            <w:r>
              <w:rPr>
                <w:rFonts w:hint="default" w:ascii="Times New Roman" w:hAnsi="Times New Roman" w:eastAsia="仿宋_GB2312" w:cs="Times New Roman"/>
                <w:color w:val="0000FF"/>
                <w:sz w:val="24"/>
                <w:szCs w:val="24"/>
                <w:lang w:val="en-US" w:eastAsia="zh-CN"/>
              </w:rPr>
              <w:t>4-</w:t>
            </w:r>
            <w:r>
              <w:rPr>
                <w:rFonts w:hint="eastAsia" w:eastAsia="仿宋_GB2312" w:cs="Times New Roman"/>
                <w:color w:val="0000FF"/>
                <w:sz w:val="24"/>
                <w:szCs w:val="24"/>
                <w:lang w:val="en-US" w:eastAsia="zh-CN"/>
              </w:rPr>
              <w:t>2</w:t>
            </w:r>
            <w:r>
              <w:rPr>
                <w:rFonts w:hint="default" w:ascii="Times New Roman" w:hAnsi="Times New Roman" w:eastAsia="仿宋_GB2312" w:cs="Times New Roman"/>
                <w:color w:val="0000FF"/>
                <w:sz w:val="24"/>
                <w:szCs w:val="24"/>
              </w:rPr>
              <w:t xml:space="preserve">  主要施工机械</w:t>
            </w:r>
            <w:r>
              <w:rPr>
                <w:rFonts w:hint="eastAsia" w:eastAsia="仿宋_GB2312" w:cs="Times New Roman"/>
                <w:color w:val="0000FF"/>
                <w:sz w:val="24"/>
                <w:szCs w:val="24"/>
                <w:lang w:val="en-US" w:eastAsia="zh-CN"/>
              </w:rPr>
              <w:t>叠加</w:t>
            </w:r>
            <w:r>
              <w:rPr>
                <w:rFonts w:hint="default" w:ascii="Times New Roman" w:hAnsi="Times New Roman" w:eastAsia="仿宋_GB2312" w:cs="Times New Roman"/>
                <w:color w:val="0000FF"/>
                <w:sz w:val="24"/>
                <w:szCs w:val="24"/>
              </w:rPr>
              <w:t>噪声影响预测结果统计表</w:t>
            </w:r>
          </w:p>
          <w:tbl>
            <w:tblPr>
              <w:tblStyle w:val="27"/>
              <w:tblW w:w="4928" w:type="pct"/>
              <w:tblInd w:w="2"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621"/>
              <w:gridCol w:w="933"/>
              <w:gridCol w:w="708"/>
              <w:gridCol w:w="766"/>
              <w:gridCol w:w="729"/>
              <w:gridCol w:w="708"/>
              <w:gridCol w:w="772"/>
              <w:gridCol w:w="898"/>
            </w:tblGrid>
            <w:tr w14:paraId="0EDA4CEF">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70" w:type="pct"/>
                  <w:vMerge w:val="restart"/>
                  <w:tcBorders>
                    <w:top w:val="single" w:color="000000" w:sz="12" w:space="0"/>
                    <w:left w:val="nil"/>
                    <w:tl2br w:val="nil"/>
                  </w:tcBorders>
                  <w:shd w:val="clear" w:color="auto" w:fill="FFFFFF"/>
                  <w:noWrap w:val="0"/>
                  <w:vAlign w:val="center"/>
                </w:tcPr>
                <w:p w14:paraId="37A70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设备名称</w:t>
                  </w:r>
                </w:p>
              </w:tc>
              <w:tc>
                <w:tcPr>
                  <w:tcW w:w="408" w:type="pct"/>
                  <w:tcBorders>
                    <w:top w:val="single" w:color="000000" w:sz="12" w:space="0"/>
                    <w:right w:val="nil"/>
                  </w:tcBorders>
                  <w:shd w:val="clear" w:color="auto" w:fill="FFFFFF"/>
                  <w:noWrap w:val="0"/>
                  <w:vAlign w:val="center"/>
                </w:tcPr>
                <w:p w14:paraId="36EE47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FF"/>
                      <w:sz w:val="21"/>
                      <w:szCs w:val="21"/>
                      <w:lang w:val="en-US" w:eastAsia="zh-CN"/>
                    </w:rPr>
                  </w:pPr>
                  <w:r>
                    <w:rPr>
                      <w:rFonts w:hint="eastAsia" w:cs="Times New Roman"/>
                      <w:b w:val="0"/>
                      <w:color w:val="0000FF"/>
                      <w:sz w:val="21"/>
                      <w:szCs w:val="21"/>
                      <w:lang w:val="en-US" w:eastAsia="zh-CN"/>
                    </w:rPr>
                    <w:t>源强</w:t>
                  </w:r>
                </w:p>
              </w:tc>
              <w:tc>
                <w:tcPr>
                  <w:tcW w:w="3621" w:type="pct"/>
                  <w:gridSpan w:val="7"/>
                  <w:tcBorders>
                    <w:top w:val="single" w:color="000000" w:sz="12" w:space="0"/>
                    <w:right w:val="nil"/>
                  </w:tcBorders>
                  <w:shd w:val="clear" w:color="auto" w:fill="FFFFFF"/>
                  <w:noWrap w:val="0"/>
                  <w:vAlign w:val="center"/>
                </w:tcPr>
                <w:p w14:paraId="4F1E75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FF"/>
                      <w:sz w:val="21"/>
                      <w:szCs w:val="21"/>
                      <w:lang w:eastAsia="zh-CN"/>
                    </w:rPr>
                  </w:pPr>
                  <w:r>
                    <w:rPr>
                      <w:rFonts w:hint="default" w:ascii="Times New Roman" w:hAnsi="Times New Roman" w:cs="Times New Roman"/>
                      <w:b w:val="0"/>
                      <w:color w:val="0000FF"/>
                      <w:sz w:val="21"/>
                      <w:szCs w:val="21"/>
                    </w:rPr>
                    <w:t>噪声预测值</w:t>
                  </w:r>
                  <w:r>
                    <w:rPr>
                      <w:rFonts w:hint="eastAsia" w:cs="Times New Roman"/>
                      <w:b w:val="0"/>
                      <w:color w:val="0000FF"/>
                      <w:sz w:val="21"/>
                      <w:szCs w:val="21"/>
                      <w:lang w:eastAsia="zh-CN"/>
                    </w:rPr>
                    <w:t>（</w:t>
                  </w:r>
                  <w:r>
                    <w:rPr>
                      <w:rFonts w:hint="eastAsia" w:cs="Times New Roman"/>
                      <w:b w:val="0"/>
                      <w:color w:val="0000FF"/>
                      <w:sz w:val="21"/>
                      <w:szCs w:val="21"/>
                      <w:lang w:val="en-US" w:eastAsia="zh-CN"/>
                    </w:rPr>
                    <w:t>同时运行叠加后</w:t>
                  </w:r>
                  <w:r>
                    <w:rPr>
                      <w:rFonts w:hint="eastAsia" w:cs="Times New Roman"/>
                      <w:b w:val="0"/>
                      <w:color w:val="0000FF"/>
                      <w:sz w:val="21"/>
                      <w:szCs w:val="21"/>
                      <w:lang w:eastAsia="zh-CN"/>
                    </w:rPr>
                    <w:t>）</w:t>
                  </w:r>
                </w:p>
              </w:tc>
            </w:tr>
            <w:tr w14:paraId="2204006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970" w:type="pct"/>
                  <w:vMerge w:val="continue"/>
                  <w:tcBorders>
                    <w:left w:val="nil"/>
                  </w:tcBorders>
                  <w:shd w:val="clear" w:color="auto" w:fill="FFFFFF"/>
                  <w:noWrap w:val="0"/>
                  <w:vAlign w:val="center"/>
                </w:tcPr>
                <w:p w14:paraId="447359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p>
              </w:tc>
              <w:tc>
                <w:tcPr>
                  <w:tcW w:w="408" w:type="pct"/>
                  <w:shd w:val="clear" w:color="auto" w:fill="FFFFFF"/>
                  <w:noWrap w:val="0"/>
                  <w:vAlign w:val="center"/>
                </w:tcPr>
                <w:p w14:paraId="64C973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5m</w:t>
                  </w:r>
                </w:p>
              </w:tc>
              <w:tc>
                <w:tcPr>
                  <w:tcW w:w="613" w:type="pct"/>
                  <w:shd w:val="clear" w:color="auto" w:fill="FFFFFF"/>
                  <w:noWrap w:val="0"/>
                  <w:vAlign w:val="center"/>
                </w:tcPr>
                <w:p w14:paraId="3A3102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10m</w:t>
                  </w:r>
                </w:p>
              </w:tc>
              <w:tc>
                <w:tcPr>
                  <w:tcW w:w="465" w:type="pct"/>
                  <w:shd w:val="clear" w:color="auto" w:fill="FFFFFF"/>
                  <w:noWrap w:val="0"/>
                  <w:vAlign w:val="center"/>
                </w:tcPr>
                <w:p w14:paraId="2BA739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20m</w:t>
                  </w:r>
                </w:p>
              </w:tc>
              <w:tc>
                <w:tcPr>
                  <w:tcW w:w="503" w:type="pct"/>
                  <w:shd w:val="clear" w:color="auto" w:fill="FFFFFF"/>
                  <w:noWrap w:val="0"/>
                  <w:vAlign w:val="center"/>
                </w:tcPr>
                <w:p w14:paraId="4CF801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lang w:val="en-US" w:eastAsia="zh-CN"/>
                    </w:rPr>
                  </w:pPr>
                  <w:r>
                    <w:rPr>
                      <w:rFonts w:hint="eastAsia" w:cs="Times New Roman"/>
                      <w:b w:val="0"/>
                      <w:color w:val="0000FF"/>
                      <w:sz w:val="21"/>
                      <w:szCs w:val="21"/>
                      <w:lang w:val="en-US" w:eastAsia="zh-CN"/>
                    </w:rPr>
                    <w:t>30m</w:t>
                  </w:r>
                </w:p>
              </w:tc>
              <w:tc>
                <w:tcPr>
                  <w:tcW w:w="479" w:type="pct"/>
                  <w:shd w:val="clear" w:color="auto" w:fill="FFFFFF"/>
                  <w:noWrap w:val="0"/>
                  <w:vAlign w:val="center"/>
                </w:tcPr>
                <w:p w14:paraId="594BCE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kern w:val="2"/>
                      <w:sz w:val="21"/>
                      <w:szCs w:val="21"/>
                      <w:lang w:val="en-US" w:eastAsia="zh-CN" w:bidi="ar-SA"/>
                    </w:rPr>
                  </w:pPr>
                  <w:r>
                    <w:rPr>
                      <w:rFonts w:hint="default" w:ascii="Times New Roman" w:hAnsi="Times New Roman" w:cs="Times New Roman"/>
                      <w:b w:val="0"/>
                      <w:color w:val="0000FF"/>
                      <w:sz w:val="21"/>
                      <w:szCs w:val="21"/>
                    </w:rPr>
                    <w:t>40m</w:t>
                  </w:r>
                </w:p>
              </w:tc>
              <w:tc>
                <w:tcPr>
                  <w:tcW w:w="465" w:type="pct"/>
                  <w:shd w:val="clear" w:color="auto" w:fill="FFFFFF"/>
                  <w:noWrap w:val="0"/>
                  <w:vAlign w:val="center"/>
                </w:tcPr>
                <w:p w14:paraId="224B8D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50m</w:t>
                  </w:r>
                </w:p>
              </w:tc>
              <w:tc>
                <w:tcPr>
                  <w:tcW w:w="507" w:type="pct"/>
                  <w:shd w:val="clear" w:color="auto" w:fill="FFFFFF"/>
                  <w:noWrap w:val="0"/>
                  <w:vAlign w:val="center"/>
                </w:tcPr>
                <w:p w14:paraId="3831D0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100m</w:t>
                  </w:r>
                </w:p>
              </w:tc>
              <w:tc>
                <w:tcPr>
                  <w:tcW w:w="587" w:type="pct"/>
                  <w:tcBorders>
                    <w:right w:val="nil"/>
                  </w:tcBorders>
                  <w:shd w:val="clear" w:color="auto" w:fill="FFFFFF"/>
                  <w:noWrap w:val="0"/>
                  <w:vAlign w:val="center"/>
                </w:tcPr>
                <w:p w14:paraId="3C21A5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200m</w:t>
                  </w:r>
                </w:p>
              </w:tc>
            </w:tr>
            <w:tr w14:paraId="50F49C06">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c>
                <w:tcPr>
                  <w:tcW w:w="970" w:type="pct"/>
                  <w:tcBorders>
                    <w:left w:val="nil"/>
                  </w:tcBorders>
                  <w:shd w:val="clear" w:color="auto" w:fill="FFFFFF"/>
                  <w:noWrap w:val="0"/>
                  <w:vAlign w:val="center"/>
                </w:tcPr>
                <w:p w14:paraId="69F4B5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推土机</w:t>
                  </w:r>
                </w:p>
              </w:tc>
              <w:tc>
                <w:tcPr>
                  <w:tcW w:w="408" w:type="pct"/>
                  <w:shd w:val="clear" w:color="auto" w:fill="FFFFFF"/>
                  <w:noWrap w:val="0"/>
                  <w:vAlign w:val="center"/>
                </w:tcPr>
                <w:p w14:paraId="37607F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80</w:t>
                  </w:r>
                </w:p>
              </w:tc>
              <w:tc>
                <w:tcPr>
                  <w:tcW w:w="613" w:type="pct"/>
                  <w:vMerge w:val="restart"/>
                  <w:shd w:val="clear" w:color="auto" w:fill="FFFFFF"/>
                  <w:noWrap w:val="0"/>
                  <w:vAlign w:val="center"/>
                </w:tcPr>
                <w:p w14:paraId="3DA7CB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lang w:val="en-US" w:eastAsia="zh-CN"/>
                    </w:rPr>
                  </w:pPr>
                  <w:r>
                    <w:rPr>
                      <w:rFonts w:hint="eastAsia" w:cs="Times New Roman"/>
                      <w:b w:val="0"/>
                      <w:color w:val="0000FF"/>
                      <w:sz w:val="21"/>
                      <w:szCs w:val="21"/>
                      <w:lang w:val="en-US" w:eastAsia="zh-CN"/>
                    </w:rPr>
                    <w:t>77.40</w:t>
                  </w:r>
                </w:p>
              </w:tc>
              <w:tc>
                <w:tcPr>
                  <w:tcW w:w="465" w:type="pct"/>
                  <w:vMerge w:val="restart"/>
                  <w:shd w:val="clear" w:color="auto" w:fill="FFFFFF"/>
                  <w:noWrap w:val="0"/>
                  <w:vAlign w:val="center"/>
                </w:tcPr>
                <w:p w14:paraId="0CF162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lang w:val="en-US" w:eastAsia="zh-CN"/>
                    </w:rPr>
                  </w:pPr>
                  <w:r>
                    <w:rPr>
                      <w:rFonts w:hint="eastAsia" w:cs="Times New Roman"/>
                      <w:b w:val="0"/>
                      <w:color w:val="0000FF"/>
                      <w:sz w:val="21"/>
                      <w:szCs w:val="21"/>
                      <w:lang w:val="en-US" w:eastAsia="zh-CN"/>
                    </w:rPr>
                    <w:t>71.24</w:t>
                  </w:r>
                </w:p>
              </w:tc>
              <w:tc>
                <w:tcPr>
                  <w:tcW w:w="503" w:type="pct"/>
                  <w:vMerge w:val="restart"/>
                  <w:shd w:val="clear" w:color="auto" w:fill="FFFFFF"/>
                  <w:noWrap w:val="0"/>
                  <w:vAlign w:val="center"/>
                </w:tcPr>
                <w:p w14:paraId="53DD38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lang w:val="en-US" w:eastAsia="zh-CN"/>
                    </w:rPr>
                  </w:pPr>
                  <w:r>
                    <w:rPr>
                      <w:rFonts w:hint="eastAsia" w:cs="Times New Roman"/>
                      <w:b w:val="0"/>
                      <w:color w:val="0000FF"/>
                      <w:sz w:val="21"/>
                      <w:szCs w:val="21"/>
                      <w:lang w:val="en-US" w:eastAsia="zh-CN"/>
                    </w:rPr>
                    <w:t>67.16</w:t>
                  </w:r>
                </w:p>
              </w:tc>
              <w:tc>
                <w:tcPr>
                  <w:tcW w:w="479" w:type="pct"/>
                  <w:vMerge w:val="restart"/>
                  <w:shd w:val="clear" w:color="auto" w:fill="FFFFFF"/>
                  <w:noWrap w:val="0"/>
                  <w:vAlign w:val="center"/>
                </w:tcPr>
                <w:p w14:paraId="1E40B4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kern w:val="2"/>
                      <w:sz w:val="21"/>
                      <w:szCs w:val="21"/>
                      <w:lang w:val="en-US" w:eastAsia="zh-CN" w:bidi="ar-SA"/>
                    </w:rPr>
                  </w:pPr>
                  <w:r>
                    <w:rPr>
                      <w:rFonts w:hint="eastAsia" w:cs="Times New Roman"/>
                      <w:b w:val="0"/>
                      <w:color w:val="0000FF"/>
                      <w:sz w:val="21"/>
                      <w:szCs w:val="21"/>
                      <w:lang w:val="en-US" w:eastAsia="zh-CN"/>
                    </w:rPr>
                    <w:t>65.18</w:t>
                  </w:r>
                </w:p>
              </w:tc>
              <w:tc>
                <w:tcPr>
                  <w:tcW w:w="465" w:type="pct"/>
                  <w:vMerge w:val="restart"/>
                  <w:shd w:val="clear" w:color="auto" w:fill="FFFFFF"/>
                  <w:noWrap w:val="0"/>
                  <w:vAlign w:val="center"/>
                </w:tcPr>
                <w:p w14:paraId="2238D3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lang w:val="en-US" w:eastAsia="zh-CN"/>
                    </w:rPr>
                  </w:pPr>
                  <w:r>
                    <w:rPr>
                      <w:rFonts w:hint="eastAsia" w:cs="Times New Roman"/>
                      <w:b w:val="0"/>
                      <w:color w:val="0000FF"/>
                      <w:sz w:val="21"/>
                      <w:szCs w:val="21"/>
                      <w:lang w:val="en-US" w:eastAsia="zh-CN"/>
                    </w:rPr>
                    <w:t>63.18</w:t>
                  </w:r>
                </w:p>
              </w:tc>
              <w:tc>
                <w:tcPr>
                  <w:tcW w:w="507" w:type="pct"/>
                  <w:vMerge w:val="restart"/>
                  <w:shd w:val="clear" w:color="auto" w:fill="FFFFFF"/>
                  <w:noWrap w:val="0"/>
                  <w:vAlign w:val="center"/>
                </w:tcPr>
                <w:p w14:paraId="6A7A50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highlight w:val="none"/>
                      <w:lang w:val="en-US" w:eastAsia="zh-CN"/>
                    </w:rPr>
                  </w:pPr>
                  <w:r>
                    <w:rPr>
                      <w:rFonts w:hint="eastAsia" w:cs="Times New Roman"/>
                      <w:b w:val="0"/>
                      <w:color w:val="0000FF"/>
                      <w:sz w:val="21"/>
                      <w:szCs w:val="21"/>
                      <w:highlight w:val="none"/>
                      <w:lang w:val="en-US" w:eastAsia="zh-CN"/>
                    </w:rPr>
                    <w:t>57.18</w:t>
                  </w:r>
                </w:p>
              </w:tc>
              <w:tc>
                <w:tcPr>
                  <w:tcW w:w="587" w:type="pct"/>
                  <w:vMerge w:val="restart"/>
                  <w:tcBorders>
                    <w:right w:val="nil"/>
                  </w:tcBorders>
                  <w:shd w:val="clear" w:color="auto" w:fill="FFFFFF"/>
                  <w:noWrap w:val="0"/>
                  <w:vAlign w:val="center"/>
                </w:tcPr>
                <w:p w14:paraId="4F694C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highlight w:val="none"/>
                      <w:lang w:val="en-US" w:eastAsia="zh-CN"/>
                    </w:rPr>
                  </w:pPr>
                  <w:r>
                    <w:rPr>
                      <w:rFonts w:hint="eastAsia" w:cs="Times New Roman"/>
                      <w:b w:val="0"/>
                      <w:color w:val="0000FF"/>
                      <w:sz w:val="21"/>
                      <w:szCs w:val="21"/>
                      <w:highlight w:val="none"/>
                      <w:lang w:val="en-US" w:eastAsia="zh-CN"/>
                    </w:rPr>
                    <w:t>51.18</w:t>
                  </w:r>
                </w:p>
              </w:tc>
            </w:tr>
            <w:tr w14:paraId="54D144B8">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c>
                <w:tcPr>
                  <w:tcW w:w="970" w:type="pct"/>
                  <w:tcBorders>
                    <w:left w:val="nil"/>
                  </w:tcBorders>
                  <w:shd w:val="clear" w:color="auto" w:fill="FFFFFF"/>
                  <w:noWrap w:val="0"/>
                  <w:vAlign w:val="center"/>
                </w:tcPr>
                <w:p w14:paraId="010E4E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挖掘机</w:t>
                  </w:r>
                </w:p>
              </w:tc>
              <w:tc>
                <w:tcPr>
                  <w:tcW w:w="408" w:type="pct"/>
                  <w:shd w:val="clear" w:color="auto" w:fill="FFFFFF"/>
                  <w:noWrap w:val="0"/>
                  <w:vAlign w:val="center"/>
                </w:tcPr>
                <w:p w14:paraId="3D203F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r>
                    <w:rPr>
                      <w:rFonts w:hint="default" w:ascii="Times New Roman" w:hAnsi="Times New Roman" w:cs="Times New Roman"/>
                      <w:b w:val="0"/>
                      <w:color w:val="0000FF"/>
                      <w:sz w:val="21"/>
                      <w:szCs w:val="21"/>
                    </w:rPr>
                    <w:t>78</w:t>
                  </w:r>
                </w:p>
              </w:tc>
              <w:tc>
                <w:tcPr>
                  <w:tcW w:w="613" w:type="pct"/>
                  <w:vMerge w:val="continue"/>
                  <w:shd w:val="clear" w:color="auto" w:fill="FFFFFF"/>
                  <w:noWrap w:val="0"/>
                  <w:vAlign w:val="center"/>
                </w:tcPr>
                <w:p w14:paraId="7AC551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p>
              </w:tc>
              <w:tc>
                <w:tcPr>
                  <w:tcW w:w="465" w:type="pct"/>
                  <w:vMerge w:val="continue"/>
                  <w:shd w:val="clear" w:color="auto" w:fill="FFFFFF"/>
                  <w:noWrap w:val="0"/>
                  <w:vAlign w:val="center"/>
                </w:tcPr>
                <w:p w14:paraId="5F8240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p>
              </w:tc>
              <w:tc>
                <w:tcPr>
                  <w:tcW w:w="503" w:type="pct"/>
                  <w:vMerge w:val="continue"/>
                  <w:shd w:val="clear" w:color="auto" w:fill="FFFFFF"/>
                  <w:noWrap w:val="0"/>
                  <w:vAlign w:val="center"/>
                </w:tcPr>
                <w:p w14:paraId="156EB4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lang w:val="en-US" w:eastAsia="zh-CN"/>
                    </w:rPr>
                  </w:pPr>
                </w:p>
              </w:tc>
              <w:tc>
                <w:tcPr>
                  <w:tcW w:w="479" w:type="pct"/>
                  <w:vMerge w:val="continue"/>
                  <w:shd w:val="clear" w:color="auto" w:fill="FFFFFF"/>
                  <w:noWrap w:val="0"/>
                  <w:vAlign w:val="center"/>
                </w:tcPr>
                <w:p w14:paraId="2A8E63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kern w:val="2"/>
                      <w:sz w:val="21"/>
                      <w:szCs w:val="21"/>
                      <w:lang w:val="en-US" w:eastAsia="zh-CN" w:bidi="ar-SA"/>
                    </w:rPr>
                  </w:pPr>
                </w:p>
              </w:tc>
              <w:tc>
                <w:tcPr>
                  <w:tcW w:w="465" w:type="pct"/>
                  <w:vMerge w:val="continue"/>
                  <w:shd w:val="clear" w:color="auto" w:fill="FFFFFF"/>
                  <w:noWrap w:val="0"/>
                  <w:vAlign w:val="center"/>
                </w:tcPr>
                <w:p w14:paraId="16C3EE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p>
              </w:tc>
              <w:tc>
                <w:tcPr>
                  <w:tcW w:w="507" w:type="pct"/>
                  <w:vMerge w:val="continue"/>
                  <w:shd w:val="clear" w:color="auto" w:fill="FFFFFF"/>
                  <w:noWrap w:val="0"/>
                  <w:vAlign w:val="center"/>
                </w:tcPr>
                <w:p w14:paraId="4A188B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highlight w:val="none"/>
                      <w:lang w:val="en-US" w:eastAsia="zh-CN"/>
                    </w:rPr>
                  </w:pPr>
                </w:p>
              </w:tc>
              <w:tc>
                <w:tcPr>
                  <w:tcW w:w="587" w:type="pct"/>
                  <w:vMerge w:val="continue"/>
                  <w:tcBorders>
                    <w:right w:val="nil"/>
                  </w:tcBorders>
                  <w:shd w:val="clear" w:color="auto" w:fill="FFFFFF"/>
                  <w:noWrap w:val="0"/>
                  <w:vAlign w:val="center"/>
                </w:tcPr>
                <w:p w14:paraId="35030A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highlight w:val="none"/>
                      <w:lang w:val="en-US" w:eastAsia="zh-CN"/>
                    </w:rPr>
                  </w:pPr>
                </w:p>
              </w:tc>
            </w:tr>
            <w:tr w14:paraId="409BF343">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108" w:type="dxa"/>
                  <w:bottom w:w="0" w:type="dxa"/>
                  <w:right w:w="108" w:type="dxa"/>
                </w:tblCellMar>
              </w:tblPrEx>
              <w:tc>
                <w:tcPr>
                  <w:tcW w:w="970" w:type="pct"/>
                  <w:tcBorders>
                    <w:left w:val="nil"/>
                  </w:tcBorders>
                  <w:shd w:val="clear" w:color="auto" w:fill="FFFFFF"/>
                  <w:noWrap w:val="0"/>
                  <w:vAlign w:val="center"/>
                </w:tcPr>
                <w:p w14:paraId="4DE0AB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lang w:val="en-US" w:eastAsia="zh-CN"/>
                    </w:rPr>
                  </w:pPr>
                  <w:r>
                    <w:rPr>
                      <w:rFonts w:hint="eastAsia" w:cs="Times New Roman"/>
                      <w:b w:val="0"/>
                      <w:color w:val="0000FF"/>
                      <w:sz w:val="21"/>
                      <w:szCs w:val="21"/>
                      <w:lang w:val="en-US" w:eastAsia="zh-CN"/>
                    </w:rPr>
                    <w:t>自卸汽车</w:t>
                  </w:r>
                </w:p>
              </w:tc>
              <w:tc>
                <w:tcPr>
                  <w:tcW w:w="408" w:type="pct"/>
                  <w:shd w:val="clear" w:color="auto" w:fill="FFFFFF"/>
                  <w:noWrap w:val="0"/>
                  <w:vAlign w:val="center"/>
                </w:tcPr>
                <w:p w14:paraId="5462CD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FF"/>
                      <w:sz w:val="21"/>
                      <w:szCs w:val="21"/>
                      <w:lang w:val="en-US" w:eastAsia="zh-CN"/>
                    </w:rPr>
                  </w:pPr>
                  <w:r>
                    <w:rPr>
                      <w:rFonts w:hint="eastAsia" w:cs="Times New Roman"/>
                      <w:b w:val="0"/>
                      <w:color w:val="0000FF"/>
                      <w:sz w:val="21"/>
                      <w:szCs w:val="21"/>
                      <w:lang w:val="en-US" w:eastAsia="zh-CN"/>
                    </w:rPr>
                    <w:t>76</w:t>
                  </w:r>
                </w:p>
              </w:tc>
              <w:tc>
                <w:tcPr>
                  <w:tcW w:w="613" w:type="pct"/>
                  <w:vMerge w:val="continue"/>
                  <w:shd w:val="clear" w:color="auto" w:fill="FFFFFF"/>
                  <w:noWrap w:val="0"/>
                  <w:vAlign w:val="center"/>
                </w:tcPr>
                <w:p w14:paraId="0CB7AF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p>
              </w:tc>
              <w:tc>
                <w:tcPr>
                  <w:tcW w:w="465" w:type="pct"/>
                  <w:vMerge w:val="continue"/>
                  <w:shd w:val="clear" w:color="auto" w:fill="FFFFFF"/>
                  <w:noWrap w:val="0"/>
                  <w:vAlign w:val="center"/>
                </w:tcPr>
                <w:p w14:paraId="4A2F9A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p>
              </w:tc>
              <w:tc>
                <w:tcPr>
                  <w:tcW w:w="503" w:type="pct"/>
                  <w:vMerge w:val="continue"/>
                  <w:shd w:val="clear" w:color="auto" w:fill="FFFFFF"/>
                  <w:noWrap w:val="0"/>
                  <w:vAlign w:val="center"/>
                </w:tcPr>
                <w:p w14:paraId="3AFAB2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color w:val="0000FF"/>
                      <w:sz w:val="21"/>
                      <w:szCs w:val="21"/>
                      <w:lang w:val="en-US" w:eastAsia="zh-CN"/>
                    </w:rPr>
                  </w:pPr>
                </w:p>
              </w:tc>
              <w:tc>
                <w:tcPr>
                  <w:tcW w:w="479" w:type="pct"/>
                  <w:vMerge w:val="continue"/>
                  <w:shd w:val="clear" w:color="auto" w:fill="FFFFFF"/>
                  <w:noWrap w:val="0"/>
                  <w:vAlign w:val="center"/>
                </w:tcPr>
                <w:p w14:paraId="411826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color w:val="0000FF"/>
                      <w:sz w:val="21"/>
                      <w:szCs w:val="21"/>
                      <w:lang w:val="en-US" w:eastAsia="zh-CN"/>
                    </w:rPr>
                  </w:pPr>
                </w:p>
              </w:tc>
              <w:tc>
                <w:tcPr>
                  <w:tcW w:w="465" w:type="pct"/>
                  <w:vMerge w:val="continue"/>
                  <w:shd w:val="clear" w:color="auto" w:fill="FFFFFF"/>
                  <w:noWrap w:val="0"/>
                  <w:vAlign w:val="center"/>
                </w:tcPr>
                <w:p w14:paraId="7F9B7B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rPr>
                  </w:pPr>
                </w:p>
              </w:tc>
              <w:tc>
                <w:tcPr>
                  <w:tcW w:w="507" w:type="pct"/>
                  <w:vMerge w:val="continue"/>
                  <w:shd w:val="clear" w:color="auto" w:fill="FFFFFF"/>
                  <w:noWrap w:val="0"/>
                  <w:vAlign w:val="center"/>
                </w:tcPr>
                <w:p w14:paraId="3BD64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color w:val="0000FF"/>
                      <w:sz w:val="21"/>
                      <w:szCs w:val="21"/>
                      <w:highlight w:val="none"/>
                      <w:lang w:val="en-US" w:eastAsia="zh-CN"/>
                    </w:rPr>
                  </w:pPr>
                </w:p>
              </w:tc>
              <w:tc>
                <w:tcPr>
                  <w:tcW w:w="587" w:type="pct"/>
                  <w:vMerge w:val="continue"/>
                  <w:tcBorders>
                    <w:right w:val="nil"/>
                  </w:tcBorders>
                  <w:shd w:val="clear" w:color="auto" w:fill="FFFFFF"/>
                  <w:noWrap w:val="0"/>
                  <w:vAlign w:val="center"/>
                </w:tcPr>
                <w:p w14:paraId="30F00A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FF"/>
                      <w:sz w:val="21"/>
                      <w:szCs w:val="21"/>
                      <w:highlight w:val="none"/>
                      <w:lang w:val="en-US" w:eastAsia="zh-CN"/>
                    </w:rPr>
                  </w:pPr>
                </w:p>
              </w:tc>
            </w:tr>
          </w:tbl>
          <w:p w14:paraId="6445411D">
            <w:pPr>
              <w:pStyle w:val="15"/>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FF"/>
                <w:sz w:val="24"/>
                <w:szCs w:val="24"/>
              </w:rPr>
              <w:t>针对上述情况，环评要求项目施工过</w:t>
            </w:r>
            <w:r>
              <w:rPr>
                <w:rFonts w:hint="default" w:ascii="Times New Roman" w:hAnsi="Times New Roman" w:eastAsia="宋体" w:cs="Times New Roman"/>
                <w:color w:val="000000" w:themeColor="text1"/>
                <w:sz w:val="24"/>
                <w:szCs w:val="24"/>
                <w14:textFill>
                  <w14:solidFill>
                    <w14:schemeClr w14:val="tx1"/>
                  </w14:solidFill>
                </w14:textFill>
              </w:rPr>
              <w:t>程中采取以下噪声减缓措施：</w:t>
            </w:r>
          </w:p>
          <w:p w14:paraId="516D225E">
            <w:pPr>
              <w:pStyle w:val="15"/>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①优先选用低噪声设备，加强施工机械的维护保养，使设备保持良好运行状态；</w:t>
            </w:r>
          </w:p>
          <w:p w14:paraId="5C96A44E">
            <w:pPr>
              <w:pStyle w:val="15"/>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②</w:t>
            </w:r>
            <w:r>
              <w:rPr>
                <w:rFonts w:hint="default" w:ascii="Times New Roman" w:hAnsi="Times New Roman" w:eastAsia="宋体" w:cs="Times New Roman"/>
                <w:color w:val="0000FF"/>
                <w:sz w:val="24"/>
                <w:szCs w:val="24"/>
              </w:rPr>
              <w:t>合理布置施工机械，将高噪声设备尽量布置于远离</w:t>
            </w:r>
            <w:r>
              <w:rPr>
                <w:rFonts w:hint="eastAsia" w:ascii="Times New Roman" w:hAnsi="Times New Roman" w:cs="Times New Roman"/>
                <w:color w:val="0000FF"/>
                <w:sz w:val="24"/>
                <w:szCs w:val="24"/>
                <w:lang w:val="en-US" w:eastAsia="zh-CN"/>
              </w:rPr>
              <w:t>居民区的一侧，根据表4-2预测可知，项目多台机械同时运行时对距离较近的</w:t>
            </w:r>
            <w:r>
              <w:rPr>
                <w:rFonts w:hint="default" w:ascii="Times New Roman" w:hAnsi="Times New Roman" w:eastAsia="宋体" w:cs="Times New Roman"/>
                <w:color w:val="0000FF"/>
                <w:sz w:val="24"/>
                <w:szCs w:val="24"/>
              </w:rPr>
              <w:t>白寨</w:t>
            </w:r>
            <w:bookmarkStart w:id="42" w:name="_GoBack"/>
            <w:bookmarkEnd w:id="42"/>
            <w:r>
              <w:rPr>
                <w:rFonts w:hint="default" w:ascii="Times New Roman" w:hAnsi="Times New Roman" w:eastAsia="宋体" w:cs="Times New Roman"/>
                <w:color w:val="0000FF"/>
                <w:sz w:val="24"/>
                <w:szCs w:val="24"/>
              </w:rPr>
              <w:t>村六社</w:t>
            </w:r>
            <w:r>
              <w:rPr>
                <w:rFonts w:hint="eastAsia" w:ascii="Times New Roman" w:hAnsi="Times New Roman" w:cs="Times New Roman"/>
                <w:color w:val="0000FF"/>
                <w:sz w:val="24"/>
                <w:szCs w:val="24"/>
                <w:lang w:eastAsia="zh-CN"/>
              </w:rPr>
              <w:t>（</w:t>
            </w:r>
            <w:r>
              <w:rPr>
                <w:rFonts w:hint="eastAsia" w:ascii="Times New Roman" w:hAnsi="Times New Roman" w:cs="Times New Roman"/>
                <w:color w:val="0000FF"/>
                <w:sz w:val="24"/>
                <w:szCs w:val="24"/>
                <w:lang w:val="en-US" w:eastAsia="zh-CN"/>
              </w:rPr>
              <w:t>距离30m</w:t>
            </w:r>
            <w:r>
              <w:rPr>
                <w:rFonts w:hint="eastAsia" w:ascii="Times New Roman" w:hAnsi="Times New Roman" w:cs="Times New Roman"/>
                <w:color w:val="0000FF"/>
                <w:sz w:val="24"/>
                <w:szCs w:val="24"/>
                <w:lang w:eastAsia="zh-CN"/>
              </w:rPr>
              <w:t>）、</w:t>
            </w:r>
            <w:r>
              <w:rPr>
                <w:rFonts w:hint="default" w:ascii="Times New Roman" w:hAnsi="Times New Roman" w:eastAsia="宋体" w:cs="Times New Roman"/>
                <w:color w:val="0000FF"/>
                <w:sz w:val="24"/>
                <w:szCs w:val="24"/>
              </w:rPr>
              <w:t>白寨村</w:t>
            </w:r>
            <w:r>
              <w:rPr>
                <w:rFonts w:hint="eastAsia" w:ascii="Times New Roman" w:hAnsi="Times New Roman" w:cs="Times New Roman"/>
                <w:color w:val="0000FF"/>
                <w:sz w:val="24"/>
                <w:szCs w:val="24"/>
                <w:lang w:val="en-US" w:eastAsia="zh-CN"/>
              </w:rPr>
              <w:t>八</w:t>
            </w:r>
            <w:r>
              <w:rPr>
                <w:rFonts w:hint="default" w:ascii="Times New Roman" w:hAnsi="Times New Roman" w:eastAsia="宋体" w:cs="Times New Roman"/>
                <w:color w:val="0000FF"/>
                <w:sz w:val="24"/>
                <w:szCs w:val="24"/>
              </w:rPr>
              <w:t>社</w:t>
            </w:r>
            <w:r>
              <w:rPr>
                <w:rFonts w:hint="eastAsia" w:ascii="Times New Roman" w:hAnsi="Times New Roman" w:cs="Times New Roman"/>
                <w:color w:val="0000FF"/>
                <w:sz w:val="24"/>
                <w:szCs w:val="24"/>
                <w:lang w:eastAsia="zh-CN"/>
              </w:rPr>
              <w:t>（</w:t>
            </w:r>
            <w:r>
              <w:rPr>
                <w:rFonts w:hint="eastAsia" w:ascii="Times New Roman" w:hAnsi="Times New Roman" w:cs="Times New Roman"/>
                <w:color w:val="0000FF"/>
                <w:sz w:val="24"/>
                <w:szCs w:val="24"/>
                <w:lang w:val="en-US" w:eastAsia="zh-CN"/>
              </w:rPr>
              <w:t>距离40m</w:t>
            </w:r>
            <w:r>
              <w:rPr>
                <w:rFonts w:hint="eastAsia" w:ascii="Times New Roman" w:hAnsi="Times New Roman" w:cs="Times New Roman"/>
                <w:color w:val="0000FF"/>
                <w:sz w:val="24"/>
                <w:szCs w:val="24"/>
                <w:lang w:eastAsia="zh-CN"/>
              </w:rPr>
              <w:t>）、</w:t>
            </w:r>
            <w:r>
              <w:rPr>
                <w:rFonts w:hint="default" w:ascii="Times New Roman" w:hAnsi="Times New Roman" w:eastAsia="宋体" w:cs="Times New Roman"/>
                <w:color w:val="0000FF"/>
                <w:sz w:val="24"/>
                <w:szCs w:val="24"/>
              </w:rPr>
              <w:t>白寨村</w:t>
            </w:r>
            <w:r>
              <w:rPr>
                <w:rFonts w:hint="eastAsia" w:ascii="Times New Roman" w:hAnsi="Times New Roman" w:cs="Times New Roman"/>
                <w:color w:val="0000FF"/>
                <w:sz w:val="24"/>
                <w:szCs w:val="24"/>
                <w:lang w:val="en-US" w:eastAsia="zh-CN"/>
              </w:rPr>
              <w:t>十一</w:t>
            </w:r>
            <w:r>
              <w:rPr>
                <w:rFonts w:hint="default" w:ascii="Times New Roman" w:hAnsi="Times New Roman" w:eastAsia="宋体" w:cs="Times New Roman"/>
                <w:color w:val="0000FF"/>
                <w:sz w:val="24"/>
                <w:szCs w:val="24"/>
              </w:rPr>
              <w:t>社</w:t>
            </w:r>
            <w:r>
              <w:rPr>
                <w:rFonts w:hint="eastAsia" w:ascii="Times New Roman" w:hAnsi="Times New Roman" w:cs="Times New Roman"/>
                <w:color w:val="0000FF"/>
                <w:sz w:val="24"/>
                <w:szCs w:val="24"/>
                <w:lang w:eastAsia="zh-CN"/>
              </w:rPr>
              <w:t>（</w:t>
            </w:r>
            <w:r>
              <w:rPr>
                <w:rFonts w:hint="eastAsia" w:ascii="Times New Roman" w:hAnsi="Times New Roman" w:cs="Times New Roman"/>
                <w:color w:val="0000FF"/>
                <w:sz w:val="24"/>
                <w:szCs w:val="24"/>
                <w:lang w:val="en-US" w:eastAsia="zh-CN"/>
              </w:rPr>
              <w:t>距离50m</w:t>
            </w:r>
            <w:r>
              <w:rPr>
                <w:rFonts w:hint="eastAsia" w:ascii="Times New Roman" w:hAnsi="Times New Roman" w:cs="Times New Roman"/>
                <w:color w:val="0000FF"/>
                <w:sz w:val="24"/>
                <w:szCs w:val="24"/>
                <w:lang w:eastAsia="zh-CN"/>
              </w:rPr>
              <w:t>）</w:t>
            </w:r>
            <w:r>
              <w:rPr>
                <w:rFonts w:hint="eastAsia" w:ascii="Times New Roman" w:hAnsi="Times New Roman" w:cs="Times New Roman"/>
                <w:color w:val="0000FF"/>
                <w:sz w:val="24"/>
                <w:szCs w:val="24"/>
                <w:lang w:val="en-US" w:eastAsia="zh-CN"/>
              </w:rPr>
              <w:t>产生影响</w:t>
            </w:r>
            <w:r>
              <w:rPr>
                <w:rFonts w:hint="default" w:ascii="Times New Roman" w:hAnsi="Times New Roman" w:eastAsia="宋体" w:cs="Times New Roman"/>
                <w:color w:val="0000FF"/>
                <w:sz w:val="24"/>
                <w:szCs w:val="24"/>
              </w:rPr>
              <w:t>，在临近</w:t>
            </w:r>
            <w:r>
              <w:rPr>
                <w:rFonts w:hint="eastAsia" w:ascii="Times New Roman" w:hAnsi="Times New Roman" w:cs="Times New Roman"/>
                <w:color w:val="0000FF"/>
                <w:sz w:val="24"/>
                <w:szCs w:val="24"/>
                <w:lang w:val="en-US" w:eastAsia="zh-CN"/>
              </w:rPr>
              <w:t>以上敏感点</w:t>
            </w:r>
            <w:r>
              <w:rPr>
                <w:rFonts w:hint="default" w:ascii="Times New Roman" w:hAnsi="Times New Roman" w:eastAsia="宋体" w:cs="Times New Roman"/>
                <w:color w:val="0000FF"/>
                <w:sz w:val="24"/>
                <w:szCs w:val="24"/>
              </w:rPr>
              <w:t>一侧的施工场界设置移动式隔声屏障（高度不低于2m），隔声屏障可有效降低噪声10~15dB(A)，确保</w:t>
            </w:r>
            <w:r>
              <w:rPr>
                <w:rFonts w:hint="eastAsia" w:ascii="Times New Roman" w:hAnsi="Times New Roman" w:cs="Times New Roman"/>
                <w:color w:val="0000FF"/>
                <w:sz w:val="24"/>
                <w:szCs w:val="24"/>
                <w:lang w:val="en-US" w:eastAsia="zh-CN"/>
              </w:rPr>
              <w:t>对环境敏感目标影响较小</w:t>
            </w:r>
            <w:r>
              <w:rPr>
                <w:rFonts w:hint="default" w:ascii="Times New Roman" w:hAnsi="Times New Roman" w:eastAsia="宋体" w:cs="Times New Roman"/>
                <w:color w:val="0000FF"/>
                <w:sz w:val="24"/>
                <w:szCs w:val="24"/>
              </w:rPr>
              <w:t>；</w:t>
            </w:r>
          </w:p>
          <w:p w14:paraId="4B0F951F">
            <w:pPr>
              <w:pStyle w:val="15"/>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③合理安排施工时间，严禁在午休（12:00~14:00）及夜间（22:00~06:00）等休息时段进行高噪声施工作业，施工期间在临近居民点处提前张贴施工告示，加强与周边居民的沟通协调；</w:t>
            </w:r>
          </w:p>
          <w:p w14:paraId="454EE720">
            <w:pPr>
              <w:pStyle w:val="15"/>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④加强施工期环境管理，运输车辆途经居民点时减速慢行、禁止鸣笛。</w:t>
            </w:r>
          </w:p>
          <w:p w14:paraId="25F57425">
            <w:pPr>
              <w:pStyle w:val="15"/>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次评价已将隔声屏障费用纳入环保投资（环保投资中的2万元噪声治理费用明确用于近敏感点段移动式隔声屏障的购置与安装）。随着施工的结束，施工噪声影响将随之消失；结合本项目特点，施工期运输量较小，交通运输噪声对周围环境的影响甚微。</w:t>
            </w:r>
          </w:p>
          <w:p w14:paraId="287EDEFB">
            <w:pPr>
              <w:pStyle w:val="15"/>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工程施工对项目周边动物的影响主要为施工噪声迫使绝大多数动物的成体通过迁移方式远离施工区，但当施工结束后，施工区域内或施工区附近的植被逐渐恢复，这些动物又会逐渐返回。</w:t>
            </w:r>
          </w:p>
          <w:p w14:paraId="4646F4FD">
            <w:pPr>
              <w:pStyle w:val="15"/>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综上，本项目施工期在采取上述针对性隔声降噪措施后，产生的噪声对周围环境和敏感目标的影响可控制在可接受范围内。</w:t>
            </w:r>
          </w:p>
          <w:p w14:paraId="6647FBC4">
            <w:pPr>
              <w:pageBreakBefore w:val="0"/>
              <w:kinsoku/>
              <w:wordWrap/>
              <w:overflowPunct/>
              <w:topLinePunct w:val="0"/>
              <w:autoSpaceDE/>
              <w:autoSpaceDN/>
              <w:bidi w:val="0"/>
              <w:adjustRightInd/>
              <w:snapToGrid/>
              <w:spacing w:line="360" w:lineRule="auto"/>
              <w:ind w:left="0" w:leftChars="0" w:right="0" w:firstLine="0" w:firstLineChars="0"/>
              <w:textAlignment w:val="auto"/>
              <w:rPr>
                <w:rFonts w:hint="default" w:ascii="Times New Roman" w:hAnsi="Times New Roman" w:eastAsia="仿宋_GB2312" w:cs="Times New Roman"/>
                <w:b/>
                <w:bCs/>
                <w:color w:val="000000" w:themeColor="text1"/>
                <w:spacing w:val="-7"/>
                <w:sz w:val="28"/>
                <w:szCs w:val="28"/>
                <w14:textFill>
                  <w14:solidFill>
                    <w14:schemeClr w14:val="tx1"/>
                  </w14:solidFill>
                </w14:textFill>
              </w:rPr>
            </w:pPr>
            <w:r>
              <w:rPr>
                <w:rFonts w:hint="default" w:ascii="Times New Roman" w:hAnsi="Times New Roman" w:eastAsia="仿宋_GB2312" w:cs="Times New Roman"/>
                <w:b/>
                <w:bCs/>
                <w:color w:val="000000" w:themeColor="text1"/>
                <w:spacing w:val="-7"/>
                <w:sz w:val="28"/>
                <w:szCs w:val="28"/>
                <w:lang w:val="en-US" w:eastAsia="zh-CN"/>
                <w14:textFill>
                  <w14:solidFill>
                    <w14:schemeClr w14:val="tx1"/>
                  </w14:solidFill>
                </w14:textFill>
              </w:rPr>
              <w:t>4.1.</w:t>
            </w:r>
            <w:r>
              <w:rPr>
                <w:rFonts w:hint="default" w:ascii="Times New Roman" w:hAnsi="Times New Roman" w:eastAsia="仿宋_GB2312" w:cs="Times New Roman"/>
                <w:b/>
                <w:bCs/>
                <w:color w:val="000000" w:themeColor="text1"/>
                <w:spacing w:val="-7"/>
                <w:sz w:val="28"/>
                <w:szCs w:val="28"/>
                <w14:textFill>
                  <w14:solidFill>
                    <w14:schemeClr w14:val="tx1"/>
                  </w14:solidFill>
                </w14:textFill>
              </w:rPr>
              <w:t>4</w:t>
            </w:r>
            <w:r>
              <w:rPr>
                <w:rFonts w:hint="default" w:ascii="Times New Roman" w:hAnsi="Times New Roman" w:eastAsia="仿宋_GB2312" w:cs="Times New Roman"/>
                <w:b/>
                <w:bCs/>
                <w:color w:val="000000" w:themeColor="text1"/>
                <w:spacing w:val="-7"/>
                <w:sz w:val="28"/>
                <w:szCs w:val="28"/>
                <w:lang w:val="en-US" w:eastAsia="zh-CN"/>
                <w14:textFill>
                  <w14:solidFill>
                    <w14:schemeClr w14:val="tx1"/>
                  </w14:solidFill>
                </w14:textFill>
              </w:rPr>
              <w:t xml:space="preserve"> </w:t>
            </w:r>
            <w:r>
              <w:rPr>
                <w:rFonts w:hint="default" w:ascii="Times New Roman" w:hAnsi="Times New Roman" w:eastAsia="仿宋_GB2312" w:cs="Times New Roman"/>
                <w:b/>
                <w:bCs/>
                <w:color w:val="000000" w:themeColor="text1"/>
                <w:spacing w:val="-7"/>
                <w:sz w:val="28"/>
                <w:szCs w:val="28"/>
                <w14:textFill>
                  <w14:solidFill>
                    <w14:schemeClr w14:val="tx1"/>
                  </w14:solidFill>
                </w14:textFill>
              </w:rPr>
              <w:t>施工期固废影响分析</w:t>
            </w:r>
          </w:p>
          <w:p w14:paraId="25CEC0E6">
            <w:pPr>
              <w:bidi w:val="0"/>
              <w:rPr>
                <w:rFonts w:hint="default" w:ascii="Times New Roman" w:hAnsi="Times New Roman" w:cs="Times New Roman"/>
              </w:rPr>
            </w:pPr>
            <w:r>
              <w:rPr>
                <w:rFonts w:hint="default" w:ascii="Times New Roman" w:hAnsi="Times New Roman" w:cs="Times New Roman"/>
              </w:rPr>
              <w:t>本工程施工产生的固体废物主要</w:t>
            </w:r>
            <w:r>
              <w:rPr>
                <w:rFonts w:hint="eastAsia" w:cs="Times New Roman"/>
                <w:lang w:val="en-US" w:eastAsia="zh-CN"/>
              </w:rPr>
              <w:t>阴沟治理</w:t>
            </w:r>
            <w:r>
              <w:rPr>
                <w:rFonts w:hint="default" w:ascii="Times New Roman" w:hAnsi="Times New Roman" w:cs="Times New Roman"/>
                <w:lang w:val="en-US" w:eastAsia="zh-CN"/>
              </w:rPr>
              <w:t>开挖中的</w:t>
            </w:r>
            <w:r>
              <w:rPr>
                <w:rFonts w:hint="eastAsia" w:cs="Times New Roman"/>
                <w:lang w:val="en-US" w:eastAsia="zh-CN"/>
              </w:rPr>
              <w:t>植物根系等一般固废</w:t>
            </w:r>
            <w:r>
              <w:rPr>
                <w:rFonts w:hint="default" w:ascii="Times New Roman" w:hAnsi="Times New Roman" w:cs="Times New Roman"/>
              </w:rPr>
              <w:t>、施工人员生活垃圾</w:t>
            </w:r>
            <w:r>
              <w:rPr>
                <w:rFonts w:hint="eastAsia" w:cs="Times New Roman"/>
                <w:lang w:eastAsia="zh-CN"/>
              </w:rPr>
              <w:t>、</w:t>
            </w:r>
            <w:r>
              <w:rPr>
                <w:rFonts w:hint="eastAsia" w:cs="Times New Roman"/>
                <w:lang w:val="en-US" w:eastAsia="zh-CN"/>
              </w:rPr>
              <w:t>清理的淤泥</w:t>
            </w:r>
            <w:r>
              <w:rPr>
                <w:rFonts w:hint="default" w:ascii="Times New Roman" w:hAnsi="Times New Roman" w:cs="Times New Roman"/>
              </w:rPr>
              <w:t>等。</w:t>
            </w:r>
          </w:p>
          <w:p w14:paraId="4D4AE996">
            <w:pPr>
              <w:bidi w:val="0"/>
              <w:rPr>
                <w:rFonts w:hint="default" w:ascii="Times New Roman" w:hAnsi="Times New Roman" w:cs="Times New Roman"/>
              </w:rPr>
            </w:pPr>
            <w:r>
              <w:rPr>
                <w:rFonts w:hint="default" w:ascii="Times New Roman" w:hAnsi="Times New Roman" w:cs="Times New Roman"/>
              </w:rPr>
              <w:t>（1）生活垃圾</w:t>
            </w:r>
          </w:p>
          <w:p w14:paraId="4E2FC3C7">
            <w:pPr>
              <w:bidi w:val="0"/>
              <w:rPr>
                <w:rFonts w:hint="default" w:ascii="Times New Roman" w:hAnsi="Times New Roman" w:cs="Times New Roman"/>
              </w:rPr>
            </w:pPr>
            <w:r>
              <w:rPr>
                <w:rFonts w:hint="default" w:ascii="Times New Roman" w:hAnsi="Times New Roman" w:cs="Times New Roman"/>
              </w:rPr>
              <w:t>本项目施工期生活垃圾产生量为</w:t>
            </w:r>
            <w:r>
              <w:rPr>
                <w:rFonts w:hint="default" w:ascii="Times New Roman" w:hAnsi="Times New Roman" w:cs="Times New Roman"/>
                <w:lang w:val="en-US" w:eastAsia="zh-CN"/>
              </w:rPr>
              <w:t>1</w:t>
            </w:r>
            <w:r>
              <w:rPr>
                <w:rFonts w:hint="default" w:ascii="Times New Roman" w:hAnsi="Times New Roman" w:cs="Times New Roman"/>
              </w:rPr>
              <w:t>0kg/d，总的生活垃圾产生量为</w:t>
            </w:r>
            <w:r>
              <w:rPr>
                <w:rFonts w:hint="default" w:ascii="Times New Roman" w:hAnsi="Times New Roman" w:cs="Times New Roman"/>
                <w:lang w:val="en-US" w:eastAsia="zh-CN"/>
              </w:rPr>
              <w:t>2.7</w:t>
            </w:r>
            <w:r>
              <w:rPr>
                <w:rFonts w:hint="default" w:ascii="Times New Roman" w:hAnsi="Times New Roman" w:cs="Times New Roman"/>
              </w:rPr>
              <w:t>t，施工期生活垃圾经</w:t>
            </w:r>
            <w:r>
              <w:rPr>
                <w:rFonts w:hint="default" w:ascii="Times New Roman" w:hAnsi="Times New Roman" w:cs="Times New Roman"/>
                <w:lang w:eastAsia="zh-CN"/>
              </w:rPr>
              <w:t>带盖</w:t>
            </w:r>
            <w:r>
              <w:rPr>
                <w:rFonts w:hint="default" w:ascii="Times New Roman" w:hAnsi="Times New Roman" w:cs="Times New Roman"/>
              </w:rPr>
              <w:t>垃圾箱收集后，定期由施工单位清运至</w:t>
            </w:r>
            <w:r>
              <w:rPr>
                <w:rFonts w:hint="default" w:ascii="Times New Roman" w:hAnsi="Times New Roman" w:cs="Times New Roman"/>
                <w:lang w:val="en-US" w:eastAsia="zh-CN"/>
              </w:rPr>
              <w:t>生活垃圾收集点</w:t>
            </w:r>
            <w:r>
              <w:rPr>
                <w:rFonts w:hint="default" w:ascii="Times New Roman" w:hAnsi="Times New Roman" w:cs="Times New Roman"/>
              </w:rPr>
              <w:t>，对周围环境的影响甚微。</w:t>
            </w:r>
          </w:p>
          <w:p w14:paraId="338FCD5A">
            <w:pPr>
              <w:bidi w:val="0"/>
              <w:rPr>
                <w:rFonts w:hint="default" w:ascii="Times New Roman" w:hAnsi="Times New Roman" w:eastAsia="宋体" w:cs="Times New Roman"/>
                <w:lang w:val="en-US" w:eastAsia="zh-CN"/>
              </w:rPr>
            </w:pPr>
            <w:bookmarkStart w:id="20" w:name="OLE_LINK52"/>
            <w:bookmarkStart w:id="21" w:name="OLE_LINK55"/>
            <w:r>
              <w:rPr>
                <w:rFonts w:hint="default" w:ascii="Times New Roman" w:hAnsi="Times New Roman" w:cs="Times New Roman"/>
              </w:rPr>
              <w:t>（</w:t>
            </w:r>
            <w:r>
              <w:rPr>
                <w:rFonts w:hint="default" w:ascii="Times New Roman" w:hAnsi="Times New Roman" w:cs="Times New Roman"/>
                <w:lang w:val="en-US" w:eastAsia="zh-CN"/>
              </w:rPr>
              <w:t>2</w:t>
            </w:r>
            <w:r>
              <w:rPr>
                <w:rFonts w:hint="default" w:ascii="Times New Roman" w:hAnsi="Times New Roman" w:cs="Times New Roman"/>
              </w:rPr>
              <w:t>）</w:t>
            </w:r>
            <w:r>
              <w:rPr>
                <w:rFonts w:hint="default" w:ascii="Times New Roman" w:hAnsi="Times New Roman" w:cs="Times New Roman"/>
                <w:lang w:val="en-US" w:eastAsia="zh-CN"/>
              </w:rPr>
              <w:t>植物根系</w:t>
            </w:r>
          </w:p>
          <w:p w14:paraId="37C26613">
            <w:pPr>
              <w:bidi w:val="0"/>
              <w:rPr>
                <w:rFonts w:hint="default" w:ascii="Times New Roman" w:hAnsi="Times New Roman" w:cs="Times New Roman"/>
              </w:rPr>
            </w:pPr>
            <w:r>
              <w:rPr>
                <w:rFonts w:hint="default" w:ascii="Times New Roman" w:hAnsi="Times New Roman" w:cs="Times New Roman"/>
                <w:lang w:val="en-US" w:eastAsia="zh-CN"/>
              </w:rPr>
              <w:t>根据现场踏勘，项目</w:t>
            </w:r>
            <w:r>
              <w:rPr>
                <w:rFonts w:hint="eastAsia" w:cs="Times New Roman"/>
                <w:lang w:val="en-US" w:eastAsia="zh-CN"/>
              </w:rPr>
              <w:t>阴沟治理及农渠提升改造</w:t>
            </w:r>
            <w:r>
              <w:rPr>
                <w:rFonts w:hint="default" w:ascii="Times New Roman" w:hAnsi="Times New Roman" w:cs="Times New Roman"/>
                <w:lang w:val="en-US" w:eastAsia="zh-CN"/>
              </w:rPr>
              <w:t>开挖，仅有少量的植物根系，植物根系</w:t>
            </w:r>
            <w:r>
              <w:rPr>
                <w:rFonts w:hint="default" w:ascii="Times New Roman" w:hAnsi="Times New Roman" w:cs="Times New Roman"/>
              </w:rPr>
              <w:t>约</w:t>
            </w:r>
            <w:r>
              <w:rPr>
                <w:rFonts w:hint="default" w:ascii="Times New Roman" w:hAnsi="Times New Roman" w:cs="Times New Roman"/>
                <w:lang w:val="en-US" w:eastAsia="zh-CN"/>
              </w:rPr>
              <w:t>5t</w:t>
            </w:r>
            <w:r>
              <w:rPr>
                <w:rFonts w:hint="default" w:ascii="Times New Roman" w:hAnsi="Times New Roman" w:cs="Times New Roman"/>
              </w:rPr>
              <w:t>，收集后</w:t>
            </w:r>
            <w:r>
              <w:rPr>
                <w:rFonts w:hint="default" w:ascii="Times New Roman" w:hAnsi="Times New Roman" w:cs="Times New Roman"/>
                <w:lang w:val="en-US" w:eastAsia="zh-CN"/>
              </w:rPr>
              <w:t>统一清运至生活垃圾收集点，统一由环卫部门处理，</w:t>
            </w:r>
            <w:r>
              <w:rPr>
                <w:rFonts w:hint="default" w:ascii="Times New Roman" w:hAnsi="Times New Roman" w:cs="Times New Roman"/>
              </w:rPr>
              <w:t>对周围几乎无影响</w:t>
            </w:r>
            <w:bookmarkEnd w:id="20"/>
            <w:r>
              <w:rPr>
                <w:rFonts w:hint="default" w:ascii="Times New Roman" w:hAnsi="Times New Roman" w:cs="Times New Roman"/>
              </w:rPr>
              <w:t>。</w:t>
            </w:r>
            <w:bookmarkEnd w:id="21"/>
          </w:p>
          <w:p w14:paraId="4E9E4961">
            <w:pPr>
              <w:bidi w:val="0"/>
              <w:rPr>
                <w:rFonts w:hint="default" w:cs="Times New Roman"/>
                <w:lang w:val="en-US" w:eastAsia="zh-CN"/>
              </w:rPr>
            </w:pPr>
            <w:r>
              <w:rPr>
                <w:rFonts w:hint="eastAsia" w:cs="Times New Roman"/>
                <w:lang w:val="en-US" w:eastAsia="zh-CN"/>
              </w:rPr>
              <w:t>（3）项目阴沟治理过程中清理出的淤泥，就地回用于阴沟坡面治理，不外运，其中混杂的生活垃圾统一收集后定期清运至生活垃圾收集点。</w:t>
            </w:r>
          </w:p>
          <w:p w14:paraId="065BA132">
            <w:pPr>
              <w:bidi w:val="0"/>
              <w:rPr>
                <w:rFonts w:hint="default" w:ascii="Times New Roman" w:hAnsi="Times New Roman" w:cs="Times New Roman"/>
                <w:lang w:val="en-US" w:eastAsia="zh-CN"/>
              </w:rPr>
            </w:pPr>
            <w:r>
              <w:rPr>
                <w:rFonts w:hint="default" w:ascii="Times New Roman" w:hAnsi="Times New Roman" w:cs="Times New Roman"/>
                <w:lang w:val="en-US" w:eastAsia="zh-CN"/>
              </w:rPr>
              <w:t>综上，本项目施工过程中产生的固废均得到妥善处置，不会对周围环境造成较大影响。</w:t>
            </w:r>
          </w:p>
          <w:p w14:paraId="2393B9CF">
            <w:pPr>
              <w:pageBreakBefore w:val="0"/>
              <w:kinsoku/>
              <w:wordWrap/>
              <w:overflowPunct/>
              <w:topLinePunct w:val="0"/>
              <w:autoSpaceDE/>
              <w:autoSpaceDN/>
              <w:bidi w:val="0"/>
              <w:adjustRightInd/>
              <w:snapToGrid/>
              <w:spacing w:line="360" w:lineRule="auto"/>
              <w:ind w:left="0" w:leftChars="0" w:right="0" w:firstLine="0" w:firstLineChars="0"/>
              <w:textAlignment w:val="auto"/>
              <w:rPr>
                <w:rFonts w:hint="default" w:ascii="Times New Roman" w:hAnsi="Times New Roman" w:eastAsia="仿宋_GB2312" w:cs="Times New Roman"/>
                <w:b/>
                <w:bCs/>
                <w:color w:val="000000" w:themeColor="text1"/>
                <w:sz w:val="28"/>
                <w:szCs w:val="28"/>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4.1.</w:t>
            </w:r>
            <w:r>
              <w:rPr>
                <w:rFonts w:hint="default" w:ascii="Times New Roman" w:hAnsi="Times New Roman" w:eastAsia="仿宋_GB2312" w:cs="Times New Roman"/>
                <w:b/>
                <w:bCs/>
                <w:color w:val="000000" w:themeColor="text1"/>
                <w:sz w:val="28"/>
                <w:szCs w:val="28"/>
                <w14:textFill>
                  <w14:solidFill>
                    <w14:schemeClr w14:val="tx1"/>
                  </w14:solidFill>
                </w14:textFill>
              </w:rPr>
              <w:t>5</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 xml:space="preserve"> </w:t>
            </w:r>
            <w:bookmarkStart w:id="22" w:name="OLE_LINK57"/>
            <w:r>
              <w:rPr>
                <w:rFonts w:hint="default" w:ascii="Times New Roman" w:hAnsi="Times New Roman" w:eastAsia="仿宋_GB2312" w:cs="Times New Roman"/>
                <w:b/>
                <w:bCs/>
                <w:color w:val="000000" w:themeColor="text1"/>
                <w:sz w:val="28"/>
                <w:szCs w:val="28"/>
                <w14:textFill>
                  <w14:solidFill>
                    <w14:schemeClr w14:val="tx1"/>
                  </w14:solidFill>
                </w14:textFill>
              </w:rPr>
              <w:t>生态环境影响分析</w:t>
            </w:r>
            <w:bookmarkEnd w:id="22"/>
          </w:p>
          <w:p w14:paraId="0F4672B4">
            <w:pPr>
              <w:bidi w:val="0"/>
              <w:rPr>
                <w:rFonts w:hint="default" w:ascii="Times New Roman" w:hAnsi="Times New Roman" w:cs="Times New Roman"/>
                <w:lang w:eastAsia="zh-CN"/>
              </w:rPr>
            </w:pPr>
            <w:r>
              <w:rPr>
                <w:rFonts w:hint="default" w:ascii="Times New Roman" w:hAnsi="Times New Roman" w:cs="Times New Roman"/>
                <w:lang w:eastAsia="zh-CN"/>
              </w:rPr>
              <w:t>（1）对植物的影响</w:t>
            </w:r>
          </w:p>
          <w:p w14:paraId="488FE4B0">
            <w:pPr>
              <w:bidi w:val="0"/>
              <w:rPr>
                <w:rFonts w:hint="default" w:ascii="Times New Roman" w:hAnsi="Times New Roman" w:cs="Times New Roman"/>
                <w:lang w:eastAsia="zh-CN"/>
              </w:rPr>
            </w:pPr>
            <w:r>
              <w:rPr>
                <w:rFonts w:hint="default" w:ascii="Times New Roman" w:hAnsi="Times New Roman" w:cs="Times New Roman"/>
                <w:lang w:eastAsia="zh-CN"/>
              </w:rPr>
              <w:t>①工程占地的影响</w:t>
            </w:r>
          </w:p>
          <w:p w14:paraId="1584BBAE">
            <w:pPr>
              <w:bidi w:val="0"/>
              <w:rPr>
                <w:rFonts w:hint="default" w:ascii="Times New Roman" w:hAnsi="Times New Roman" w:cs="Times New Roman"/>
                <w:lang w:eastAsia="zh-CN"/>
              </w:rPr>
            </w:pPr>
            <w:r>
              <w:rPr>
                <w:rFonts w:hint="default" w:ascii="Times New Roman" w:hAnsi="Times New Roman" w:cs="Times New Roman"/>
                <w:lang w:eastAsia="zh-CN"/>
              </w:rPr>
              <w:t>本工程建设对陆生生态环境的影响主要表现在施工期，在施工作业过程、工程占地对土地利用、植被、水土流失等产生的影响，改变部分原有的地形地貌，破坏现有植被，使地表出现局部裸露，破坏了原有的自然风貌及景观。</w:t>
            </w:r>
          </w:p>
          <w:p w14:paraId="489535A5">
            <w:pPr>
              <w:bidi w:val="0"/>
              <w:rPr>
                <w:rFonts w:hint="default" w:ascii="Times New Roman" w:hAnsi="Times New Roman" w:cs="Times New Roman"/>
              </w:rPr>
            </w:pPr>
            <w:r>
              <w:rPr>
                <w:rFonts w:hint="default" w:ascii="Times New Roman" w:hAnsi="Times New Roman" w:cs="Times New Roman"/>
              </w:rPr>
              <w:t>工程永久占地主要是堤防工程及其附属建筑物，临时占地包括工程基础开挖区域</w:t>
            </w:r>
            <w:r>
              <w:rPr>
                <w:rFonts w:hint="default" w:ascii="Times New Roman" w:hAnsi="Times New Roman" w:cs="Times New Roman"/>
                <w:lang w:val="en-US" w:eastAsia="zh-CN"/>
              </w:rPr>
              <w:t>周边5m</w:t>
            </w:r>
            <w:r>
              <w:rPr>
                <w:rFonts w:hint="default" w:ascii="Times New Roman" w:hAnsi="Times New Roman" w:cs="Times New Roman"/>
              </w:rPr>
              <w:t>、</w:t>
            </w:r>
            <w:r>
              <w:rPr>
                <w:rFonts w:hint="default" w:ascii="Times New Roman" w:hAnsi="Times New Roman" w:cs="Times New Roman"/>
                <w:lang w:val="en-US" w:eastAsia="zh-CN"/>
              </w:rPr>
              <w:t>施工临时道路占地</w:t>
            </w:r>
            <w:r>
              <w:rPr>
                <w:rFonts w:hint="default" w:ascii="Times New Roman" w:hAnsi="Times New Roman" w:cs="Times New Roman"/>
              </w:rPr>
              <w:t>。</w:t>
            </w:r>
          </w:p>
          <w:p w14:paraId="443B8456">
            <w:pPr>
              <w:bidi w:val="0"/>
              <w:rPr>
                <w:rFonts w:hint="default" w:ascii="Times New Roman" w:hAnsi="Times New Roman" w:eastAsia="仿宋_GB2312" w:cs="Times New Roman"/>
                <w:color w:val="000000" w:themeColor="text1"/>
                <w:szCs w:val="28"/>
                <w:lang w:val="en-US" w:eastAsia="zh-CN"/>
                <w14:textFill>
                  <w14:solidFill>
                    <w14:schemeClr w14:val="tx1"/>
                  </w14:solidFill>
                </w14:textFill>
              </w:rPr>
            </w:pPr>
            <w:r>
              <w:rPr>
                <w:rFonts w:hint="default" w:ascii="Times New Roman" w:hAnsi="Times New Roman" w:cs="Times New Roman"/>
                <w:lang w:val="en-US" w:eastAsia="zh-CN"/>
              </w:rPr>
              <w:t>工程施工结束后将对临时占地采取恢复措施，因此临时占地的影响只是在施工期间，由于工程施工时间较短，采取适当的措施后，其施工期的影响较小，工程完工后可以得到恢复。</w:t>
            </w:r>
          </w:p>
          <w:p w14:paraId="21DA9D0F">
            <w:pPr>
              <w:bidi w:val="0"/>
              <w:rPr>
                <w:rFonts w:hint="default" w:ascii="Times New Roman" w:hAnsi="Times New Roman" w:cs="Times New Roman"/>
                <w:lang w:eastAsia="zh-CN"/>
              </w:rPr>
            </w:pPr>
            <w:r>
              <w:rPr>
                <w:rFonts w:hint="default" w:ascii="Times New Roman" w:hAnsi="Times New Roman" w:cs="Times New Roman"/>
                <w:lang w:eastAsia="zh-CN"/>
              </w:rPr>
              <w:t>②施工建设活动影响</w:t>
            </w:r>
          </w:p>
          <w:p w14:paraId="777BBBFE">
            <w:pPr>
              <w:bidi w:val="0"/>
              <w:rPr>
                <w:rFonts w:hint="default" w:ascii="Times New Roman" w:hAnsi="Times New Roman" w:cs="Times New Roman"/>
                <w:lang w:eastAsia="zh-CN"/>
              </w:rPr>
            </w:pPr>
            <w:r>
              <w:rPr>
                <w:rFonts w:hint="default" w:ascii="Times New Roman" w:hAnsi="Times New Roman" w:cs="Times New Roman"/>
                <w:lang w:eastAsia="zh-CN"/>
              </w:rPr>
              <w:t>施工将进行土石方的挖掘和填筑，裸露的地面在</w:t>
            </w:r>
            <w:r>
              <w:rPr>
                <w:rFonts w:hint="default" w:ascii="Times New Roman" w:hAnsi="Times New Roman" w:cs="Times New Roman"/>
                <w:lang w:val="en-US" w:eastAsia="zh-CN"/>
              </w:rPr>
              <w:t>旱</w:t>
            </w:r>
            <w:r>
              <w:rPr>
                <w:rFonts w:hint="default" w:ascii="Times New Roman" w:hAnsi="Times New Roman" w:cs="Times New Roman"/>
                <w:lang w:eastAsia="zh-CN"/>
              </w:rPr>
              <w:t>季引起大量扬尘，对于附近的树木也将产生一定影响。扬尘会影响光合作用，影响树木生长。本工程为线性工程，开挖面积和开挖量均较小，并且工期较短，随着施工结束，这些不良影响也将逐步消失。</w:t>
            </w:r>
          </w:p>
          <w:p w14:paraId="18E8A24F">
            <w:pPr>
              <w:bidi w:val="0"/>
              <w:rPr>
                <w:rFonts w:hint="default" w:ascii="Times New Roman" w:hAnsi="Times New Roman" w:cs="Times New Roman"/>
                <w:lang w:eastAsia="zh-CN"/>
              </w:rPr>
            </w:pPr>
            <w:r>
              <w:rPr>
                <w:rFonts w:hint="default" w:ascii="Times New Roman" w:hAnsi="Times New Roman" w:cs="Times New Roman"/>
                <w:lang w:eastAsia="zh-CN"/>
              </w:rPr>
              <w:t>工程建设期间虽然对生物量、分布格局及生物多样性造成一定程度的影响，但由于工程工期短，占用土地少，对</w:t>
            </w:r>
            <w:r>
              <w:rPr>
                <w:rFonts w:hint="eastAsia" w:cs="Times New Roman"/>
                <w:lang w:val="en-US" w:eastAsia="zh-CN"/>
              </w:rPr>
              <w:t>阴沟两侧</w:t>
            </w:r>
            <w:r>
              <w:rPr>
                <w:rFonts w:hint="default" w:ascii="Times New Roman" w:hAnsi="Times New Roman" w:cs="Times New Roman"/>
                <w:lang w:eastAsia="zh-CN"/>
              </w:rPr>
              <w:t>植被破坏性不大，施工结束后对新建土堤进行护坡</w:t>
            </w:r>
            <w:r>
              <w:rPr>
                <w:rFonts w:hint="eastAsia" w:cs="Times New Roman"/>
                <w:lang w:val="en-US" w:eastAsia="zh-CN"/>
              </w:rPr>
              <w:t>恢复治理</w:t>
            </w:r>
            <w:r>
              <w:rPr>
                <w:rFonts w:hint="default" w:ascii="Times New Roman" w:hAnsi="Times New Roman" w:cs="Times New Roman"/>
                <w:lang w:eastAsia="zh-CN"/>
              </w:rPr>
              <w:t>，一定程度上提高了区域的生态环境效益和景观生态效益。</w:t>
            </w:r>
          </w:p>
          <w:p w14:paraId="5DA7D6A5">
            <w:pPr>
              <w:bidi w:val="0"/>
              <w:rPr>
                <w:rFonts w:hint="default" w:ascii="Times New Roman" w:hAnsi="Times New Roman" w:cs="Times New Roman"/>
                <w:lang w:eastAsia="zh-CN"/>
              </w:rPr>
            </w:pPr>
            <w:r>
              <w:rPr>
                <w:rFonts w:hint="default" w:ascii="Times New Roman" w:hAnsi="Times New Roman" w:cs="Times New Roman"/>
                <w:lang w:eastAsia="zh-CN"/>
              </w:rPr>
              <w:t>在工程施工期间，施工人员施工、车辆运输、机械运行等施工活动将给生物及其生境带来影响，施工过程中的噪音和灯光对动物生活习性的影响。由于施工不是长久的，因此除对动植物栖息地的破坏外，其他影响为暂时性的</w:t>
            </w:r>
            <w:r>
              <w:rPr>
                <w:rFonts w:hint="eastAsia" w:cs="Times New Roman"/>
                <w:lang w:eastAsia="zh-CN"/>
              </w:rPr>
              <w:t>，</w:t>
            </w:r>
            <w:r>
              <w:rPr>
                <w:rFonts w:hint="eastAsia" w:cs="Times New Roman"/>
                <w:lang w:val="en-US" w:eastAsia="zh-CN"/>
              </w:rPr>
              <w:t>且本项目兼有低效林改造及封禁管理区域，能够改善动植物的栖息地</w:t>
            </w:r>
            <w:r>
              <w:rPr>
                <w:rFonts w:hint="default" w:ascii="Times New Roman" w:hAnsi="Times New Roman" w:cs="Times New Roman"/>
                <w:lang w:eastAsia="zh-CN"/>
              </w:rPr>
              <w:t>。</w:t>
            </w:r>
          </w:p>
          <w:p w14:paraId="393BAEE3">
            <w:pPr>
              <w:bidi w:val="0"/>
              <w:rPr>
                <w:rFonts w:hint="default" w:ascii="Times New Roman" w:hAnsi="Times New Roman" w:cs="Times New Roman"/>
                <w:lang w:eastAsia="zh-CN"/>
              </w:rPr>
            </w:pPr>
            <w:r>
              <w:rPr>
                <w:rFonts w:hint="default" w:ascii="Times New Roman" w:hAnsi="Times New Roman" w:cs="Times New Roman"/>
                <w:lang w:eastAsia="zh-CN"/>
              </w:rPr>
              <w:t>③对</w:t>
            </w:r>
            <w:r>
              <w:rPr>
                <w:rFonts w:hint="eastAsia" w:cs="Times New Roman"/>
                <w:lang w:val="en-US" w:eastAsia="zh-CN"/>
              </w:rPr>
              <w:t>项目周边</w:t>
            </w:r>
            <w:r>
              <w:rPr>
                <w:rFonts w:hint="default" w:ascii="Times New Roman" w:hAnsi="Times New Roman" w:cs="Times New Roman"/>
                <w:lang w:eastAsia="zh-CN"/>
              </w:rPr>
              <w:t>生态环境影响</w:t>
            </w:r>
          </w:p>
          <w:p w14:paraId="0D8A9128">
            <w:pPr>
              <w:bidi w:val="0"/>
              <w:rPr>
                <w:rFonts w:hint="default" w:ascii="Times New Roman" w:hAnsi="Times New Roman" w:cs="Times New Roman"/>
                <w:lang w:eastAsia="zh-CN"/>
              </w:rPr>
            </w:pPr>
            <w:r>
              <w:rPr>
                <w:rFonts w:hint="default" w:ascii="Times New Roman" w:hAnsi="Times New Roman" w:cs="Times New Roman"/>
                <w:lang w:eastAsia="zh-CN"/>
              </w:rPr>
              <w:t>工程实施前，评价区陆生生态系统类型主要是分布于工程</w:t>
            </w:r>
            <w:r>
              <w:rPr>
                <w:rFonts w:hint="eastAsia" w:cs="Times New Roman"/>
                <w:lang w:val="en-US" w:eastAsia="zh-CN"/>
              </w:rPr>
              <w:t>周边</w:t>
            </w:r>
            <w:r>
              <w:rPr>
                <w:rFonts w:hint="default" w:ascii="Times New Roman" w:hAnsi="Times New Roman" w:cs="Times New Roman"/>
                <w:lang w:eastAsia="zh-CN"/>
              </w:rPr>
              <w:t>的杂草、灌木等。工程实施后，为了满足生态、景观的要求，</w:t>
            </w:r>
            <w:r>
              <w:rPr>
                <w:rFonts w:hint="eastAsia" w:cs="Times New Roman"/>
                <w:lang w:val="en-US" w:eastAsia="zh-CN"/>
              </w:rPr>
              <w:t>阴沟</w:t>
            </w:r>
            <w:r>
              <w:rPr>
                <w:rFonts w:hint="default" w:ascii="Times New Roman" w:hAnsi="Times New Roman" w:cs="Times New Roman"/>
                <w:lang w:eastAsia="zh-CN"/>
              </w:rPr>
              <w:t>坡面防护设计摒弃了不能绿化、不能给生物提供栖息地的硬体护坡形式，选用能绿化、渗水和排水的生态型草皮护坡，有利于对工程</w:t>
            </w:r>
            <w:r>
              <w:rPr>
                <w:rFonts w:hint="eastAsia" w:cs="Times New Roman"/>
                <w:lang w:val="en-US" w:eastAsia="zh-CN"/>
              </w:rPr>
              <w:t>阴沟</w:t>
            </w:r>
            <w:r>
              <w:rPr>
                <w:rFonts w:hint="default" w:ascii="Times New Roman" w:hAnsi="Times New Roman" w:cs="Times New Roman"/>
                <w:lang w:eastAsia="zh-CN"/>
              </w:rPr>
              <w:t>两岸陆生生态系统的生存和发展，在防护河道的同时，有利于沿线生态环境的改善。本项目实施后，可明显增加护堤地、堤顶等绿化面积。</w:t>
            </w:r>
          </w:p>
          <w:p w14:paraId="7DC2D1D8">
            <w:pPr>
              <w:bidi w:val="0"/>
              <w:rPr>
                <w:rFonts w:hint="default" w:ascii="Times New Roman" w:hAnsi="Times New Roman" w:cs="Times New Roman"/>
                <w:lang w:val="en-US" w:eastAsia="zh-CN"/>
              </w:rPr>
            </w:pPr>
            <w:r>
              <w:rPr>
                <w:rFonts w:hint="default" w:ascii="Times New Roman" w:hAnsi="Times New Roman" w:cs="Times New Roman"/>
                <w:lang w:val="en-US" w:eastAsia="zh-CN"/>
              </w:rPr>
              <w:t>河道以本地常见绿化树种为主，可以通过植草、植树造林等措施进行人工重建和恢复，在施工过程中，对岸边</w:t>
            </w:r>
            <w:r>
              <w:rPr>
                <w:rFonts w:hint="eastAsia" w:cs="Times New Roman"/>
                <w:lang w:val="en-US" w:eastAsia="zh-CN"/>
              </w:rPr>
              <w:t>树</w:t>
            </w:r>
            <w:r>
              <w:rPr>
                <w:rFonts w:hint="default" w:ascii="Times New Roman" w:hAnsi="Times New Roman" w:cs="Times New Roman"/>
                <w:lang w:val="en-US" w:eastAsia="zh-CN"/>
              </w:rPr>
              <w:t>木应尽量避免砍伐，能保留的一定要保留，对实在不能避免的，可对这些植物进行移栽。</w:t>
            </w:r>
          </w:p>
          <w:p w14:paraId="382DEDFE">
            <w:pPr>
              <w:pStyle w:val="34"/>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（2）对动物的影响</w:t>
            </w:r>
          </w:p>
          <w:p w14:paraId="46622E40">
            <w:pPr>
              <w:pStyle w:val="34"/>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①施工占地</w:t>
            </w:r>
          </w:p>
          <w:p w14:paraId="6289F833">
            <w:pPr>
              <w:pStyle w:val="34"/>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本工程占地类型主要为线</w:t>
            </w:r>
            <w:bookmarkStart w:id="23" w:name="OLE_LINK48"/>
            <w:r>
              <w:rPr>
                <w:rFonts w:hint="default" w:ascii="Times New Roman" w:hAnsi="Times New Roman" w:eastAsia="宋体" w:cs="Times New Roman"/>
                <w:color w:val="auto"/>
                <w:kern w:val="2"/>
                <w:sz w:val="24"/>
                <w:szCs w:val="24"/>
                <w:lang w:val="en-US" w:eastAsia="zh-CN" w:bidi="ar-SA"/>
              </w:rPr>
              <w:t>型</w:t>
            </w:r>
            <w:bookmarkEnd w:id="23"/>
            <w:r>
              <w:rPr>
                <w:rFonts w:hint="default" w:ascii="Times New Roman" w:hAnsi="Times New Roman" w:eastAsia="宋体" w:cs="Times New Roman"/>
                <w:color w:val="auto"/>
                <w:kern w:val="2"/>
                <w:sz w:val="24"/>
                <w:szCs w:val="24"/>
                <w:lang w:val="en-US" w:eastAsia="zh-CN" w:bidi="ar-SA"/>
              </w:rPr>
              <w:t>和小块型</w:t>
            </w:r>
            <w:r>
              <w:rPr>
                <w:rFonts w:hint="eastAsia" w:ascii="Times New Roman" w:cs="Times New Roman"/>
                <w:color w:val="auto"/>
                <w:kern w:val="2"/>
                <w:sz w:val="24"/>
                <w:szCs w:val="24"/>
                <w:lang w:val="en-US" w:eastAsia="zh-CN" w:bidi="ar-SA"/>
              </w:rPr>
              <w:t>，周边主要为湿地及农田</w:t>
            </w:r>
            <w:r>
              <w:rPr>
                <w:rFonts w:hint="default" w:ascii="Times New Roman" w:hAnsi="Times New Roman" w:eastAsia="宋体" w:cs="Times New Roman"/>
                <w:color w:val="auto"/>
                <w:kern w:val="2"/>
                <w:sz w:val="24"/>
                <w:szCs w:val="24"/>
                <w:lang w:val="en-US" w:eastAsia="zh-CN" w:bidi="ar-SA"/>
              </w:rPr>
              <w:t>。生活在这类土地的动物均为常见种，如鼠类、鸟、蛇类等，对其生存环境有短暂影响，工程完成后这类动物还可迁回。对于迁移能力弱的动物，因占地面积较少，损失只局限于少数个体，不会对种群数量产生影响。</w:t>
            </w:r>
          </w:p>
          <w:p w14:paraId="07A7C2F1">
            <w:pPr>
              <w:pStyle w:val="34"/>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②施工人员非法捕猎</w:t>
            </w:r>
          </w:p>
          <w:p w14:paraId="7716388F">
            <w:pPr>
              <w:pStyle w:val="34"/>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由于施工人员进入，可能有非法捕猎，直接杀死动物、鸟类。可通过加强教育来杜绝此类行为。</w:t>
            </w:r>
          </w:p>
          <w:p w14:paraId="4B5996BD">
            <w:pPr>
              <w:pStyle w:val="34"/>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③施工活动</w:t>
            </w:r>
          </w:p>
          <w:p w14:paraId="388D9854">
            <w:pPr>
              <w:pStyle w:val="34"/>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工程施工可直接破坏一些分布在施工区域内动物的生存环境，如一些蛇类、部分食虫类和鼠类等的栖息洞穴；工程施工还可直接杀死一些生活在施工区域内的动物，这些动物主要是无迁移能力或迁移能力较弱的幼体及在施工时还栖息在洞穴内的部分蛇类、食虫类和鼠类等。由于施工区的范围有限，上述两种情况对动物造成和多度产生较大影响。工程施工对其它动物的影响主要还是间接影响，即施工噪声迫使绝大多数动物的成体通过迁移方式远离施工区，但当施工结束后，施工区域内或施工区附近的植被逐渐恢复，这些动物又会逐渐返回。</w:t>
            </w:r>
          </w:p>
          <w:p w14:paraId="76F56C19">
            <w:pPr>
              <w:pageBreakBefore w:val="0"/>
              <w:kinsoku/>
              <w:wordWrap/>
              <w:overflowPunct/>
              <w:topLinePunct w:val="0"/>
              <w:autoSpaceDE/>
              <w:autoSpaceDN/>
              <w:bidi w:val="0"/>
              <w:adjustRightInd/>
              <w:snapToGrid/>
              <w:spacing w:line="360" w:lineRule="auto"/>
              <w:ind w:left="0" w:leftChars="0" w:right="0" w:firstLine="0" w:firstLineChars="0"/>
              <w:textAlignment w:val="auto"/>
              <w:rPr>
                <w:rFonts w:hint="default" w:ascii="Times New Roman" w:hAnsi="Times New Roman" w:eastAsia="仿宋_GB2312"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24"/>
                <w:szCs w:val="24"/>
                <w:lang w:val="en-US" w:eastAsia="zh-CN"/>
                <w14:textFill>
                  <w14:solidFill>
                    <w14:schemeClr w14:val="tx1"/>
                  </w14:solidFill>
                </w14:textFill>
              </w:rPr>
              <w:t>4.1.6对临泽县湿地的影响分析</w:t>
            </w:r>
          </w:p>
          <w:p w14:paraId="02420788">
            <w:pPr>
              <w:pStyle w:val="33"/>
              <w:ind w:firstLine="436" w:firstLineChars="182"/>
              <w:rPr>
                <w:rFonts w:hint="eastAsia"/>
                <w:color w:val="000000" w:themeColor="text1"/>
                <w14:textFill>
                  <w14:solidFill>
                    <w14:schemeClr w14:val="tx1"/>
                  </w14:solidFill>
                </w14:textFill>
              </w:rPr>
            </w:pPr>
            <w:r>
              <w:rPr>
                <w:rFonts w:hint="eastAsia"/>
                <w:color w:val="000000" w:themeColor="text1"/>
                <w:szCs w:val="24"/>
                <w14:textFill>
                  <w14:solidFill>
                    <w14:schemeClr w14:val="tx1"/>
                  </w14:solidFill>
                </w14:textFill>
              </w:rPr>
              <w:t>根据调查，本工程穿越临泽县湿地，</w:t>
            </w:r>
            <w:r>
              <w:rPr>
                <w:rFonts w:hint="eastAsia"/>
                <w:color w:val="000000" w:themeColor="text1"/>
                <w:szCs w:val="24"/>
                <w:lang w:val="en-US" w:eastAsia="zh-CN"/>
                <w14:textFill>
                  <w14:solidFill>
                    <w14:schemeClr w14:val="tx1"/>
                  </w14:solidFill>
                </w14:textFill>
              </w:rPr>
              <w:t>根据《张掖市临泽县一般湿地名录》</w:t>
            </w:r>
            <w:r>
              <w:rPr>
                <w:rFonts w:hint="eastAsia"/>
                <w:color w:val="000000" w:themeColor="text1"/>
                <w:szCs w:val="24"/>
                <w14:textFill>
                  <w14:solidFill>
                    <w14:schemeClr w14:val="tx1"/>
                  </w14:solidFill>
                </w14:textFill>
              </w:rPr>
              <w:t>属于县级</w:t>
            </w:r>
            <w:r>
              <w:rPr>
                <w:rFonts w:hint="eastAsia"/>
                <w:color w:val="000000" w:themeColor="text1"/>
                <w:szCs w:val="24"/>
                <w:lang w:val="en-US" w:eastAsia="zh-CN"/>
                <w14:textFill>
                  <w14:solidFill>
                    <w14:schemeClr w14:val="tx1"/>
                  </w14:solidFill>
                </w14:textFill>
              </w:rPr>
              <w:t>一般</w:t>
            </w:r>
            <w:r>
              <w:rPr>
                <w:rFonts w:hint="eastAsia"/>
                <w:color w:val="000000" w:themeColor="text1"/>
                <w:szCs w:val="24"/>
                <w14:textFill>
                  <w14:solidFill>
                    <w14:schemeClr w14:val="tx1"/>
                  </w14:solidFill>
                </w14:textFill>
              </w:rPr>
              <w:t>湿地，</w:t>
            </w:r>
            <w:r>
              <w:rPr>
                <w:rFonts w:hint="eastAsia"/>
                <w:color w:val="000000" w:themeColor="text1"/>
                <w:szCs w:val="24"/>
                <w:lang w:val="en-US" w:eastAsia="zh-CN"/>
                <w14:textFill>
                  <w14:solidFill>
                    <w14:schemeClr w14:val="tx1"/>
                  </w14:solidFill>
                </w14:textFill>
              </w:rPr>
              <w:t>非重要湿地，</w:t>
            </w:r>
            <w:r>
              <w:rPr>
                <w:rFonts w:hint="eastAsia"/>
                <w:color w:val="000000" w:themeColor="text1"/>
                <w14:textFill>
                  <w14:solidFill>
                    <w14:schemeClr w14:val="tx1"/>
                  </w14:solidFill>
                </w14:textFill>
              </w:rPr>
              <w:t>施工期主要的影响表现为：</w:t>
            </w:r>
          </w:p>
          <w:p w14:paraId="2E4C58CB">
            <w:pPr>
              <w:pStyle w:val="33"/>
              <w:ind w:firstLine="436" w:firstLineChars="18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①</w:t>
            </w:r>
            <w:r>
              <w:rPr>
                <w:rFonts w:hint="eastAsia"/>
                <w:color w:val="000000" w:themeColor="text1"/>
                <w:lang w:val="en-US" w:eastAsia="zh-CN"/>
                <w14:textFill>
                  <w14:solidFill>
                    <w14:schemeClr w14:val="tx1"/>
                  </w14:solidFill>
                </w14:textFill>
              </w:rPr>
              <w:t>项目</w:t>
            </w:r>
            <w:r>
              <w:rPr>
                <w:rFonts w:hint="eastAsia"/>
                <w:color w:val="000000" w:themeColor="text1"/>
                <w14:textFill>
                  <w14:solidFill>
                    <w14:schemeClr w14:val="tx1"/>
                  </w14:solidFill>
                </w14:textFill>
              </w:rPr>
              <w:t>排放的生产废水和施工队伍的生活污水对湿地水环境的影响；②施工过程中废料、垃圾及其他固体废弃物的随意倾倒对湿地水环境的影响；</w:t>
            </w:r>
          </w:p>
          <w:p w14:paraId="7365D21E">
            <w:pPr>
              <w:pStyle w:val="33"/>
              <w:ind w:firstLine="436" w:firstLineChars="18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③施工机械跑、冒、滴、漏的污油及露天机械被雨水冲刷后产生的少量油污染对湿地水环境的影响；</w:t>
            </w:r>
          </w:p>
          <w:p w14:paraId="508AD6B2">
            <w:pPr>
              <w:pStyle w:val="33"/>
              <w:ind w:firstLine="436" w:firstLineChars="182"/>
              <w:rPr>
                <w:color w:val="000000" w:themeColor="text1"/>
                <w14:textFill>
                  <w14:solidFill>
                    <w14:schemeClr w14:val="tx1"/>
                  </w14:solidFill>
                </w14:textFill>
              </w:rPr>
            </w:pPr>
            <w:r>
              <w:rPr>
                <w:rFonts w:hint="eastAsia"/>
                <w:color w:val="000000" w:themeColor="text1"/>
                <w14:textFill>
                  <w14:solidFill>
                    <w14:schemeClr w14:val="tx1"/>
                  </w14:solidFill>
                </w14:textFill>
              </w:rPr>
              <w:t>④施工人员的生活污水及生活垃圾等对湿地水环境的影响。</w:t>
            </w:r>
          </w:p>
          <w:p w14:paraId="75EDB071">
            <w:pPr>
              <w:pStyle w:val="33"/>
              <w:ind w:firstLine="480" w:firstLineChars="200"/>
              <w:rPr>
                <w:color w:val="FF0000"/>
              </w:rPr>
            </w:pPr>
            <w:r>
              <w:rPr>
                <w:rFonts w:hint="eastAsia"/>
                <w:color w:val="FF0000"/>
              </w:rPr>
              <w:t>根据上述分析施工期的影响，本次环评提出措施主要为：</w:t>
            </w:r>
          </w:p>
          <w:p w14:paraId="23161CC0">
            <w:pPr>
              <w:pStyle w:val="33"/>
              <w:ind w:firstLine="480" w:firstLineChars="200"/>
              <w:rPr>
                <w:color w:val="FF0000"/>
              </w:rPr>
            </w:pPr>
            <w:r>
              <w:rPr>
                <w:rFonts w:hint="eastAsia"/>
                <w:color w:val="FF0000"/>
              </w:rPr>
              <w:t>①临泽县湿地范围内不设置施工营地及其他附属工程设施。</w:t>
            </w:r>
          </w:p>
          <w:p w14:paraId="0FF87162">
            <w:pPr>
              <w:pStyle w:val="33"/>
              <w:ind w:firstLine="480" w:firstLineChars="200"/>
              <w:rPr>
                <w:color w:val="FF0000"/>
              </w:rPr>
            </w:pPr>
            <w:r>
              <w:rPr>
                <w:rFonts w:hint="eastAsia"/>
                <w:color w:val="FF0000"/>
              </w:rPr>
              <w:t>②湿地范围内施工过程中对建筑垃圾及时清运至垃圾收集点，不得随意倾倒；</w:t>
            </w:r>
          </w:p>
          <w:p w14:paraId="288D3922">
            <w:pPr>
              <w:pStyle w:val="33"/>
              <w:ind w:firstLine="480" w:firstLineChars="200"/>
              <w:rPr>
                <w:color w:val="FF0000"/>
              </w:rPr>
            </w:pPr>
            <w:r>
              <w:rPr>
                <w:rFonts w:hint="eastAsia"/>
                <w:color w:val="FF0000"/>
              </w:rPr>
              <w:t>③施工机械严格管理，湿地范围内施工时加快施工进度，建设施工机械施工频次</w:t>
            </w:r>
          </w:p>
          <w:p w14:paraId="464E6B59">
            <w:pPr>
              <w:pStyle w:val="33"/>
              <w:ind w:firstLine="436" w:firstLineChars="182"/>
              <w:rPr>
                <w:color w:val="000000" w:themeColor="text1"/>
                <w14:textFill>
                  <w14:solidFill>
                    <w14:schemeClr w14:val="tx1"/>
                  </w14:solidFill>
                </w14:textFill>
              </w:rPr>
            </w:pPr>
            <w:r>
              <w:rPr>
                <w:rFonts w:hint="eastAsia"/>
                <w:color w:val="000000" w:themeColor="text1"/>
                <w14:textFill>
                  <w14:solidFill>
                    <w14:schemeClr w14:val="tx1"/>
                  </w14:solidFill>
                </w14:textFill>
              </w:rPr>
              <w:t>根据工程分析可知</w:t>
            </w: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主要为施工期短暂环境影响，运营期无影响。建设单位在施工期</w:t>
            </w:r>
            <w:r>
              <w:rPr>
                <w:color w:val="000000" w:themeColor="text1"/>
                <w14:textFill>
                  <w14:solidFill>
                    <w14:schemeClr w14:val="tx1"/>
                  </w14:solidFill>
                </w14:textFill>
              </w:rPr>
              <w:t>采取</w:t>
            </w:r>
            <w:r>
              <w:rPr>
                <w:rFonts w:hint="eastAsia"/>
                <w:color w:val="000000" w:themeColor="text1"/>
                <w14:textFill>
                  <w14:solidFill>
                    <w14:schemeClr w14:val="tx1"/>
                  </w14:solidFill>
                </w14:textFill>
              </w:rPr>
              <w:t>污染防治</w:t>
            </w:r>
            <w:r>
              <w:rPr>
                <w:color w:val="000000" w:themeColor="text1"/>
                <w14:textFill>
                  <w14:solidFill>
                    <w14:schemeClr w14:val="tx1"/>
                  </w14:solidFill>
                </w14:textFill>
              </w:rPr>
              <w:t>措施后，对</w:t>
            </w:r>
            <w:r>
              <w:rPr>
                <w:rFonts w:hint="eastAsia"/>
                <w:color w:val="000000" w:themeColor="text1"/>
                <w14:textFill>
                  <w14:solidFill>
                    <w14:schemeClr w14:val="tx1"/>
                  </w14:solidFill>
                </w14:textFill>
              </w:rPr>
              <w:t>临泽县湿地</w:t>
            </w:r>
            <w:r>
              <w:rPr>
                <w:color w:val="000000" w:themeColor="text1"/>
                <w14:textFill>
                  <w14:solidFill>
                    <w14:schemeClr w14:val="tx1"/>
                  </w14:solidFill>
                </w14:textFill>
              </w:rPr>
              <w:t>水环境影响</w:t>
            </w:r>
            <w:r>
              <w:rPr>
                <w:rFonts w:hint="eastAsia"/>
                <w:color w:val="000000" w:themeColor="text1"/>
                <w14:textFill>
                  <w14:solidFill>
                    <w14:schemeClr w14:val="tx1"/>
                  </w14:solidFill>
                </w14:textFill>
              </w:rPr>
              <w:t>不大</w:t>
            </w:r>
            <w:r>
              <w:rPr>
                <w:color w:val="000000" w:themeColor="text1"/>
                <w14:textFill>
                  <w14:solidFill>
                    <w14:schemeClr w14:val="tx1"/>
                  </w14:solidFill>
                </w14:textFill>
              </w:rPr>
              <w:t>。</w:t>
            </w:r>
          </w:p>
          <w:p w14:paraId="5A880350">
            <w:pPr>
              <w:pStyle w:val="33"/>
              <w:ind w:firstLine="436" w:firstLineChars="182"/>
              <w:rPr>
                <w:color w:val="000000" w:themeColor="text1"/>
                <w14:textFill>
                  <w14:solidFill>
                    <w14:schemeClr w14:val="tx1"/>
                  </w14:solidFill>
                </w14:textFill>
              </w:rPr>
            </w:pPr>
            <w:r>
              <w:rPr>
                <w:rFonts w:hint="eastAsia"/>
                <w:color w:val="000000" w:themeColor="text1"/>
                <w14:textFill>
                  <w14:solidFill>
                    <w14:schemeClr w14:val="tx1"/>
                  </w14:solidFill>
                </w14:textFill>
              </w:rPr>
              <w:t>项目与《甘肃省湿地保护条例》的符合性分析：</w:t>
            </w:r>
          </w:p>
          <w:p w14:paraId="430862E6">
            <w:pPr>
              <w:pStyle w:val="33"/>
              <w:ind w:firstLine="436" w:firstLineChars="182"/>
              <w:rPr>
                <w:color w:val="000000" w:themeColor="text1"/>
                <w14:textFill>
                  <w14:solidFill>
                    <w14:schemeClr w14:val="tx1"/>
                  </w14:solidFill>
                </w14:textFill>
              </w:rPr>
            </w:pPr>
            <w:r>
              <w:rPr>
                <w:rFonts w:hint="eastAsia"/>
                <w:color w:val="000000" w:themeColor="text1"/>
                <w14:textFill>
                  <w14:solidFill>
                    <w14:schemeClr w14:val="tx1"/>
                  </w14:solidFill>
                </w14:textFill>
              </w:rPr>
              <w:t>根据《甘肃省湿地保护条例》中湿地的相关管理要求，“第九条禁止在湿地保护区范围内进行开垦、采挖、猎捕、烧荒、采矿、爆破等可能造成湿地破坏的人为活动。禁止在湿地保护区及其外围保护地带内修建任何非保护性截水、取水或排水设施。未经县级以上湿地行政主管部门同意，不得在湿地保护区天然水道和湿地边缘50米以内设立任何建筑设施。第十条禁止向湿地保护区或外围保护地带排放废水，倾倒废弃物。</w:t>
            </w:r>
            <w:r>
              <w:rPr>
                <w:rFonts w:hint="eastAsia" w:ascii="宋体" w:hAnsi="宋体"/>
                <w:color w:val="000000" w:themeColor="text1"/>
                <w:szCs w:val="24"/>
                <w:shd w:val="clear" w:color="auto" w:fill="FFFFFF"/>
                <w14:textFill>
                  <w14:solidFill>
                    <w14:schemeClr w14:val="tx1"/>
                  </w14:solidFill>
                </w14:textFill>
              </w:rPr>
              <w:t>开发利用湿地资源，应当按照湿地资源保护规划进行，不得改变湿地生态系统的基本功能，不得超出资源的再生能力或者给野生动植物物种造成永久性损害，不得破坏野生动物栖息环境和野生植物生长环境。</w:t>
            </w:r>
            <w:r>
              <w:rPr>
                <w:rFonts w:hint="eastAsia"/>
                <w:color w:val="000000" w:themeColor="text1"/>
                <w14:textFill>
                  <w14:solidFill>
                    <w14:schemeClr w14:val="tx1"/>
                  </w14:solidFill>
                </w14:textFill>
              </w:rPr>
              <w:t>”</w:t>
            </w:r>
          </w:p>
          <w:p w14:paraId="658C55BA">
            <w:pPr>
              <w:pStyle w:val="33"/>
              <w:rPr>
                <w:rFonts w:hint="default"/>
                <w:lang w:val="en-US" w:eastAsia="zh-CN"/>
              </w:rPr>
            </w:pPr>
            <w:r>
              <w:rPr>
                <w:rFonts w:hint="eastAsia"/>
                <w:color w:val="000000" w:themeColor="text1"/>
                <w14:textFill>
                  <w14:solidFill>
                    <w14:schemeClr w14:val="tx1"/>
                  </w14:solidFill>
                </w14:textFill>
              </w:rPr>
              <w:t>本项目建设主要为</w:t>
            </w:r>
            <w:r>
              <w:rPr>
                <w:rFonts w:hint="eastAsia"/>
                <w:color w:val="000000" w:themeColor="text1"/>
                <w:lang w:val="en-US" w:eastAsia="zh-CN"/>
                <w14:textFill>
                  <w14:solidFill>
                    <w14:schemeClr w14:val="tx1"/>
                  </w14:solidFill>
                </w14:textFill>
              </w:rPr>
              <w:t>九眼泉河项目区河湖</w:t>
            </w:r>
            <w:r>
              <w:rPr>
                <w:rFonts w:hint="eastAsia"/>
                <w:color w:val="000000" w:themeColor="text1"/>
                <w14:textFill>
                  <w14:solidFill>
                    <w14:schemeClr w14:val="tx1"/>
                  </w14:solidFill>
                </w14:textFill>
              </w:rPr>
              <w:t>整治工程，工程不涉及临泽县域内黑河国家湿地保护区，穿越临泽县</w:t>
            </w:r>
            <w:r>
              <w:rPr>
                <w:rFonts w:hint="eastAsia"/>
                <w:color w:val="000000" w:themeColor="text1"/>
                <w:lang w:val="en-US" w:eastAsia="zh-CN"/>
                <w14:textFill>
                  <w14:solidFill>
                    <w14:schemeClr w14:val="tx1"/>
                  </w14:solidFill>
                </w14:textFill>
              </w:rPr>
              <w:t>一般</w:t>
            </w:r>
            <w:r>
              <w:rPr>
                <w:rFonts w:hint="eastAsia"/>
                <w:color w:val="000000" w:themeColor="text1"/>
                <w14:textFill>
                  <w14:solidFill>
                    <w14:schemeClr w14:val="tx1"/>
                  </w14:solidFill>
                </w14:textFill>
              </w:rPr>
              <w:t>湿地，项目施工建设期间不得在湿地范围内建设施工营地及其他附属工程设施，符合《甘肃省湿地保护条例》中的相关规定要求。</w:t>
            </w:r>
          </w:p>
          <w:p w14:paraId="449BC2D5">
            <w:pPr>
              <w:keepNext w:val="0"/>
              <w:keepLines w:val="0"/>
              <w:widowControl/>
              <w:numPr>
                <w:ilvl w:val="0"/>
                <w:numId w:val="0"/>
              </w:numPr>
              <w:suppressLineNumbers w:val="0"/>
              <w:ind w:firstLine="562" w:firstLineChars="200"/>
              <w:jc w:val="left"/>
              <w:rPr>
                <w:rFonts w:hint="default" w:ascii="Times New Roman" w:hAnsi="Times New Roman" w:eastAsia="仿宋_GB2312" w:cs="Times New Roman"/>
                <w:b/>
                <w:bCs/>
                <w:color w:val="000000"/>
                <w:kern w:val="0"/>
                <w:sz w:val="28"/>
                <w:szCs w:val="28"/>
                <w:lang w:val="en-US" w:eastAsia="zh-CN" w:bidi="ar"/>
              </w:rPr>
            </w:pPr>
            <w:r>
              <w:rPr>
                <w:rFonts w:hint="default" w:ascii="Times New Roman" w:hAnsi="Times New Roman" w:eastAsia="仿宋_GB2312" w:cs="Times New Roman"/>
                <w:b/>
                <w:bCs/>
                <w:color w:val="000000"/>
                <w:kern w:val="0"/>
                <w:sz w:val="28"/>
                <w:szCs w:val="28"/>
                <w:lang w:val="en-US" w:eastAsia="zh-CN" w:bidi="ar"/>
              </w:rPr>
              <w:t>4.1.</w:t>
            </w:r>
            <w:r>
              <w:rPr>
                <w:rFonts w:hint="eastAsia" w:eastAsia="仿宋_GB2312" w:cs="Times New Roman"/>
                <w:b/>
                <w:bCs/>
                <w:color w:val="000000"/>
                <w:kern w:val="0"/>
                <w:sz w:val="28"/>
                <w:szCs w:val="28"/>
                <w:lang w:val="en-US" w:eastAsia="zh-CN" w:bidi="ar"/>
              </w:rPr>
              <w:t>7</w:t>
            </w:r>
            <w:r>
              <w:rPr>
                <w:rFonts w:hint="default" w:ascii="Times New Roman" w:hAnsi="Times New Roman" w:eastAsia="仿宋_GB2312" w:cs="Times New Roman"/>
                <w:b/>
                <w:bCs/>
                <w:color w:val="000000"/>
                <w:kern w:val="0"/>
                <w:sz w:val="28"/>
                <w:szCs w:val="28"/>
                <w:lang w:val="en-US" w:eastAsia="zh-CN" w:bidi="ar"/>
              </w:rPr>
              <w:t xml:space="preserve"> 环境风险</w:t>
            </w:r>
          </w:p>
          <w:p w14:paraId="45A2889C">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本工程建设对环境的影响主要为非污染生态影响，运营期无“三废”排放，相应环境风险主要为外源风险，本工程的施工与运行主要是增加风险发生概率或加剧风险危害。本工程不设油库等有毒有害和易燃易爆</w:t>
            </w:r>
            <w:bookmarkStart w:id="24" w:name="OLE_LINK62"/>
            <w:r>
              <w:rPr>
                <w:rFonts w:hint="default" w:ascii="Times New Roman" w:hAnsi="Times New Roman" w:eastAsia="宋体" w:cs="Times New Roman"/>
                <w:lang w:val="en-US" w:eastAsia="zh-CN"/>
              </w:rPr>
              <w:t>危险物资仓库，因</w:t>
            </w:r>
            <w:bookmarkEnd w:id="24"/>
            <w:r>
              <w:rPr>
                <w:rFonts w:hint="default" w:ascii="Times New Roman" w:hAnsi="Times New Roman" w:eastAsia="宋体" w:cs="Times New Roman"/>
                <w:lang w:val="en-US" w:eastAsia="zh-CN"/>
              </w:rPr>
              <w:t>此不涉及《建设项目环境风险评价技术导则》(HJ169-2018)中的环境风险。</w:t>
            </w:r>
          </w:p>
          <w:p w14:paraId="64CF22FF">
            <w:pPr>
              <w:bidi w:val="0"/>
              <w:rPr>
                <w:rFonts w:hint="default" w:ascii="Times New Roman" w:hAnsi="Times New Roman" w:cs="Times New Roman"/>
                <w:lang w:val="en-US" w:eastAsia="zh-CN"/>
              </w:rPr>
            </w:pPr>
            <w:r>
              <w:rPr>
                <w:rFonts w:hint="default" w:ascii="Times New Roman" w:hAnsi="Times New Roman" w:eastAsia="宋体" w:cs="Times New Roman"/>
                <w:lang w:val="en-US" w:eastAsia="zh-CN"/>
              </w:rPr>
              <w:t>根据本工程施工特点、周围环境特点以及工程与周围环境之间的关系，存在的潜在事故风险和环境风险主要为施工生产废水与生活污水排放入</w:t>
            </w:r>
            <w:r>
              <w:rPr>
                <w:rFonts w:hint="eastAsia" w:cs="Times New Roman"/>
                <w:lang w:val="en-US" w:eastAsia="zh-CN"/>
              </w:rPr>
              <w:t>阴沟</w:t>
            </w:r>
            <w:r>
              <w:rPr>
                <w:rFonts w:hint="default" w:ascii="Times New Roman" w:hAnsi="Times New Roman" w:eastAsia="宋体" w:cs="Times New Roman"/>
                <w:lang w:val="en-US" w:eastAsia="zh-CN"/>
              </w:rPr>
              <w:t>污染风险。</w:t>
            </w:r>
          </w:p>
        </w:tc>
      </w:tr>
      <w:tr w14:paraId="468AE3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 w:type="pct"/>
            <w:noWrap w:val="0"/>
            <w:tcMar>
              <w:left w:w="28" w:type="dxa"/>
              <w:right w:w="28" w:type="dxa"/>
            </w:tcMar>
            <w:vAlign w:val="center"/>
          </w:tcPr>
          <w:p w14:paraId="7B9E6573">
            <w:pPr>
              <w:pStyle w:val="24"/>
              <w:adjustRightInd w:val="0"/>
              <w:snapToGrid w:val="0"/>
              <w:spacing w:before="0" w:beforeAutospacing="0" w:after="0" w:afterAutospacing="0"/>
              <w:ind w:left="0" w:leftChars="0" w:firstLine="0" w:firstLineChars="0"/>
              <w:jc w:val="center"/>
              <w:rPr>
                <w:rFonts w:hint="default" w:ascii="Times New Roman" w:hAnsi="Times New Roman" w:eastAsia="仿宋" w:cs="Times New Roman"/>
                <w:bCs/>
                <w:color w:val="000000" w:themeColor="text1"/>
                <w:kern w:val="2"/>
                <w:sz w:val="21"/>
                <w:szCs w:val="21"/>
                <w14:textFill>
                  <w14:solidFill>
                    <w14:schemeClr w14:val="tx1"/>
                  </w14:solidFill>
                </w14:textFill>
              </w:rPr>
            </w:pPr>
            <w:r>
              <w:rPr>
                <w:rFonts w:hint="default" w:ascii="Times New Roman" w:hAnsi="Times New Roman" w:eastAsia="仿宋" w:cs="Times New Roman"/>
                <w:bCs/>
                <w:color w:val="000000" w:themeColor="text1"/>
                <w:spacing w:val="10"/>
                <w:kern w:val="2"/>
                <w:sz w:val="28"/>
                <w:szCs w:val="28"/>
                <w14:textFill>
                  <w14:solidFill>
                    <w14:schemeClr w14:val="tx1"/>
                  </w14:solidFill>
                </w14:textFill>
              </w:rPr>
              <w:t>运营期生态环境影响分析</w:t>
            </w:r>
          </w:p>
        </w:tc>
        <w:tc>
          <w:tcPr>
            <w:tcW w:w="4755" w:type="pct"/>
            <w:noWrap w:val="0"/>
            <w:vAlign w:val="top"/>
          </w:tcPr>
          <w:p w14:paraId="1DC6BFF7">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项目运行期不产生废气和噪声。</w:t>
            </w:r>
          </w:p>
          <w:p w14:paraId="1538B471">
            <w:pPr>
              <w:adjustRightInd w:val="0"/>
              <w:snapToGrid w:val="0"/>
              <w:ind w:left="0" w:leftChars="0" w:firstLine="0" w:firstLineChars="0"/>
              <w:jc w:val="both"/>
              <w:rPr>
                <w:rFonts w:hint="default" w:ascii="Times New Roman" w:hAnsi="Times New Roman" w:eastAsia="仿宋" w:cs="Times New Roman"/>
                <w:b/>
                <w:bCs w:val="0"/>
                <w:color w:val="000000" w:themeColor="text1"/>
                <w:sz w:val="28"/>
                <w:szCs w:val="22"/>
                <w14:textFill>
                  <w14:solidFill>
                    <w14:schemeClr w14:val="tx1"/>
                  </w14:solidFill>
                </w14:textFill>
              </w:rPr>
            </w:pPr>
            <w:r>
              <w:rPr>
                <w:rFonts w:hint="default" w:ascii="Times New Roman" w:hAnsi="Times New Roman" w:eastAsia="仿宋" w:cs="Times New Roman"/>
                <w:b/>
                <w:bCs w:val="0"/>
                <w:color w:val="000000" w:themeColor="text1"/>
                <w:sz w:val="28"/>
                <w:szCs w:val="22"/>
                <w:lang w:val="en-US" w:eastAsia="zh-CN"/>
                <w14:textFill>
                  <w14:solidFill>
                    <w14:schemeClr w14:val="tx1"/>
                  </w14:solidFill>
                </w14:textFill>
              </w:rPr>
              <w:t>4.2运营期</w:t>
            </w:r>
            <w:r>
              <w:rPr>
                <w:rFonts w:hint="default" w:ascii="Times New Roman" w:hAnsi="Times New Roman" w:eastAsia="仿宋" w:cs="Times New Roman"/>
                <w:b/>
                <w:bCs w:val="0"/>
                <w:color w:val="000000" w:themeColor="text1"/>
                <w:sz w:val="28"/>
                <w:szCs w:val="22"/>
                <w14:textFill>
                  <w14:solidFill>
                    <w14:schemeClr w14:val="tx1"/>
                  </w14:solidFill>
                </w14:textFill>
              </w:rPr>
              <w:t>地表水环境影响</w:t>
            </w:r>
          </w:p>
          <w:p w14:paraId="43EB3BF6">
            <w:pPr>
              <w:bidi w:val="0"/>
              <w:rPr>
                <w:rFonts w:hint="default" w:ascii="Times New Roman" w:hAnsi="Times New Roman" w:cs="Times New Roman"/>
                <w:lang w:val="en-US" w:eastAsia="zh-CN"/>
              </w:rPr>
            </w:pPr>
            <w:r>
              <w:rPr>
                <w:rFonts w:hint="default" w:ascii="Times New Roman" w:hAnsi="Times New Roman" w:cs="Times New Roman"/>
                <w:lang w:val="en-US" w:eastAsia="zh-CN"/>
              </w:rPr>
              <w:t>本工程建成后，运行期间无水环境污染物排放</w:t>
            </w:r>
            <w:r>
              <w:rPr>
                <w:rFonts w:hint="eastAsia" w:cs="Times New Roman"/>
                <w:lang w:val="en-US" w:eastAsia="zh-CN"/>
              </w:rPr>
              <w:t>，阴沟治理后水流畅通，项目阴沟主要为灌溉及排洪作用，不会对地表水产生不利影响</w:t>
            </w:r>
            <w:r>
              <w:rPr>
                <w:rFonts w:hint="default" w:ascii="Times New Roman" w:hAnsi="Times New Roman" w:cs="Times New Roman"/>
                <w:lang w:val="en-US" w:eastAsia="zh-CN"/>
              </w:rPr>
              <w:t>。运行期不产生</w:t>
            </w:r>
            <w:r>
              <w:rPr>
                <w:rFonts w:hint="eastAsia" w:cs="Times New Roman"/>
                <w:lang w:val="en-US" w:eastAsia="zh-CN"/>
              </w:rPr>
              <w:t>废气、</w:t>
            </w:r>
            <w:r>
              <w:rPr>
                <w:rFonts w:hint="default" w:ascii="Times New Roman" w:hAnsi="Times New Roman" w:cs="Times New Roman"/>
                <w:lang w:val="en-US" w:eastAsia="zh-CN"/>
              </w:rPr>
              <w:t>固废及噪声，不会对周边环境产生不利影响。</w:t>
            </w:r>
          </w:p>
          <w:p w14:paraId="3D282A30">
            <w:pPr>
              <w:pStyle w:val="34"/>
              <w:spacing w:line="360" w:lineRule="auto"/>
              <w:rPr>
                <w:rFonts w:hint="default"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4.3地下水环境影响</w:t>
            </w:r>
          </w:p>
          <w:p w14:paraId="07EAB795">
            <w:pPr>
              <w:bidi w:val="0"/>
              <w:rPr>
                <w:rFonts w:hint="default" w:ascii="Times New Roman" w:hAnsi="Times New Roman" w:cs="Times New Roman"/>
                <w:lang w:val="en-US" w:eastAsia="zh-CN"/>
              </w:rPr>
            </w:pPr>
            <w:r>
              <w:rPr>
                <w:rFonts w:hint="default" w:ascii="Times New Roman" w:hAnsi="Times New Roman" w:cs="Times New Roman"/>
                <w:lang w:val="en-US" w:eastAsia="zh-CN"/>
              </w:rPr>
              <w:t>本工程运行期不产生污水，因此不会对区域地下水水质产生影响。本工程不涉及涵洞、隧洞等影响地下水水位的建筑物，工程</w:t>
            </w:r>
            <w:r>
              <w:rPr>
                <w:rFonts w:hint="eastAsia" w:cs="Times New Roman"/>
                <w:lang w:val="en-US" w:eastAsia="zh-CN"/>
              </w:rPr>
              <w:t>护岸</w:t>
            </w:r>
            <w:r>
              <w:rPr>
                <w:rFonts w:hint="default" w:ascii="Times New Roman" w:hAnsi="Times New Roman" w:cs="Times New Roman"/>
                <w:lang w:val="en-US" w:eastAsia="zh-CN"/>
              </w:rPr>
              <w:t>建设、</w:t>
            </w:r>
            <w:r>
              <w:rPr>
                <w:rFonts w:hint="eastAsia" w:cs="Times New Roman"/>
                <w:lang w:val="en-US" w:eastAsia="zh-CN"/>
              </w:rPr>
              <w:t>阴沟清淤</w:t>
            </w:r>
            <w:r>
              <w:rPr>
                <w:rFonts w:hint="default" w:ascii="Times New Roman" w:hAnsi="Times New Roman" w:cs="Times New Roman"/>
                <w:lang w:val="en-US" w:eastAsia="zh-CN"/>
              </w:rPr>
              <w:t>等开挖深度较浅，大部分施工建设开挖深度在地下水埋深以上，对地下水无影响。因此，本工程的实施不会对地下水环境产生大的影响。</w:t>
            </w:r>
          </w:p>
          <w:p w14:paraId="7D21294F">
            <w:pPr>
              <w:pStyle w:val="34"/>
              <w:spacing w:line="360" w:lineRule="auto"/>
              <w:rPr>
                <w:rFonts w:hint="default"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4.4生态环境影响</w:t>
            </w:r>
          </w:p>
          <w:p w14:paraId="38CAA5DA">
            <w:pPr>
              <w:bidi w:val="0"/>
              <w:rPr>
                <w:rFonts w:hint="eastAsia" w:cs="Times New Roman"/>
                <w:color w:val="0000FF"/>
                <w:lang w:val="en-US" w:eastAsia="zh-CN"/>
              </w:rPr>
            </w:pPr>
            <w:bookmarkStart w:id="25" w:name="OLE_LINK50"/>
            <w:r>
              <w:rPr>
                <w:rFonts w:hint="default" w:ascii="Times New Roman" w:hAnsi="Times New Roman" w:cs="Times New Roman"/>
                <w:lang w:val="en-US" w:eastAsia="zh-CN"/>
              </w:rPr>
              <w:t>项目主要为</w:t>
            </w:r>
            <w:r>
              <w:rPr>
                <w:rFonts w:hint="eastAsia" w:cs="Times New Roman"/>
                <w:lang w:val="en-US" w:eastAsia="zh-CN"/>
              </w:rPr>
              <w:t>阴沟</w:t>
            </w:r>
            <w:r>
              <w:rPr>
                <w:rFonts w:hint="eastAsia" w:cs="Times New Roman"/>
                <w:color w:val="0000FF"/>
                <w:lang w:val="en-US" w:eastAsia="zh-CN"/>
              </w:rPr>
              <w:t>治理、道路工程、低效林改造、农田水渠改造及封禁管理</w:t>
            </w:r>
            <w:r>
              <w:rPr>
                <w:rFonts w:hint="default" w:ascii="Times New Roman" w:hAnsi="Times New Roman" w:cs="Times New Roman"/>
                <w:color w:val="0000FF"/>
                <w:lang w:val="en-US" w:eastAsia="zh-CN"/>
              </w:rPr>
              <w:t>，工程主要在</w:t>
            </w:r>
            <w:r>
              <w:rPr>
                <w:rFonts w:hint="eastAsia" w:cs="Times New Roman"/>
                <w:color w:val="0000FF"/>
                <w:lang w:val="en-US" w:eastAsia="zh-CN"/>
              </w:rPr>
              <w:t>阴沟</w:t>
            </w:r>
            <w:r>
              <w:rPr>
                <w:rFonts w:hint="default" w:ascii="Times New Roman" w:hAnsi="Times New Roman" w:cs="Times New Roman"/>
                <w:color w:val="0000FF"/>
                <w:lang w:val="en-US" w:eastAsia="zh-CN"/>
              </w:rPr>
              <w:t>两侧施工，极大的降低了对土地的占用。</w:t>
            </w:r>
            <w:r>
              <w:rPr>
                <w:rFonts w:hint="eastAsia" w:cs="Times New Roman"/>
                <w:color w:val="0000FF"/>
                <w:lang w:val="en-US" w:eastAsia="zh-CN"/>
              </w:rPr>
              <w:t>阴沟治理护坡进行绿化,低效林改造种植植被。阴沟护坡的绿化采用的是生态袋，内含有机肥，不采用农药和化肥，不会对土壤及周边环境产生不利影响。</w:t>
            </w:r>
          </w:p>
          <w:p w14:paraId="19D633CF">
            <w:pPr>
              <w:bidi w:val="0"/>
              <w:rPr>
                <w:rFonts w:hint="eastAsia" w:ascii="宋体" w:hAnsi="宋体" w:eastAsia="宋体" w:cs="宋体"/>
                <w:color w:val="0000FF"/>
                <w:kern w:val="0"/>
                <w:sz w:val="24"/>
                <w:szCs w:val="24"/>
                <w:lang w:val="en-US" w:eastAsia="zh-CN" w:bidi="ar"/>
              </w:rPr>
            </w:pPr>
            <w:r>
              <w:rPr>
                <w:rFonts w:hint="eastAsia" w:cs="Times New Roman"/>
                <w:color w:val="0000FF"/>
                <w:lang w:val="en-US" w:eastAsia="zh-CN"/>
              </w:rPr>
              <w:t>低效林改造栽种的植被</w:t>
            </w:r>
            <w:r>
              <w:rPr>
                <w:rFonts w:hint="eastAsia" w:ascii="宋体" w:hAnsi="宋体" w:eastAsia="宋体" w:cs="宋体"/>
                <w:color w:val="0000FF"/>
                <w:kern w:val="0"/>
                <w:sz w:val="24"/>
                <w:szCs w:val="24"/>
                <w:lang w:val="en-US" w:eastAsia="zh-CN" w:bidi="ar"/>
              </w:rPr>
              <w:t>树种选择以深根性树种为主，充分利用营养空间，建立稳定的生态体系，增强水土保持能力及区域景观性，同时选用合理的整地方式，尽量减少对原生地貌和植被的扰动。造林后抚育</w:t>
            </w:r>
            <w:r>
              <w:rPr>
                <w:rFonts w:hint="default" w:ascii="Times New Roman" w:hAnsi="Times New Roman" w:eastAsia="宋体" w:cs="Times New Roman"/>
                <w:color w:val="0000FF"/>
                <w:kern w:val="0"/>
                <w:sz w:val="24"/>
                <w:szCs w:val="24"/>
                <w:lang w:val="en-US" w:eastAsia="zh-CN" w:bidi="ar"/>
              </w:rPr>
              <w:t>3</w:t>
            </w:r>
            <w:r>
              <w:rPr>
                <w:rFonts w:hint="eastAsia" w:ascii="宋体" w:hAnsi="宋体" w:eastAsia="宋体" w:cs="宋体"/>
                <w:color w:val="0000FF"/>
                <w:kern w:val="0"/>
                <w:sz w:val="24"/>
                <w:szCs w:val="24"/>
                <w:lang w:val="en-US" w:eastAsia="zh-CN" w:bidi="ar"/>
              </w:rPr>
              <w:t>年，每年</w:t>
            </w:r>
            <w:r>
              <w:rPr>
                <w:rFonts w:hint="default" w:ascii="Times New Roman" w:hAnsi="Times New Roman" w:eastAsia="宋体" w:cs="Times New Roman"/>
                <w:color w:val="0000FF"/>
                <w:kern w:val="0"/>
                <w:sz w:val="24"/>
                <w:szCs w:val="24"/>
                <w:lang w:val="en-US" w:eastAsia="zh-CN" w:bidi="ar"/>
              </w:rPr>
              <w:t>2</w:t>
            </w:r>
            <w:r>
              <w:rPr>
                <w:rFonts w:hint="eastAsia" w:ascii="宋体" w:hAnsi="宋体" w:eastAsia="宋体" w:cs="宋体"/>
                <w:color w:val="0000FF"/>
                <w:kern w:val="0"/>
                <w:sz w:val="24"/>
                <w:szCs w:val="24"/>
                <w:lang w:val="en-US" w:eastAsia="zh-CN" w:bidi="ar"/>
              </w:rPr>
              <w:t>次。栽植后松土除草，剪除部分侧枝，培育主干并进行病虫害防治。肥料主要使用有机肥。在出现病虫害时喷射必要的农药进行防治，一年约1-2次且均在低效林改造范围内，不会对生态环境造成明显不利影响。</w:t>
            </w:r>
          </w:p>
          <w:p w14:paraId="4E02FB79">
            <w:pPr>
              <w:bidi w:val="0"/>
              <w:rPr>
                <w:rFonts w:hint="default" w:ascii="Times New Roman" w:hAnsi="Times New Roman" w:cs="Times New Roman"/>
                <w:lang w:val="en-US" w:eastAsia="zh-CN"/>
              </w:rPr>
            </w:pPr>
            <w:r>
              <w:rPr>
                <w:rFonts w:hint="default" w:ascii="Times New Roman" w:hAnsi="Times New Roman" w:cs="Times New Roman"/>
                <w:lang w:val="en-US" w:eastAsia="zh-CN"/>
              </w:rPr>
              <w:t>临时占</w:t>
            </w:r>
            <w:bookmarkEnd w:id="25"/>
            <w:r>
              <w:rPr>
                <w:rFonts w:hint="default" w:ascii="Times New Roman" w:hAnsi="Times New Roman" w:cs="Times New Roman"/>
                <w:lang w:val="en-US" w:eastAsia="zh-CN"/>
              </w:rPr>
              <w:t>地在施工结束后进行植被恢复措施后，对生态系统影响较小。</w:t>
            </w:r>
          </w:p>
          <w:p w14:paraId="26A444B8">
            <w:pPr>
              <w:bidi w:val="0"/>
              <w:rPr>
                <w:rFonts w:hint="default" w:ascii="Times New Roman" w:hAnsi="Times New Roman" w:cs="Times New Roman"/>
                <w:lang w:val="en-US" w:eastAsia="zh-CN"/>
              </w:rPr>
            </w:pPr>
            <w:r>
              <w:rPr>
                <w:rFonts w:hint="default" w:ascii="Times New Roman" w:hAnsi="Times New Roman" w:cs="Times New Roman"/>
                <w:lang w:val="en-US" w:eastAsia="zh-CN"/>
              </w:rPr>
              <w:t>工程区沿线周边植被主要为灌丛</w:t>
            </w:r>
            <w:r>
              <w:rPr>
                <w:rFonts w:hint="eastAsia" w:cs="Times New Roman"/>
                <w:lang w:val="en-US" w:eastAsia="zh-CN"/>
              </w:rPr>
              <w:t>及农田作物</w:t>
            </w:r>
            <w:r>
              <w:rPr>
                <w:rFonts w:hint="default" w:ascii="Times New Roman" w:hAnsi="Times New Roman" w:cs="Times New Roman"/>
                <w:lang w:val="en-US" w:eastAsia="zh-CN"/>
              </w:rPr>
              <w:t>等，种类较少，物种多样性不高，施工区没有国家重点保护的野生动植物。本次工程建设将在各点扰动原地貌，导致植被生境破碎、动物迁移。工程建成运行后，工程采用生态</w:t>
            </w:r>
            <w:r>
              <w:rPr>
                <w:rFonts w:hint="eastAsia" w:cs="Times New Roman"/>
                <w:lang w:val="en-US" w:eastAsia="zh-CN"/>
              </w:rPr>
              <w:t>护坡</w:t>
            </w:r>
            <w:r>
              <w:rPr>
                <w:rFonts w:hint="default" w:ascii="Times New Roman" w:hAnsi="Times New Roman" w:cs="Times New Roman"/>
                <w:lang w:val="en-US" w:eastAsia="zh-CN"/>
              </w:rPr>
              <w:t>，对</w:t>
            </w:r>
            <w:r>
              <w:rPr>
                <w:rFonts w:hint="eastAsia" w:cs="Times New Roman"/>
                <w:lang w:val="en-US" w:eastAsia="zh-CN"/>
              </w:rPr>
              <w:t>护</w:t>
            </w:r>
            <w:r>
              <w:rPr>
                <w:rFonts w:hint="default" w:ascii="Times New Roman" w:hAnsi="Times New Roman" w:cs="Times New Roman"/>
                <w:lang w:val="en-US" w:eastAsia="zh-CN"/>
              </w:rPr>
              <w:t>坡种草绿化，把原来的生态系统改变成人工生态系统，随着绿化</w:t>
            </w:r>
            <w:r>
              <w:rPr>
                <w:rFonts w:hint="eastAsia" w:cs="Times New Roman"/>
                <w:lang w:val="en-US" w:eastAsia="zh-CN"/>
              </w:rPr>
              <w:t>、植树及封禁管理</w:t>
            </w:r>
            <w:r>
              <w:rPr>
                <w:rFonts w:hint="default" w:ascii="Times New Roman" w:hAnsi="Times New Roman" w:cs="Times New Roman"/>
                <w:lang w:val="en-US" w:eastAsia="zh-CN"/>
              </w:rPr>
              <w:t>措施的实施及绿化植物的生长，区域的生物多样性将逐渐恢复。</w:t>
            </w:r>
          </w:p>
          <w:p w14:paraId="0D503F59">
            <w:pPr>
              <w:bidi w:val="0"/>
              <w:rPr>
                <w:rFonts w:hint="default" w:ascii="Times New Roman" w:hAnsi="Times New Roman" w:cs="Times New Roman"/>
                <w:lang w:val="en-US" w:eastAsia="zh-CN"/>
              </w:rPr>
            </w:pPr>
            <w:r>
              <w:rPr>
                <w:rFonts w:hint="default" w:ascii="Times New Roman" w:hAnsi="Times New Roman" w:cs="Times New Roman"/>
                <w:lang w:val="en-US" w:eastAsia="zh-CN"/>
              </w:rPr>
              <w:t>总体上来，工程运行后区域生物多样性会在一定程度上逐渐得到恢复，工程建设对区域生物多样性和生态完整性的影响不大。</w:t>
            </w:r>
          </w:p>
          <w:p w14:paraId="691C8D2A">
            <w:pPr>
              <w:pStyle w:val="34"/>
              <w:spacing w:line="360" w:lineRule="auto"/>
              <w:rPr>
                <w:rFonts w:hint="default"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28"/>
                <w:szCs w:val="28"/>
                <w:lang w:val="en-US" w:eastAsia="zh-CN" w:bidi="ar-SA"/>
                <w14:textFill>
                  <w14:solidFill>
                    <w14:schemeClr w14:val="tx1"/>
                  </w14:solidFill>
                </w14:textFill>
              </w:rPr>
              <w:t>4.5景观环境影响分析</w:t>
            </w:r>
          </w:p>
          <w:p w14:paraId="05395F59">
            <w:pPr>
              <w:bidi w:val="0"/>
              <w:rPr>
                <w:rFonts w:hint="default" w:ascii="Times New Roman" w:hAnsi="Times New Roman" w:cs="Times New Roman"/>
                <w:lang w:val="en-US" w:eastAsia="zh-CN"/>
              </w:rPr>
            </w:pPr>
            <w:r>
              <w:rPr>
                <w:rFonts w:hint="default" w:ascii="Times New Roman" w:hAnsi="Times New Roman" w:cs="Times New Roman"/>
                <w:lang w:val="en-US" w:eastAsia="zh-CN"/>
              </w:rPr>
              <w:t>运行期景观环境影响主要从景观布局、景观美学上分析工程建成后区域景观的特点与变化。</w:t>
            </w:r>
          </w:p>
          <w:p w14:paraId="59788C11">
            <w:pPr>
              <w:bidi w:val="0"/>
              <w:rPr>
                <w:rFonts w:hint="default" w:ascii="Times New Roman" w:hAnsi="Times New Roman" w:cs="Times New Roman"/>
                <w:lang w:val="en-US" w:eastAsia="zh-CN"/>
              </w:rPr>
            </w:pPr>
            <w:r>
              <w:rPr>
                <w:rFonts w:hint="default" w:ascii="Times New Roman" w:hAnsi="Times New Roman" w:cs="Times New Roman"/>
                <w:lang w:val="en-US" w:eastAsia="zh-CN"/>
              </w:rPr>
              <w:t>工程建成后</w:t>
            </w:r>
            <w:bookmarkStart w:id="26" w:name="OLE_LINK51"/>
            <w:r>
              <w:rPr>
                <w:rFonts w:hint="default" w:ascii="Times New Roman" w:hAnsi="Times New Roman" w:cs="Times New Roman"/>
                <w:lang w:val="en-US" w:eastAsia="zh-CN"/>
              </w:rPr>
              <w:t>，</w:t>
            </w:r>
            <w:bookmarkEnd w:id="26"/>
            <w:r>
              <w:rPr>
                <w:rFonts w:hint="default" w:ascii="Times New Roman" w:hAnsi="Times New Roman" w:cs="Times New Roman"/>
                <w:lang w:val="en-US" w:eastAsia="zh-CN"/>
              </w:rPr>
              <w:t>防护堤建成，明晰河道范围，对沿岸人民群众生产、生活提供一个安康的周边环境。工程建成后，将改变目前</w:t>
            </w:r>
            <w:r>
              <w:rPr>
                <w:rFonts w:hint="eastAsia" w:cs="Times New Roman"/>
                <w:lang w:val="en-US" w:eastAsia="zh-CN"/>
              </w:rPr>
              <w:t>阴沟及渠道</w:t>
            </w:r>
            <w:r>
              <w:rPr>
                <w:rFonts w:hint="default" w:ascii="Times New Roman" w:hAnsi="Times New Roman" w:cs="Times New Roman"/>
                <w:lang w:val="en-US" w:eastAsia="zh-CN"/>
              </w:rPr>
              <w:t>景观，景观比现状大为改观。</w:t>
            </w:r>
          </w:p>
          <w:p w14:paraId="307A63B7">
            <w:pPr>
              <w:bidi w:val="0"/>
              <w:rPr>
                <w:rFonts w:hint="default" w:ascii="Times New Roman" w:hAnsi="Times New Roman" w:eastAsia="仿宋_GB2312" w:cs="Times New Roman"/>
                <w:color w:val="000000" w:themeColor="text1"/>
                <w:kern w:val="2"/>
                <w:szCs w:val="28"/>
                <w:lang w:val="en-US" w:eastAsia="zh-CN" w:bidi="ar-SA"/>
                <w14:textFill>
                  <w14:solidFill>
                    <w14:schemeClr w14:val="tx1"/>
                  </w14:solidFill>
                </w14:textFill>
              </w:rPr>
            </w:pPr>
            <w:r>
              <w:rPr>
                <w:rFonts w:hint="default" w:ascii="Times New Roman" w:hAnsi="Times New Roman" w:cs="Times New Roman"/>
                <w:lang w:val="en-US" w:eastAsia="zh-CN"/>
              </w:rPr>
              <w:t>总体上看，本工程建成后将改善河道景观和生态环境，增强</w:t>
            </w:r>
            <w:r>
              <w:rPr>
                <w:rFonts w:hint="eastAsia" w:cs="Times New Roman"/>
                <w:lang w:val="en-US" w:eastAsia="zh-CN"/>
              </w:rPr>
              <w:t>项目区</w:t>
            </w:r>
            <w:r>
              <w:rPr>
                <w:rFonts w:hint="default" w:ascii="Times New Roman" w:hAnsi="Times New Roman" w:cs="Times New Roman"/>
                <w:lang w:val="en-US" w:eastAsia="zh-CN"/>
              </w:rPr>
              <w:t>的景观美学性。</w:t>
            </w:r>
          </w:p>
        </w:tc>
      </w:tr>
      <w:tr w14:paraId="60E61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0" w:hRule="atLeast"/>
          <w:jc w:val="center"/>
        </w:trPr>
        <w:tc>
          <w:tcPr>
            <w:tcW w:w="244" w:type="pct"/>
            <w:noWrap w:val="0"/>
            <w:vAlign w:val="center"/>
          </w:tcPr>
          <w:p w14:paraId="4259A839">
            <w:pPr>
              <w:pStyle w:val="24"/>
              <w:adjustRightInd w:val="0"/>
              <w:snapToGrid w:val="0"/>
              <w:spacing w:before="0" w:beforeAutospacing="0" w:after="0" w:afterAutospacing="0"/>
              <w:ind w:left="0" w:leftChars="0" w:firstLine="0" w:firstLineChars="0"/>
              <w:jc w:val="both"/>
              <w:rPr>
                <w:rFonts w:hint="default" w:ascii="Times New Roman" w:hAnsi="Times New Roman" w:eastAsia="仿宋" w:cs="Times New Roman"/>
                <w:bCs/>
                <w:color w:val="000000" w:themeColor="text1"/>
                <w:kern w:val="2"/>
                <w:sz w:val="21"/>
                <w:szCs w:val="21"/>
                <w14:textFill>
                  <w14:solidFill>
                    <w14:schemeClr w14:val="tx1"/>
                  </w14:solidFill>
                </w14:textFill>
              </w:rPr>
            </w:pPr>
            <w:r>
              <w:rPr>
                <w:rFonts w:hint="default" w:ascii="Times New Roman" w:hAnsi="Times New Roman" w:eastAsia="仿宋" w:cs="Times New Roman"/>
                <w:bCs/>
                <w:color w:val="000000" w:themeColor="text1"/>
                <w:kern w:val="2"/>
                <w:sz w:val="28"/>
                <w:szCs w:val="28"/>
                <w14:textFill>
                  <w14:solidFill>
                    <w14:schemeClr w14:val="tx1"/>
                  </w14:solidFill>
                </w14:textFill>
              </w:rPr>
              <w:t>选址选线环境合理性分析</w:t>
            </w:r>
          </w:p>
        </w:tc>
        <w:tc>
          <w:tcPr>
            <w:tcW w:w="4755" w:type="pct"/>
            <w:noWrap w:val="0"/>
            <w:vAlign w:val="top"/>
          </w:tcPr>
          <w:p w14:paraId="2C877266">
            <w:pPr>
              <w:bidi w:val="0"/>
              <w:rPr>
                <w:rFonts w:hint="default" w:ascii="Times New Roman" w:hAnsi="Times New Roman" w:cs="Times New Roman"/>
                <w:lang w:val="en-US" w:eastAsia="zh-CN"/>
              </w:rPr>
            </w:pPr>
            <w:r>
              <w:rPr>
                <w:rFonts w:hint="default" w:ascii="Times New Roman" w:hAnsi="Times New Roman" w:cs="Times New Roman"/>
                <w:lang w:val="en-US" w:eastAsia="zh-CN"/>
              </w:rPr>
              <w:t>1、项目选址合理性分析</w:t>
            </w:r>
          </w:p>
          <w:p w14:paraId="0E23BECD">
            <w:pPr>
              <w:bidi w:val="0"/>
              <w:rPr>
                <w:rFonts w:hint="default" w:ascii="Times New Roman" w:hAnsi="Times New Roman" w:cs="Times New Roman"/>
              </w:rPr>
            </w:pPr>
            <w:r>
              <w:rPr>
                <w:rFonts w:hint="default" w:ascii="Times New Roman" w:hAnsi="Times New Roman" w:cs="Times New Roman"/>
                <w:lang w:val="en-US" w:eastAsia="zh-CN"/>
              </w:rPr>
              <w:t>本项目为</w:t>
            </w:r>
            <w:r>
              <w:rPr>
                <w:rFonts w:hint="eastAsia" w:cs="Times New Roman"/>
                <w:lang w:val="en-US" w:eastAsia="zh-CN"/>
              </w:rPr>
              <w:t>河湖整治工程</w:t>
            </w:r>
            <w:r>
              <w:rPr>
                <w:rFonts w:hint="default" w:ascii="Times New Roman" w:hAnsi="Times New Roman" w:cs="Times New Roman"/>
                <w:lang w:val="en-US" w:eastAsia="zh-CN"/>
              </w:rPr>
              <w:t>，针对</w:t>
            </w:r>
            <w:r>
              <w:rPr>
                <w:rFonts w:hint="eastAsia" w:cs="Times New Roman"/>
                <w:lang w:val="en-US" w:eastAsia="zh-CN"/>
              </w:rPr>
              <w:t>阴沟</w:t>
            </w:r>
            <w:r>
              <w:rPr>
                <w:rFonts w:hint="default" w:ascii="Times New Roman" w:hAnsi="Times New Roman" w:cs="Times New Roman"/>
                <w:lang w:val="en-US" w:eastAsia="zh-CN"/>
              </w:rPr>
              <w:t>现有问题进行清淤</w:t>
            </w:r>
            <w:r>
              <w:rPr>
                <w:rFonts w:hint="eastAsia" w:cs="Times New Roman"/>
                <w:lang w:val="en-US" w:eastAsia="zh-CN"/>
              </w:rPr>
              <w:t>，疏通</w:t>
            </w:r>
            <w:r>
              <w:rPr>
                <w:rFonts w:hint="default" w:ascii="Times New Roman" w:hAnsi="Times New Roman" w:cs="Times New Roman"/>
                <w:lang w:val="en-US" w:eastAsia="zh-CN"/>
              </w:rPr>
              <w:t>，完善相关设施，</w:t>
            </w:r>
            <w:r>
              <w:rPr>
                <w:rFonts w:hint="eastAsia" w:cs="Times New Roman"/>
                <w:lang w:val="en-US" w:eastAsia="zh-CN"/>
              </w:rPr>
              <w:t>对低效林进行改造以及现有农渠提升改造，</w:t>
            </w:r>
            <w:r>
              <w:rPr>
                <w:rFonts w:hint="default" w:ascii="Times New Roman" w:hAnsi="Times New Roman" w:cs="Times New Roman"/>
                <w:lang w:val="en-US" w:eastAsia="zh-CN"/>
              </w:rPr>
              <w:t>选址唯一。项目新增临时占地面积有限，项目选线</w:t>
            </w:r>
            <w:r>
              <w:rPr>
                <w:rFonts w:hint="default" w:ascii="Times New Roman" w:hAnsi="Times New Roman" w:cs="Times New Roman"/>
              </w:rPr>
              <w:t>较全面考虑了项目地区的自然环境、社会环境和生态环境，较好地做到了环境选线，不占用基本农田。</w:t>
            </w:r>
          </w:p>
          <w:p w14:paraId="2BAFAB5E">
            <w:pPr>
              <w:bidi w:val="0"/>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cs="Times New Roman"/>
              </w:rPr>
              <w:t>工程临时占地经恢复后不改变其用地性质；项目</w:t>
            </w:r>
            <w:r>
              <w:rPr>
                <w:rFonts w:hint="eastAsia" w:cs="Times New Roman"/>
                <w:lang w:val="en-US" w:eastAsia="zh-CN"/>
              </w:rPr>
              <w:t>工程区周边为一般湿地，不涉及重要湿地，</w:t>
            </w:r>
            <w:r>
              <w:rPr>
                <w:rFonts w:hint="default" w:ascii="Times New Roman" w:hAnsi="Times New Roman" w:cs="Times New Roman"/>
              </w:rPr>
              <w:t>不涉及历史文物古迹，无特殊生态敏感区和重要生态敏感区，无珍稀濒危野生动植物，无高大古木等需要保护的敏感点，项目所在区域周围环境质量现状良好，符合环境功能规划；工程主要的负面影响存在于工程的施工期，但这些不利影响一般是局部或暂时的，总体来说区域无环境制约因素。同时对项目所涉及的环境问题也可通过采取一定的措施予以减缓、防范。项目建成后，有利于提高当地的防洪泄洪能力，具有明显的环境正效应。因此，本项目选址合理。</w:t>
            </w:r>
          </w:p>
        </w:tc>
      </w:tr>
    </w:tbl>
    <w:p w14:paraId="43B13957">
      <w:pPr>
        <w:pStyle w:val="24"/>
        <w:jc w:val="center"/>
        <w:rPr>
          <w:rFonts w:hint="default" w:ascii="Times New Roman" w:hAnsi="Times New Roman" w:eastAsia="仿宋" w:cs="Times New Roman"/>
          <w:snapToGrid w:val="0"/>
          <w:color w:val="000000" w:themeColor="text1"/>
          <w:sz w:val="36"/>
          <w:szCs w:val="36"/>
          <w14:textFill>
            <w14:solidFill>
              <w14:schemeClr w14:val="tx1"/>
            </w14:solidFill>
          </w14:textFill>
        </w:rPr>
        <w:sectPr>
          <w:pgSz w:w="11906" w:h="16838"/>
          <w:pgMar w:top="1440" w:right="1800" w:bottom="1440" w:left="1800" w:header="851" w:footer="1077" w:gutter="0"/>
          <w:pgNumType w:fmt="decimal"/>
          <w:cols w:space="720" w:num="1"/>
          <w:docGrid w:linePitch="312" w:charSpace="0"/>
        </w:sectPr>
      </w:pPr>
    </w:p>
    <w:p w14:paraId="6D49BA85">
      <w:pPr>
        <w:pStyle w:val="24"/>
        <w:adjustRightInd w:val="0"/>
        <w:snapToGrid w:val="0"/>
        <w:spacing w:before="0" w:beforeAutospacing="0" w:after="0" w:afterAutospacing="0" w:line="14" w:lineRule="auto"/>
        <w:jc w:val="center"/>
        <w:outlineLvl w:val="9"/>
        <w:rPr>
          <w:rFonts w:hint="default" w:ascii="Times New Roman" w:hAnsi="Times New Roman" w:eastAsia="仿宋" w:cs="Times New Roman"/>
          <w:snapToGrid w:val="0"/>
          <w:color w:val="000000" w:themeColor="text1"/>
          <w:sz w:val="30"/>
          <w:szCs w:val="30"/>
          <w14:textFill>
            <w14:solidFill>
              <w14:schemeClr w14:val="tx1"/>
            </w14:solidFill>
          </w14:textFill>
        </w:rPr>
      </w:pPr>
    </w:p>
    <w:p w14:paraId="00B9EEF4">
      <w:pPr>
        <w:pStyle w:val="24"/>
        <w:jc w:val="center"/>
        <w:outlineLvl w:val="0"/>
        <w:rPr>
          <w:rFonts w:hint="default" w:ascii="Times New Roman" w:hAnsi="Times New Roman" w:eastAsia="仿宋" w:cs="Times New Roman"/>
          <w:b/>
          <w:bCs/>
          <w:snapToGrid w:val="0"/>
          <w:color w:val="000000" w:themeColor="text1"/>
          <w:sz w:val="30"/>
          <w:szCs w:val="30"/>
          <w14:textFill>
            <w14:solidFill>
              <w14:schemeClr w14:val="tx1"/>
            </w14:solidFill>
          </w14:textFill>
        </w:rPr>
      </w:pPr>
      <w:r>
        <w:rPr>
          <w:rFonts w:hint="default" w:ascii="Times New Roman" w:hAnsi="Times New Roman" w:eastAsia="仿宋" w:cs="Times New Roman"/>
          <w:b/>
          <w:bCs/>
          <w:snapToGrid w:val="0"/>
          <w:color w:val="000000" w:themeColor="text1"/>
          <w:sz w:val="30"/>
          <w:szCs w:val="30"/>
          <w14:textFill>
            <w14:solidFill>
              <w14:schemeClr w14:val="tx1"/>
            </w14:solidFill>
          </w14:textFill>
        </w:rPr>
        <w:t>五、主要生态环境保护措施</w:t>
      </w:r>
    </w:p>
    <w:tbl>
      <w:tblPr>
        <w:tblStyle w:val="27"/>
        <w:tblW w:w="504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7949"/>
      </w:tblGrid>
      <w:tr w14:paraId="70C56E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39" w:type="pct"/>
            <w:noWrap w:val="0"/>
            <w:tcMar>
              <w:left w:w="28" w:type="dxa"/>
              <w:right w:w="28" w:type="dxa"/>
            </w:tcMar>
            <w:vAlign w:val="center"/>
          </w:tcPr>
          <w:p w14:paraId="2CA6D39D">
            <w:pPr>
              <w:adjustRightInd w:val="0"/>
              <w:snapToGrid w:val="0"/>
              <w:ind w:left="0" w:leftChars="0" w:firstLine="0" w:firstLineChars="0"/>
              <w:jc w:val="both"/>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pacing w:val="10"/>
                <w:szCs w:val="21"/>
                <w14:textFill>
                  <w14:solidFill>
                    <w14:schemeClr w14:val="tx1"/>
                  </w14:solidFill>
                </w14:textFill>
              </w:rPr>
              <w:t>施工期生态环境保护措施</w:t>
            </w:r>
          </w:p>
        </w:tc>
        <w:tc>
          <w:tcPr>
            <w:tcW w:w="4660" w:type="pct"/>
            <w:noWrap w:val="0"/>
            <w:vAlign w:val="top"/>
          </w:tcPr>
          <w:p w14:paraId="0FD0DE82">
            <w:pPr>
              <w:keepNext w:val="0"/>
              <w:keepLines w:val="0"/>
              <w:widowControl/>
              <w:suppressLineNumbers w:val="0"/>
              <w:ind w:left="0" w:leftChars="0" w:firstLine="0" w:firstLineChars="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b/>
                <w:bCs/>
                <w:color w:val="000000" w:themeColor="text1"/>
                <w:kern w:val="0"/>
                <w:sz w:val="24"/>
                <w:szCs w:val="24"/>
                <w:lang w:val="en-US" w:eastAsia="zh-CN" w:bidi="ar"/>
                <w14:textFill>
                  <w14:solidFill>
                    <w14:schemeClr w14:val="tx1"/>
                  </w14:solidFill>
                </w14:textFill>
              </w:rPr>
              <w:t>5.1大气污染防控措施</w:t>
            </w:r>
          </w:p>
          <w:p w14:paraId="0A5C7538">
            <w:pPr>
              <w:bidi w:val="0"/>
              <w:rPr>
                <w:rFonts w:hint="default"/>
                <w:lang w:val="en-US" w:eastAsia="zh-CN"/>
              </w:rPr>
            </w:pPr>
            <w:r>
              <w:rPr>
                <w:rFonts w:hint="default"/>
                <w:lang w:val="en-US" w:eastAsia="zh-CN"/>
              </w:rPr>
              <w:t>1)扬尘防治措施</w:t>
            </w:r>
          </w:p>
          <w:p w14:paraId="55070008">
            <w:pPr>
              <w:bidi w:val="0"/>
              <w:rPr>
                <w:rFonts w:hint="default"/>
                <w:highlight w:val="none"/>
                <w:lang w:val="en-US" w:eastAsia="zh-CN"/>
              </w:rPr>
            </w:pPr>
            <w:r>
              <w:rPr>
                <w:rFonts w:hint="default"/>
                <w:highlight w:val="none"/>
                <w:lang w:val="en-US" w:eastAsia="zh-CN"/>
              </w:rPr>
              <w:t>依据《张掖市大气污染防治条例》等要求，对本项目建设过程中大气环境的保护措施提出以下：</w:t>
            </w:r>
          </w:p>
          <w:p w14:paraId="3E3141CD">
            <w:pPr>
              <w:bidi w:val="0"/>
              <w:rPr>
                <w:rFonts w:hint="default"/>
                <w:highlight w:val="none"/>
                <w:lang w:val="en-US" w:eastAsia="zh-CN"/>
              </w:rPr>
            </w:pPr>
            <w:bookmarkStart w:id="27" w:name="OLE_LINK60"/>
            <w:r>
              <w:rPr>
                <w:rFonts w:hint="default"/>
                <w:highlight w:val="none"/>
                <w:lang w:val="en-US" w:eastAsia="zh-CN"/>
              </w:rPr>
              <w:t>（1）工程建设过程中加强施工场内扰动区域的洒水，保证表面湿度，减少起尘量</w:t>
            </w:r>
            <w:r>
              <w:rPr>
                <w:rFonts w:hint="eastAsia"/>
                <w:highlight w:val="none"/>
                <w:lang w:val="en-US" w:eastAsia="zh-CN"/>
              </w:rPr>
              <w:t>，每天对道路进行洒水，降低车辆进出产生的无组织粉尘</w:t>
            </w:r>
            <w:r>
              <w:rPr>
                <w:rFonts w:hint="default"/>
                <w:highlight w:val="none"/>
                <w:lang w:val="en-US" w:eastAsia="zh-CN"/>
              </w:rPr>
              <w:t>。</w:t>
            </w:r>
          </w:p>
          <w:p w14:paraId="4EB6E464">
            <w:pPr>
              <w:bidi w:val="0"/>
              <w:rPr>
                <w:rFonts w:hint="default"/>
                <w:highlight w:val="none"/>
                <w:lang w:val="en-US" w:eastAsia="zh-CN"/>
              </w:rPr>
            </w:pPr>
            <w:r>
              <w:rPr>
                <w:rFonts w:hint="default"/>
                <w:highlight w:val="none"/>
                <w:lang w:val="en-US" w:eastAsia="zh-CN"/>
              </w:rPr>
              <w:t>（2）车辆进出场地应对</w:t>
            </w:r>
            <w:bookmarkStart w:id="28" w:name="OLE_LINK61"/>
            <w:r>
              <w:rPr>
                <w:rFonts w:hint="default"/>
                <w:highlight w:val="none"/>
                <w:lang w:val="en-US" w:eastAsia="zh-CN"/>
              </w:rPr>
              <w:t>车辆轮胎进行</w:t>
            </w:r>
            <w:bookmarkEnd w:id="28"/>
            <w:r>
              <w:rPr>
                <w:rFonts w:hint="default"/>
                <w:highlight w:val="none"/>
                <w:lang w:val="en-US" w:eastAsia="zh-CN"/>
              </w:rPr>
              <w:t>清洗，避免带泥上路。</w:t>
            </w:r>
          </w:p>
          <w:p w14:paraId="6F2FC355">
            <w:pPr>
              <w:bidi w:val="0"/>
              <w:rPr>
                <w:rFonts w:hint="default"/>
                <w:highlight w:val="none"/>
                <w:lang w:val="en-US" w:eastAsia="zh-CN"/>
              </w:rPr>
            </w:pPr>
            <w:r>
              <w:rPr>
                <w:rFonts w:hint="default"/>
                <w:highlight w:val="none"/>
                <w:lang w:val="en-US" w:eastAsia="zh-CN"/>
              </w:rPr>
              <w:t>（3）</w:t>
            </w:r>
            <w:r>
              <w:rPr>
                <w:rFonts w:hint="eastAsia"/>
                <w:highlight w:val="none"/>
                <w:lang w:val="en-US" w:eastAsia="zh-CN"/>
              </w:rPr>
              <w:t>在靠近道路的及易起尘路段设置围挡，降低施工对周边道路等环境的影响</w:t>
            </w:r>
            <w:r>
              <w:rPr>
                <w:rFonts w:hint="default"/>
                <w:highlight w:val="none"/>
                <w:lang w:val="en-US" w:eastAsia="zh-CN"/>
              </w:rPr>
              <w:t>。</w:t>
            </w:r>
          </w:p>
          <w:p w14:paraId="4B0970CD">
            <w:pPr>
              <w:bidi w:val="0"/>
              <w:rPr>
                <w:rFonts w:hint="default"/>
                <w:highlight w:val="none"/>
                <w:lang w:val="en-US" w:eastAsia="zh-CN"/>
              </w:rPr>
            </w:pPr>
            <w:r>
              <w:rPr>
                <w:rFonts w:hint="default"/>
                <w:highlight w:val="none"/>
                <w:lang w:val="en-US" w:eastAsia="zh-CN"/>
              </w:rPr>
              <w:t>（4）</w:t>
            </w:r>
            <w:r>
              <w:rPr>
                <w:rFonts w:hint="eastAsia"/>
                <w:highlight w:val="none"/>
                <w:lang w:val="en-US" w:eastAsia="zh-CN"/>
              </w:rPr>
              <w:t>清理出的植物根系等一般固废</w:t>
            </w:r>
            <w:r>
              <w:rPr>
                <w:rFonts w:hint="default"/>
                <w:highlight w:val="none"/>
                <w:lang w:val="en-US" w:eastAsia="zh-CN"/>
              </w:rPr>
              <w:t>定期清运，不能在规定的时间内及时清运的，应当在施工场地内实施覆盖或者采取其他有效防尘措施。</w:t>
            </w:r>
          </w:p>
          <w:p w14:paraId="3FEAB095">
            <w:pPr>
              <w:bidi w:val="0"/>
              <w:rPr>
                <w:rFonts w:hint="default"/>
                <w:highlight w:val="none"/>
                <w:lang w:val="en-US" w:eastAsia="zh-CN"/>
              </w:rPr>
            </w:pPr>
            <w:r>
              <w:rPr>
                <w:rFonts w:hint="default"/>
                <w:highlight w:val="none"/>
                <w:lang w:val="en-US" w:eastAsia="zh-CN"/>
              </w:rPr>
              <w:t>（5）土方挖填作业时，应当采取洒水压尘措施，缩短起尘操作时间；气象部门发布大风蓝色预警或遇重污染天气时，不得进行土方挖填、转运等作业（引用《张掖市大气污染防治条例》第二十四条）</w:t>
            </w:r>
          </w:p>
          <w:p w14:paraId="713D7C96">
            <w:pPr>
              <w:bidi w:val="0"/>
              <w:rPr>
                <w:rFonts w:hint="default"/>
                <w:highlight w:val="none"/>
                <w:lang w:val="en-US" w:eastAsia="zh-CN"/>
              </w:rPr>
            </w:pPr>
            <w:r>
              <w:rPr>
                <w:rFonts w:hint="default"/>
                <w:highlight w:val="none"/>
                <w:lang w:val="en-US" w:eastAsia="zh-CN"/>
              </w:rPr>
              <w:t>（6）在</w:t>
            </w:r>
            <w:r>
              <w:rPr>
                <w:rFonts w:hint="eastAsia"/>
                <w:highlight w:val="none"/>
                <w:lang w:val="en-US" w:eastAsia="zh-CN"/>
              </w:rPr>
              <w:t>施工场地</w:t>
            </w:r>
            <w:r>
              <w:rPr>
                <w:rFonts w:hint="default"/>
                <w:highlight w:val="none"/>
                <w:lang w:val="en-US" w:eastAsia="zh-CN"/>
              </w:rPr>
              <w:t>内堆放的</w:t>
            </w:r>
            <w:r>
              <w:rPr>
                <w:rFonts w:hint="eastAsia"/>
                <w:highlight w:val="none"/>
                <w:lang w:val="en-US" w:eastAsia="zh-CN"/>
              </w:rPr>
              <w:t>砂石料</w:t>
            </w:r>
            <w:r>
              <w:rPr>
                <w:rFonts w:hint="default"/>
                <w:highlight w:val="none"/>
                <w:lang w:val="en-US" w:eastAsia="zh-CN"/>
              </w:rPr>
              <w:t>等</w:t>
            </w:r>
            <w:r>
              <w:rPr>
                <w:rFonts w:hint="eastAsia"/>
                <w:highlight w:val="none"/>
                <w:lang w:val="en-US" w:eastAsia="zh-CN"/>
              </w:rPr>
              <w:t>做到现用现购，减少在场地内的堆存时间，</w:t>
            </w:r>
            <w:r>
              <w:rPr>
                <w:rFonts w:hint="default"/>
                <w:highlight w:val="none"/>
                <w:lang w:val="en-US" w:eastAsia="zh-CN"/>
              </w:rPr>
              <w:t>定期采取洒水等措施，防止风力起尘。</w:t>
            </w:r>
          </w:p>
          <w:p w14:paraId="63852DC1">
            <w:pPr>
              <w:bidi w:val="0"/>
              <w:rPr>
                <w:rFonts w:hint="default"/>
                <w:highlight w:val="none"/>
                <w:lang w:val="en-US" w:eastAsia="zh-CN"/>
              </w:rPr>
            </w:pPr>
            <w:r>
              <w:rPr>
                <w:rFonts w:hint="default"/>
                <w:highlight w:val="none"/>
                <w:lang w:val="en-US" w:eastAsia="zh-CN"/>
              </w:rPr>
              <w:t>（7）限制运输车辆的行驶速度，场地内的行车速度控制在20km/h以内，以减少车辆行驶扬尘。</w:t>
            </w:r>
          </w:p>
          <w:p w14:paraId="3FB9D601">
            <w:pPr>
              <w:bidi w:val="0"/>
              <w:rPr>
                <w:rFonts w:hint="default"/>
                <w:highlight w:val="none"/>
                <w:lang w:val="en-US" w:eastAsia="zh-CN"/>
              </w:rPr>
            </w:pPr>
            <w:r>
              <w:rPr>
                <w:rFonts w:hint="eastAsia"/>
                <w:highlight w:val="none"/>
                <w:lang w:val="en-US" w:eastAsia="zh-CN"/>
              </w:rPr>
              <w:t>（8）在施工场区不得设置砂石筛分等易产尘工序，仅采用人工清选出植物根系。</w:t>
            </w:r>
          </w:p>
          <w:bookmarkEnd w:id="27"/>
          <w:p w14:paraId="2E04AB7C">
            <w:pPr>
              <w:bidi w:val="0"/>
              <w:rPr>
                <w:rFonts w:hint="default"/>
                <w:highlight w:val="none"/>
                <w:lang w:val="en-US" w:eastAsia="zh-CN"/>
              </w:rPr>
            </w:pPr>
            <w:r>
              <w:rPr>
                <w:rFonts w:hint="default"/>
                <w:highlight w:val="none"/>
                <w:lang w:val="en-US" w:eastAsia="zh-CN"/>
              </w:rPr>
              <w:t>2)施工机械废气控制措施</w:t>
            </w:r>
          </w:p>
          <w:p w14:paraId="45326285">
            <w:pPr>
              <w:bidi w:val="0"/>
              <w:rPr>
                <w:rFonts w:hint="default"/>
                <w:lang w:val="en-US" w:eastAsia="zh-CN"/>
              </w:rPr>
            </w:pPr>
            <w:bookmarkStart w:id="29" w:name="OLE_LINK69"/>
            <w:r>
              <w:rPr>
                <w:rFonts w:hint="default"/>
                <w:lang w:val="en-US" w:eastAsia="zh-CN"/>
              </w:rPr>
              <w:t>选用符合国家有关标准的施工机械和运输车辆，对排烟量大的车辆安装尾气净化器，使用符合标准的油料或清洁能源，使其排放的废气能够达到国家标准。</w:t>
            </w:r>
          </w:p>
          <w:p w14:paraId="708EE5C5">
            <w:pPr>
              <w:bidi w:val="0"/>
              <w:rPr>
                <w:rFonts w:hint="default"/>
                <w:lang w:val="en-US" w:eastAsia="zh-CN"/>
              </w:rPr>
            </w:pPr>
            <w:r>
              <w:rPr>
                <w:rFonts w:hint="default"/>
                <w:lang w:val="en-US" w:eastAsia="zh-CN"/>
              </w:rPr>
              <w:t>严格执行《在用汽车报废标准》，推行强制更新报废制度。特别是发动机耗油多、效率低、排放尾气严重超标的老旧车辆，应予以更新。加强对燃油机械设备的维护和保养，使发动机处于正常、良好的工作状态。</w:t>
            </w:r>
            <w:bookmarkEnd w:id="29"/>
          </w:p>
          <w:p w14:paraId="41543169">
            <w:pPr>
              <w:keepNext w:val="0"/>
              <w:keepLines w:val="0"/>
              <w:widowControl/>
              <w:suppressLineNumbers w:val="0"/>
              <w:ind w:left="0" w:leftChars="0" w:firstLine="0" w:firstLineChars="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b/>
                <w:bCs/>
                <w:color w:val="000000" w:themeColor="text1"/>
                <w:kern w:val="0"/>
                <w:sz w:val="24"/>
                <w:szCs w:val="24"/>
                <w:lang w:val="en-US" w:eastAsia="zh-CN" w:bidi="ar"/>
                <w14:textFill>
                  <w14:solidFill>
                    <w14:schemeClr w14:val="tx1"/>
                  </w14:solidFill>
                </w14:textFill>
              </w:rPr>
              <w:t>5.2施工期</w:t>
            </w:r>
            <w:r>
              <w:rPr>
                <w:rFonts w:hint="eastAsia" w:eastAsia="仿宋" w:cs="Times New Roman"/>
                <w:b/>
                <w:bCs/>
                <w:color w:val="000000" w:themeColor="text1"/>
                <w:kern w:val="0"/>
                <w:sz w:val="24"/>
                <w:szCs w:val="24"/>
                <w:lang w:val="en-US" w:eastAsia="zh-CN" w:bidi="ar"/>
                <w14:textFill>
                  <w14:solidFill>
                    <w14:schemeClr w14:val="tx1"/>
                  </w14:solidFill>
                </w14:textFill>
              </w:rPr>
              <w:t>水环境</w:t>
            </w:r>
            <w:r>
              <w:rPr>
                <w:rFonts w:hint="default" w:ascii="Times New Roman" w:hAnsi="Times New Roman" w:eastAsia="仿宋" w:cs="Times New Roman"/>
                <w:b/>
                <w:bCs/>
                <w:color w:val="000000" w:themeColor="text1"/>
                <w:kern w:val="0"/>
                <w:sz w:val="24"/>
                <w:szCs w:val="24"/>
                <w:lang w:val="en-US" w:eastAsia="zh-CN" w:bidi="ar"/>
                <w14:textFill>
                  <w14:solidFill>
                    <w14:schemeClr w14:val="tx1"/>
                  </w14:solidFill>
                </w14:textFill>
              </w:rPr>
              <w:t>污染防控措施</w:t>
            </w:r>
          </w:p>
          <w:p w14:paraId="34227254">
            <w:pPr>
              <w:bidi w:val="0"/>
              <w:rPr>
                <w:rFonts w:hint="default"/>
                <w:lang w:val="en-US" w:eastAsia="zh-CN"/>
              </w:rPr>
            </w:pPr>
            <w:r>
              <w:rPr>
                <w:rFonts w:hint="default"/>
                <w:lang w:val="en-US" w:eastAsia="zh-CN"/>
              </w:rPr>
              <w:t>本工程高峰期施工人数</w:t>
            </w:r>
            <w:r>
              <w:rPr>
                <w:rFonts w:hint="eastAsia"/>
                <w:lang w:val="en-US" w:eastAsia="zh-CN"/>
              </w:rPr>
              <w:t>50</w:t>
            </w:r>
            <w:r>
              <w:rPr>
                <w:rFonts w:hint="default"/>
                <w:lang w:val="en-US" w:eastAsia="zh-CN"/>
              </w:rPr>
              <w:t>人/d，生活污水排放量为</w:t>
            </w:r>
            <w:r>
              <w:rPr>
                <w:rFonts w:hint="eastAsia"/>
                <w:lang w:val="en-US" w:eastAsia="zh-CN"/>
              </w:rPr>
              <w:t>1.8</w:t>
            </w:r>
            <w:r>
              <w:rPr>
                <w:rFonts w:hint="default"/>
                <w:lang w:val="en-US" w:eastAsia="zh-CN"/>
              </w:rPr>
              <w:t>m</w:t>
            </w:r>
            <w:r>
              <w:rPr>
                <w:rFonts w:hint="default"/>
                <w:vertAlign w:val="superscript"/>
                <w:lang w:val="en-US" w:eastAsia="zh-CN"/>
              </w:rPr>
              <w:t>3</w:t>
            </w:r>
            <w:r>
              <w:rPr>
                <w:rFonts w:hint="default"/>
                <w:lang w:val="en-US" w:eastAsia="zh-CN"/>
              </w:rPr>
              <w:t>/d，类比同类项目知主要污染物及浓度为COD：350mg/L，BOD：200mg/L，SS：200mg/L，氨氮：35mg/L，洗漱废水可就地泼洒，不外排</w:t>
            </w:r>
            <w:r>
              <w:rPr>
                <w:rFonts w:hint="eastAsia"/>
                <w:lang w:val="en-US" w:eastAsia="zh-CN"/>
              </w:rPr>
              <w:t>，</w:t>
            </w:r>
            <w:r>
              <w:rPr>
                <w:rFonts w:hint="eastAsia" w:ascii="Times New Roman" w:hAnsi="Times New Roman" w:cs="Times New Roman"/>
                <w:bCs w:val="0"/>
                <w:snapToGrid/>
                <w:color w:val="000000" w:themeColor="text1"/>
                <w:spacing w:val="-7"/>
                <w:kern w:val="2"/>
                <w:sz w:val="24"/>
                <w:szCs w:val="24"/>
                <w:lang w:val="en-US" w:eastAsia="zh-CN" w:bidi="ar-SA"/>
                <w14:textFill>
                  <w14:solidFill>
                    <w14:schemeClr w14:val="tx1"/>
                  </w14:solidFill>
                </w14:textFill>
              </w:rPr>
              <w:t>施工期人员依托周边居民厕所</w:t>
            </w:r>
            <w:r>
              <w:rPr>
                <w:rFonts w:hint="eastAsia"/>
                <w:lang w:val="en-US" w:eastAsia="zh-CN"/>
              </w:rPr>
              <w:t>。</w:t>
            </w:r>
            <w:r>
              <w:rPr>
                <w:rFonts w:hint="default"/>
              </w:rPr>
              <w:t>施工期生活废水的产生对周围地表水环境</w:t>
            </w:r>
            <w:r>
              <w:rPr>
                <w:rFonts w:hint="default"/>
                <w:lang w:val="en-US" w:eastAsia="zh-CN"/>
              </w:rPr>
              <w:t>的影响不大。</w:t>
            </w:r>
          </w:p>
          <w:p w14:paraId="5D40D5FC">
            <w:pPr>
              <w:bidi w:val="0"/>
              <w:rPr>
                <w:rFonts w:hint="default"/>
                <w:lang w:val="en-US" w:eastAsia="zh-CN"/>
              </w:rPr>
            </w:pPr>
            <w:bookmarkStart w:id="30" w:name="OLE_LINK71"/>
            <w:r>
              <w:rPr>
                <w:rFonts w:hint="default"/>
                <w:lang w:val="en-US" w:eastAsia="zh-CN"/>
              </w:rPr>
              <w:t>1）工程施工时，严禁向河道内倾倒弃渣、垃圾。</w:t>
            </w:r>
          </w:p>
          <w:p w14:paraId="6DC152A4">
            <w:pPr>
              <w:bidi w:val="0"/>
              <w:rPr>
                <w:rFonts w:hint="default"/>
                <w:lang w:val="en-US" w:eastAsia="zh-CN"/>
              </w:rPr>
            </w:pPr>
            <w:r>
              <w:rPr>
                <w:rFonts w:hint="default"/>
                <w:lang w:val="en-US" w:eastAsia="zh-CN"/>
              </w:rPr>
              <w:t>2）施工场地撒落的物料要及时清扫，物料堆放要采取防雨水冲刷和淋溶措施，以免被冲入河道，污染水体。</w:t>
            </w:r>
          </w:p>
          <w:p w14:paraId="31DF2B62">
            <w:pPr>
              <w:bidi w:val="0"/>
              <w:rPr>
                <w:rFonts w:hint="default"/>
                <w:lang w:val="en-US" w:eastAsia="zh-CN"/>
              </w:rPr>
            </w:pPr>
            <w:r>
              <w:rPr>
                <w:rFonts w:hint="default"/>
                <w:lang w:val="en-US" w:eastAsia="zh-CN"/>
              </w:rPr>
              <w:t>3）为防止工区临时堆放的散料被雨水冲刷造成流失，散料堆场四周可设编织袋临时拦挡措施。施工材料不宜堆放在水体附近，应选择远离河道的合适地点，并备有临时遮挡的帆布，防止大风暴雨冲刷而进入水体。</w:t>
            </w:r>
          </w:p>
          <w:p w14:paraId="73698B09">
            <w:pPr>
              <w:bidi w:val="0"/>
              <w:rPr>
                <w:rFonts w:hint="default"/>
                <w:lang w:val="en-US" w:eastAsia="zh-CN"/>
              </w:rPr>
            </w:pPr>
            <w:r>
              <w:rPr>
                <w:rFonts w:hint="default"/>
                <w:lang w:val="en-US" w:eastAsia="zh-CN"/>
              </w:rPr>
              <w:t>4）注意场地清洁，及时维护和修理施工机械，避免施工机械机油的跑冒滴漏，若出现漏油现象，应及时采取措施，用专用装置收集并妥善处理。</w:t>
            </w:r>
          </w:p>
          <w:p w14:paraId="0CF76CF2">
            <w:pPr>
              <w:bidi w:val="0"/>
              <w:rPr>
                <w:rFonts w:hint="default"/>
                <w:lang w:val="en-US" w:eastAsia="zh-CN"/>
              </w:rPr>
            </w:pPr>
            <w:r>
              <w:rPr>
                <w:rFonts w:hint="default"/>
                <w:lang w:val="en-US" w:eastAsia="zh-CN"/>
              </w:rPr>
              <w:t>5）施工场地加强管理，尽量保持场地平整，土石方堆放坡面应平整，避免土石方等进入河道。</w:t>
            </w:r>
          </w:p>
          <w:p w14:paraId="388A0053">
            <w:pPr>
              <w:bidi w:val="0"/>
              <w:rPr>
                <w:rFonts w:hint="default"/>
                <w:lang w:val="en-US" w:eastAsia="zh-CN"/>
              </w:rPr>
            </w:pPr>
            <w:r>
              <w:rPr>
                <w:rFonts w:hint="default"/>
                <w:lang w:val="en-US" w:eastAsia="zh-CN"/>
              </w:rPr>
              <w:t>6）为保护</w:t>
            </w:r>
            <w:r>
              <w:rPr>
                <w:rFonts w:hint="eastAsia"/>
                <w:lang w:val="en-US" w:eastAsia="zh-CN"/>
              </w:rPr>
              <w:t>项目区</w:t>
            </w:r>
            <w:r>
              <w:rPr>
                <w:rFonts w:hint="default"/>
                <w:lang w:val="en-US" w:eastAsia="zh-CN"/>
              </w:rPr>
              <w:t>水环境，工程建成运行后在</w:t>
            </w:r>
            <w:r>
              <w:rPr>
                <w:rFonts w:hint="eastAsia"/>
                <w:lang w:val="en-US" w:eastAsia="zh-CN"/>
              </w:rPr>
              <w:t>项目区</w:t>
            </w:r>
            <w:r>
              <w:rPr>
                <w:rFonts w:hint="default"/>
                <w:lang w:val="en-US" w:eastAsia="zh-CN"/>
              </w:rPr>
              <w:t>设置环境保护宣传牌，提醒过往行人保护河道水环境，严禁乱丢垃圾。</w:t>
            </w:r>
          </w:p>
          <w:bookmarkEnd w:id="30"/>
          <w:p w14:paraId="2A7DD5DD">
            <w:pPr>
              <w:spacing w:line="360" w:lineRule="auto"/>
              <w:ind w:left="0" w:leftChars="0" w:firstLine="0" w:firstLineChars="0"/>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b/>
                <w:bCs/>
                <w:color w:val="000000" w:themeColor="text1"/>
                <w:kern w:val="0"/>
                <w:sz w:val="24"/>
                <w:szCs w:val="24"/>
                <w:lang w:val="en-US" w:eastAsia="zh-CN" w:bidi="ar"/>
                <w14:textFill>
                  <w14:solidFill>
                    <w14:schemeClr w14:val="tx1"/>
                  </w14:solidFill>
                </w14:textFill>
              </w:rPr>
              <w:t>5.3施工期噪声污染防控措施</w:t>
            </w:r>
          </w:p>
          <w:p w14:paraId="0E76B054">
            <w:pPr>
              <w:bidi w:val="0"/>
              <w:rPr>
                <w:rFonts w:hint="default"/>
                <w:lang w:val="en-US" w:eastAsia="zh-CN"/>
              </w:rPr>
            </w:pPr>
            <w:r>
              <w:rPr>
                <w:rFonts w:hint="default"/>
                <w:lang w:val="en-US" w:eastAsia="zh-CN"/>
              </w:rPr>
              <w:t>为了使施工噪声对敏感点的影响降到最低，评价建议施工单位从以下几方面着手，采取适当的实践措施来减轻噪声的影响。</w:t>
            </w:r>
          </w:p>
          <w:p w14:paraId="7DB168FE">
            <w:pPr>
              <w:bidi w:val="0"/>
              <w:rPr>
                <w:rFonts w:hint="default"/>
                <w:lang w:val="en-US" w:eastAsia="zh-CN"/>
              </w:rPr>
            </w:pPr>
            <w:bookmarkStart w:id="31" w:name="OLE_LINK72"/>
            <w:r>
              <w:rPr>
                <w:rFonts w:hint="default"/>
                <w:lang w:val="en-US" w:eastAsia="zh-CN"/>
              </w:rPr>
              <w:t>①在施工</w:t>
            </w:r>
            <w:r>
              <w:rPr>
                <w:rFonts w:hint="eastAsia"/>
                <w:lang w:val="en-US" w:eastAsia="zh-CN"/>
              </w:rPr>
              <w:t>临近居民段</w:t>
            </w:r>
            <w:r>
              <w:rPr>
                <w:rFonts w:hint="default"/>
                <w:lang w:val="en-US" w:eastAsia="zh-CN"/>
              </w:rPr>
              <w:t>，设置临时隔声屏障，以减少噪声的影响。</w:t>
            </w:r>
          </w:p>
          <w:p w14:paraId="5146F0C5">
            <w:pPr>
              <w:bidi w:val="0"/>
              <w:rPr>
                <w:rFonts w:hint="default"/>
                <w:lang w:val="en-US" w:eastAsia="zh-CN"/>
              </w:rPr>
            </w:pPr>
            <w:r>
              <w:rPr>
                <w:rFonts w:hint="default"/>
                <w:lang w:val="en-US" w:eastAsia="zh-CN"/>
              </w:rPr>
              <w:t>②选用低噪声机械设备或带隔声、消音的设备，对设备定期保养，严格操作规范。</w:t>
            </w:r>
          </w:p>
          <w:p w14:paraId="54F9B758">
            <w:pPr>
              <w:bidi w:val="0"/>
              <w:rPr>
                <w:rFonts w:hint="default"/>
                <w:lang w:val="en-US" w:eastAsia="zh-CN"/>
              </w:rPr>
            </w:pPr>
            <w:bookmarkStart w:id="32" w:name="OLE_LINK54"/>
            <w:r>
              <w:rPr>
                <w:rFonts w:hint="default"/>
                <w:lang w:val="en-US" w:eastAsia="zh-CN"/>
              </w:rPr>
              <w:t>③合理布局施工现场。</w:t>
            </w:r>
            <w:bookmarkStart w:id="33" w:name="OLE_LINK53"/>
            <w:r>
              <w:rPr>
                <w:rFonts w:hint="default"/>
                <w:lang w:val="en-US" w:eastAsia="zh-CN"/>
              </w:rPr>
              <w:t>根</w:t>
            </w:r>
            <w:bookmarkEnd w:id="33"/>
            <w:r>
              <w:rPr>
                <w:rFonts w:hint="default"/>
                <w:lang w:val="en-US" w:eastAsia="zh-CN"/>
              </w:rPr>
              <w:t>据《</w:t>
            </w:r>
            <w:r>
              <w:rPr>
                <w:rFonts w:hint="eastAsia"/>
                <w:lang w:val="en-US" w:eastAsia="zh-CN"/>
              </w:rPr>
              <w:t>建筑施工噪声排放标准</w:t>
            </w:r>
            <w:r>
              <w:rPr>
                <w:rFonts w:hint="default"/>
                <w:lang w:val="en-US" w:eastAsia="zh-CN"/>
              </w:rPr>
              <w:t>》(</w:t>
            </w:r>
            <w:r>
              <w:rPr>
                <w:rFonts w:hint="eastAsia"/>
                <w:lang w:val="en-US" w:eastAsia="zh-CN"/>
              </w:rPr>
              <w:t>GB12523-2025</w:t>
            </w:r>
            <w:r>
              <w:rPr>
                <w:rFonts w:hint="default"/>
                <w:lang w:val="en-US" w:eastAsia="zh-CN"/>
              </w:rPr>
              <w:t>)结合昼间施工机械达标距离，确定工程施工场界，合理科学地布局施工现场</w:t>
            </w:r>
            <w:r>
              <w:rPr>
                <w:rFonts w:hint="eastAsia"/>
                <w:lang w:val="en-US" w:eastAsia="zh-CN"/>
              </w:rPr>
              <w:t>，</w:t>
            </w:r>
            <w:r>
              <w:rPr>
                <w:rFonts w:hint="default"/>
                <w:lang w:val="en-US" w:eastAsia="zh-CN"/>
              </w:rPr>
              <w:t>施工现场设置施工标志。</w:t>
            </w:r>
          </w:p>
          <w:bookmarkEnd w:id="32"/>
          <w:p w14:paraId="4AD286A3">
            <w:pPr>
              <w:bidi w:val="0"/>
              <w:rPr>
                <w:rFonts w:hint="default"/>
                <w:lang w:val="en-US" w:eastAsia="zh-CN"/>
              </w:rPr>
            </w:pPr>
            <w:r>
              <w:rPr>
                <w:rFonts w:hint="default"/>
                <w:lang w:val="en-US" w:eastAsia="zh-CN"/>
              </w:rPr>
              <w:fldChar w:fldCharType="begin"/>
            </w:r>
            <w:r>
              <w:rPr>
                <w:rFonts w:hint="default"/>
                <w:lang w:val="en-US" w:eastAsia="zh-CN"/>
              </w:rPr>
              <w:instrText xml:space="preserve"> = 4 \* GB3 \* MERGEFORMAT </w:instrText>
            </w:r>
            <w:r>
              <w:rPr>
                <w:rFonts w:hint="default"/>
                <w:lang w:val="en-US" w:eastAsia="zh-CN"/>
              </w:rPr>
              <w:fldChar w:fldCharType="separate"/>
            </w:r>
            <w:r>
              <w:t>④</w:t>
            </w:r>
            <w:r>
              <w:rPr>
                <w:rFonts w:hint="default"/>
                <w:lang w:val="en-US" w:eastAsia="zh-CN"/>
              </w:rPr>
              <w:fldChar w:fldCharType="end"/>
            </w:r>
            <w:r>
              <w:rPr>
                <w:rFonts w:hint="default"/>
                <w:lang w:val="en-US" w:eastAsia="zh-CN"/>
              </w:rPr>
              <w:t>做好宣传工作，倡导科学管理和文明施工。</w:t>
            </w:r>
          </w:p>
          <w:p w14:paraId="1A150E40">
            <w:pPr>
              <w:bidi w:val="0"/>
              <w:rPr>
                <w:rFonts w:hint="default"/>
                <w:lang w:val="en-US" w:eastAsia="zh-CN"/>
              </w:rPr>
            </w:pPr>
            <w:r>
              <w:rPr>
                <w:rFonts w:hint="default"/>
                <w:lang w:val="en-US" w:eastAsia="zh-CN"/>
              </w:rPr>
              <w:t>⑤加强交通噪声控制。</w:t>
            </w:r>
            <w:r>
              <w:rPr>
                <w:rFonts w:hint="eastAsia"/>
                <w:lang w:val="en-US" w:eastAsia="zh-CN"/>
              </w:rPr>
              <w:t>不得在夜间进行施工，</w:t>
            </w:r>
            <w:r>
              <w:rPr>
                <w:rFonts w:hint="default"/>
                <w:lang w:val="en-US" w:eastAsia="zh-CN"/>
              </w:rPr>
              <w:t>加强道路的养护和车辆的维护保养，严禁车辆超载行驶，降低噪声源。</w:t>
            </w:r>
          </w:p>
          <w:p w14:paraId="1F07CDA0">
            <w:pPr>
              <w:bidi w:val="0"/>
              <w:rPr>
                <w:rFonts w:hint="default"/>
                <w:lang w:val="en-US" w:eastAsia="zh-CN"/>
              </w:rPr>
            </w:pPr>
            <w:r>
              <w:rPr>
                <w:rFonts w:hint="default"/>
                <w:lang w:val="en-US" w:eastAsia="zh-CN"/>
              </w:rPr>
              <w:t>⑦做好施工人员防护措施。工程施工噪声主要受影响对象为场内施工人员，可采取配备使用耳塞、耳罩等个人防护措施进行保护。</w:t>
            </w:r>
          </w:p>
          <w:bookmarkEnd w:id="31"/>
          <w:p w14:paraId="33B4D388">
            <w:pPr>
              <w:bidi w:val="0"/>
              <w:rPr>
                <w:rFonts w:hint="default"/>
                <w:lang w:val="en-US" w:eastAsia="zh-CN"/>
              </w:rPr>
            </w:pPr>
            <w:r>
              <w:rPr>
                <w:rFonts w:hint="default"/>
                <w:lang w:val="en-US" w:eastAsia="zh-CN"/>
              </w:rPr>
              <w:t>综上所述，施工期噪声对环境的不利影响是暂时、短期的行为，项目完工后，施工噪声的影响将不再存在，因此，在采取以上环保措施后，施工期对周边声环境质量影响较小。</w:t>
            </w:r>
          </w:p>
          <w:p w14:paraId="20F5936E">
            <w:pPr>
              <w:keepNext w:val="0"/>
              <w:keepLines w:val="0"/>
              <w:widowControl/>
              <w:suppressLineNumbers w:val="0"/>
              <w:ind w:left="0" w:leftChars="0" w:firstLine="0" w:firstLineChars="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b/>
                <w:bCs/>
                <w:color w:val="000000" w:themeColor="text1"/>
                <w:kern w:val="0"/>
                <w:sz w:val="24"/>
                <w:szCs w:val="24"/>
                <w:lang w:val="en-US" w:eastAsia="zh-CN" w:bidi="ar"/>
                <w14:textFill>
                  <w14:solidFill>
                    <w14:schemeClr w14:val="tx1"/>
                  </w14:solidFill>
                </w14:textFill>
              </w:rPr>
              <w:t>5.4施工期固体废物环境保护措施</w:t>
            </w:r>
          </w:p>
          <w:p w14:paraId="69BB2E45">
            <w:pPr>
              <w:bidi w:val="0"/>
              <w:rPr>
                <w:rFonts w:hint="default" w:ascii="Times New Roman" w:hAnsi="Times New Roman" w:cs="Times New Roman"/>
              </w:rPr>
            </w:pPr>
            <w:bookmarkStart w:id="34" w:name="OLE_LINK73"/>
            <w:r>
              <w:rPr>
                <w:rFonts w:hint="default" w:ascii="Times New Roman" w:hAnsi="Times New Roman" w:cs="Times New Roman"/>
              </w:rPr>
              <w:t>（1）生活垃圾</w:t>
            </w:r>
          </w:p>
          <w:p w14:paraId="69FE5DAA">
            <w:pPr>
              <w:bidi w:val="0"/>
              <w:rPr>
                <w:rFonts w:hint="default" w:ascii="Times New Roman" w:hAnsi="Times New Roman" w:cs="Times New Roman"/>
              </w:rPr>
            </w:pPr>
            <w:r>
              <w:rPr>
                <w:rFonts w:hint="default" w:ascii="Times New Roman" w:hAnsi="Times New Roman" w:cs="Times New Roman"/>
              </w:rPr>
              <w:t>本项目施工期生活垃圾产生量为</w:t>
            </w:r>
            <w:r>
              <w:rPr>
                <w:rFonts w:hint="default" w:ascii="Times New Roman" w:hAnsi="Times New Roman" w:cs="Times New Roman"/>
                <w:lang w:val="en-US" w:eastAsia="zh-CN"/>
              </w:rPr>
              <w:t>1</w:t>
            </w:r>
            <w:r>
              <w:rPr>
                <w:rFonts w:hint="default" w:ascii="Times New Roman" w:hAnsi="Times New Roman" w:cs="Times New Roman"/>
              </w:rPr>
              <w:t>0kg/d，总的生活垃圾产生量为</w:t>
            </w:r>
            <w:r>
              <w:rPr>
                <w:rFonts w:hint="default" w:ascii="Times New Roman" w:hAnsi="Times New Roman" w:cs="Times New Roman"/>
                <w:lang w:val="en-US" w:eastAsia="zh-CN"/>
              </w:rPr>
              <w:t>2.7</w:t>
            </w:r>
            <w:r>
              <w:rPr>
                <w:rFonts w:hint="default" w:ascii="Times New Roman" w:hAnsi="Times New Roman" w:cs="Times New Roman"/>
              </w:rPr>
              <w:t>t，施工期生活垃圾经</w:t>
            </w:r>
            <w:r>
              <w:rPr>
                <w:rFonts w:hint="default" w:ascii="Times New Roman" w:hAnsi="Times New Roman" w:cs="Times New Roman"/>
                <w:lang w:eastAsia="zh-CN"/>
              </w:rPr>
              <w:t>带盖</w:t>
            </w:r>
            <w:r>
              <w:rPr>
                <w:rFonts w:hint="default" w:ascii="Times New Roman" w:hAnsi="Times New Roman" w:cs="Times New Roman"/>
              </w:rPr>
              <w:t>垃圾箱收集后，定期由施工单位清运至</w:t>
            </w:r>
            <w:r>
              <w:rPr>
                <w:rFonts w:hint="default" w:ascii="Times New Roman" w:hAnsi="Times New Roman" w:cs="Times New Roman"/>
                <w:lang w:val="en-US" w:eastAsia="zh-CN"/>
              </w:rPr>
              <w:t>生活垃圾收集点</w:t>
            </w:r>
            <w:r>
              <w:rPr>
                <w:rFonts w:hint="default" w:ascii="Times New Roman" w:hAnsi="Times New Roman" w:cs="Times New Roman"/>
              </w:rPr>
              <w:t>，对周围环境的影响甚微。</w:t>
            </w:r>
          </w:p>
          <w:p w14:paraId="19675A44">
            <w:pPr>
              <w:bidi w:val="0"/>
              <w:rPr>
                <w:rFonts w:hint="default" w:ascii="Times New Roman" w:hAnsi="Times New Roman" w:eastAsia="宋体" w:cs="Times New Roman"/>
                <w:lang w:val="en-US" w:eastAsia="zh-CN"/>
              </w:rPr>
            </w:pPr>
            <w:r>
              <w:rPr>
                <w:rFonts w:hint="default" w:ascii="Times New Roman" w:hAnsi="Times New Roman" w:cs="Times New Roman"/>
              </w:rPr>
              <w:t>（</w:t>
            </w:r>
            <w:r>
              <w:rPr>
                <w:rFonts w:hint="default" w:ascii="Times New Roman" w:hAnsi="Times New Roman" w:cs="Times New Roman"/>
                <w:lang w:val="en-US" w:eastAsia="zh-CN"/>
              </w:rPr>
              <w:t>2</w:t>
            </w:r>
            <w:r>
              <w:rPr>
                <w:rFonts w:hint="default" w:ascii="Times New Roman" w:hAnsi="Times New Roman" w:cs="Times New Roman"/>
              </w:rPr>
              <w:t>）</w:t>
            </w:r>
            <w:r>
              <w:rPr>
                <w:rFonts w:hint="default" w:ascii="Times New Roman" w:hAnsi="Times New Roman" w:cs="Times New Roman"/>
                <w:lang w:val="en-US" w:eastAsia="zh-CN"/>
              </w:rPr>
              <w:t>植物根系</w:t>
            </w:r>
          </w:p>
          <w:p w14:paraId="34A29A2C">
            <w:pPr>
              <w:bidi w:val="0"/>
              <w:rPr>
                <w:rFonts w:hint="default" w:ascii="Times New Roman" w:hAnsi="Times New Roman" w:cs="Times New Roman"/>
              </w:rPr>
            </w:pPr>
            <w:r>
              <w:rPr>
                <w:rFonts w:hint="default" w:ascii="Times New Roman" w:hAnsi="Times New Roman" w:cs="Times New Roman"/>
                <w:lang w:val="en-US" w:eastAsia="zh-CN"/>
              </w:rPr>
              <w:t>根据现场踏勘，项目</w:t>
            </w:r>
            <w:r>
              <w:rPr>
                <w:rFonts w:hint="eastAsia" w:cs="Times New Roman"/>
                <w:lang w:val="en-US" w:eastAsia="zh-CN"/>
              </w:rPr>
              <w:t>阴沟治理及农渠提升改造</w:t>
            </w:r>
            <w:r>
              <w:rPr>
                <w:rFonts w:hint="default" w:ascii="Times New Roman" w:hAnsi="Times New Roman" w:cs="Times New Roman"/>
                <w:lang w:val="en-US" w:eastAsia="zh-CN"/>
              </w:rPr>
              <w:t>开挖，仅有少量的植物根系，植物根系</w:t>
            </w:r>
            <w:r>
              <w:rPr>
                <w:rFonts w:hint="default" w:ascii="Times New Roman" w:hAnsi="Times New Roman" w:cs="Times New Roman"/>
              </w:rPr>
              <w:t>约</w:t>
            </w:r>
            <w:r>
              <w:rPr>
                <w:rFonts w:hint="default" w:ascii="Times New Roman" w:hAnsi="Times New Roman" w:cs="Times New Roman"/>
                <w:lang w:val="en-US" w:eastAsia="zh-CN"/>
              </w:rPr>
              <w:t>5t</w:t>
            </w:r>
            <w:r>
              <w:rPr>
                <w:rFonts w:hint="default" w:ascii="Times New Roman" w:hAnsi="Times New Roman" w:cs="Times New Roman"/>
              </w:rPr>
              <w:t>，收集后</w:t>
            </w:r>
            <w:r>
              <w:rPr>
                <w:rFonts w:hint="default" w:ascii="Times New Roman" w:hAnsi="Times New Roman" w:cs="Times New Roman"/>
                <w:lang w:val="en-US" w:eastAsia="zh-CN"/>
              </w:rPr>
              <w:t>统一清运至生活垃圾收集点，统一由环卫部门处理，</w:t>
            </w:r>
            <w:r>
              <w:rPr>
                <w:rFonts w:hint="default" w:ascii="Times New Roman" w:hAnsi="Times New Roman" w:cs="Times New Roman"/>
              </w:rPr>
              <w:t>对周围几乎无影响。</w:t>
            </w:r>
          </w:p>
          <w:p w14:paraId="73D9C758">
            <w:pPr>
              <w:bidi w:val="0"/>
              <w:rPr>
                <w:rFonts w:hint="default"/>
                <w:lang w:val="en-US" w:eastAsia="zh-CN"/>
              </w:rPr>
            </w:pPr>
            <w:r>
              <w:rPr>
                <w:rFonts w:hint="eastAsia" w:cs="Times New Roman"/>
                <w:lang w:val="en-US" w:eastAsia="zh-CN"/>
              </w:rPr>
              <w:t>（3）项目阴沟治理过程中清理出的淤泥，就地回用于阴沟坡面治理，不外运，其中混杂的生活垃圾统一收集后定期清运至生活垃圾收集点。</w:t>
            </w:r>
          </w:p>
          <w:p w14:paraId="09F6F55C">
            <w:pPr>
              <w:bidi w:val="0"/>
              <w:rPr>
                <w:rFonts w:hint="default"/>
                <w:lang w:val="en-US" w:eastAsia="zh-CN"/>
              </w:rPr>
            </w:pPr>
            <w:r>
              <w:rPr>
                <w:rFonts w:hint="default"/>
                <w:lang w:val="en-US" w:eastAsia="zh-CN"/>
              </w:rPr>
              <w:t>综上，本项目施工过程中产生的固废均得到妥善处置，不会对周围环境造成较大影响。</w:t>
            </w:r>
          </w:p>
          <w:bookmarkEnd w:id="34"/>
          <w:p w14:paraId="61CF23F4">
            <w:pPr>
              <w:keepNext w:val="0"/>
              <w:keepLines w:val="0"/>
              <w:widowControl/>
              <w:suppressLineNumbers w:val="0"/>
              <w:ind w:left="0" w:leftChars="0" w:firstLine="0" w:firstLineChars="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b/>
                <w:bCs/>
                <w:color w:val="000000" w:themeColor="text1"/>
                <w:kern w:val="0"/>
                <w:sz w:val="24"/>
                <w:szCs w:val="24"/>
                <w:lang w:val="en-US" w:eastAsia="zh-CN" w:bidi="ar"/>
                <w14:textFill>
                  <w14:solidFill>
                    <w14:schemeClr w14:val="tx1"/>
                  </w14:solidFill>
                </w14:textFill>
              </w:rPr>
              <w:t xml:space="preserve">5.5 </w:t>
            </w:r>
            <w:r>
              <w:rPr>
                <w:rFonts w:hint="default" w:ascii="Times New Roman" w:hAnsi="Times New Roman" w:eastAsia="仿宋" w:cs="Times New Roman"/>
                <w:b/>
                <w:bCs/>
                <w:color w:val="000000" w:themeColor="text1"/>
                <w:kern w:val="0"/>
                <w:sz w:val="24"/>
                <w:szCs w:val="24"/>
                <w:lang w:val="en-US" w:eastAsia="zh-CN" w:bidi="ar"/>
                <w14:textFill>
                  <w14:solidFill>
                    <w14:schemeClr w14:val="tx1"/>
                  </w14:solidFill>
                </w14:textFill>
              </w:rPr>
              <w:t>生态环境影响防控措施</w:t>
            </w:r>
          </w:p>
          <w:p w14:paraId="503AE7E0">
            <w:pPr>
              <w:bidi w:val="0"/>
              <w:rPr>
                <w:rFonts w:hint="default"/>
                <w:lang w:val="en-US" w:eastAsia="zh-CN"/>
              </w:rPr>
            </w:pPr>
            <w:r>
              <w:rPr>
                <w:rFonts w:hint="default"/>
                <w:lang w:val="en-US" w:eastAsia="zh-CN"/>
              </w:rPr>
              <w:t>（1）植被保护措施</w:t>
            </w:r>
          </w:p>
          <w:p w14:paraId="51E555B0">
            <w:pPr>
              <w:bidi w:val="0"/>
              <w:rPr>
                <w:rFonts w:hint="default"/>
                <w:lang w:val="en-US" w:eastAsia="zh-CN"/>
              </w:rPr>
            </w:pPr>
            <w:r>
              <w:rPr>
                <w:rFonts w:hint="default"/>
                <w:lang w:val="en-US" w:eastAsia="zh-CN"/>
              </w:rPr>
              <w:t>施工期间为充分的保护评价区现有植被，可采取如下保护措施：</w:t>
            </w:r>
          </w:p>
          <w:p w14:paraId="0EA50CC7">
            <w:pPr>
              <w:bidi w:val="0"/>
              <w:rPr>
                <w:rFonts w:hint="default"/>
                <w:lang w:val="en-US" w:eastAsia="zh-CN"/>
              </w:rPr>
            </w:pPr>
            <w:r>
              <w:rPr>
                <w:rFonts w:hint="default"/>
                <w:lang w:val="en-US" w:eastAsia="zh-CN"/>
              </w:rPr>
              <w:t>①施工前印发环境保护手册，对施工人员进行环保意识的宣传教育。</w:t>
            </w:r>
          </w:p>
          <w:p w14:paraId="4CE32D1E">
            <w:pPr>
              <w:bidi w:val="0"/>
              <w:rPr>
                <w:rFonts w:hint="default"/>
                <w:lang w:val="en-US" w:eastAsia="zh-CN"/>
              </w:rPr>
            </w:pPr>
            <w:r>
              <w:rPr>
                <w:rFonts w:hint="default"/>
                <w:lang w:val="en-US" w:eastAsia="zh-CN"/>
              </w:rPr>
              <w:t>②采用先进的施工工艺，合理安排施工时间，减少对工程区植被的破坏。</w:t>
            </w:r>
          </w:p>
          <w:p w14:paraId="0BFC0527">
            <w:pPr>
              <w:bidi w:val="0"/>
              <w:rPr>
                <w:rFonts w:hint="default"/>
                <w:lang w:val="en-US" w:eastAsia="zh-CN"/>
              </w:rPr>
            </w:pPr>
            <w:r>
              <w:rPr>
                <w:rFonts w:hint="default"/>
                <w:lang w:val="en-US" w:eastAsia="zh-CN"/>
              </w:rPr>
              <w:t>③为将施工活动的影响范围降至最低，应根据施工总体平面布置，确定施工用地范围，进行标桩划界，禁止施工人员进入非施工占地区，严禁任意越界破坏周围植被。</w:t>
            </w:r>
          </w:p>
          <w:p w14:paraId="38FC833B">
            <w:pPr>
              <w:bidi w:val="0"/>
              <w:rPr>
                <w:rFonts w:hint="default"/>
                <w:lang w:val="en-US" w:eastAsia="zh-CN"/>
              </w:rPr>
            </w:pPr>
            <w:r>
              <w:rPr>
                <w:rFonts w:hint="default"/>
                <w:lang w:val="en-US" w:eastAsia="zh-CN"/>
              </w:rPr>
              <w:t>④在施工建设过程中需作的填挖土方，会产生水土流失，对堤防背坡，</w:t>
            </w:r>
            <w:r>
              <w:rPr>
                <w:rFonts w:hint="eastAsia"/>
                <w:lang w:val="en-US" w:eastAsia="zh-CN"/>
              </w:rPr>
              <w:t>进行植被恢复，随着植被的恢复</w:t>
            </w:r>
            <w:r>
              <w:rPr>
                <w:rFonts w:hint="default"/>
                <w:lang w:val="en-US" w:eastAsia="zh-CN"/>
              </w:rPr>
              <w:t>，区域的生物多样性将逐渐恢复。</w:t>
            </w:r>
          </w:p>
          <w:p w14:paraId="0B851EE2">
            <w:pPr>
              <w:bidi w:val="0"/>
              <w:rPr>
                <w:rFonts w:hint="default"/>
                <w:lang w:val="en-US" w:eastAsia="zh-CN"/>
              </w:rPr>
            </w:pPr>
            <w:r>
              <w:rPr>
                <w:rFonts w:hint="default"/>
                <w:lang w:val="en-US" w:eastAsia="zh-CN"/>
              </w:rPr>
              <w:t>（2）对陆生动物保护措施</w:t>
            </w:r>
          </w:p>
          <w:p w14:paraId="725905EA">
            <w:pPr>
              <w:bidi w:val="0"/>
              <w:rPr>
                <w:rFonts w:hint="default"/>
                <w:lang w:val="en-US" w:eastAsia="zh-CN"/>
              </w:rPr>
            </w:pPr>
            <w:r>
              <w:rPr>
                <w:rFonts w:hint="default"/>
                <w:lang w:val="en-US" w:eastAsia="zh-CN"/>
              </w:rPr>
              <w:t>工程建设对栖息于该区域的陆生动物影响不大，不会造成毁灭性破坏，但是也必须采取相应的措施对其进行保护。</w:t>
            </w:r>
          </w:p>
          <w:p w14:paraId="10B14938">
            <w:pPr>
              <w:bidi w:val="0"/>
              <w:rPr>
                <w:rFonts w:hint="default"/>
                <w:lang w:val="en-US" w:eastAsia="zh-CN"/>
              </w:rPr>
            </w:pPr>
            <w:r>
              <w:rPr>
                <w:rFonts w:hint="default"/>
                <w:lang w:val="en-US" w:eastAsia="zh-CN"/>
              </w:rPr>
              <w:t>①加强宣传。加强施工人员有关野生动物保护方面的教育，使他们在施工期间注意保护野生动物，不乱砍滥伐树木，维持现有生境，不捕猎鸟兽，做到文明施工。</w:t>
            </w:r>
          </w:p>
          <w:p w14:paraId="33B1D1DD">
            <w:pPr>
              <w:bidi w:val="0"/>
              <w:rPr>
                <w:rFonts w:hint="default"/>
                <w:lang w:val="en-US" w:eastAsia="zh-CN"/>
              </w:rPr>
            </w:pPr>
            <w:r>
              <w:rPr>
                <w:rFonts w:hint="default"/>
                <w:lang w:val="en-US" w:eastAsia="zh-CN"/>
              </w:rPr>
              <w:t>②降低施工污染。施工期采用先进生产工艺和生产设备，降低大气、噪声、水质污染，维持工程区动物基本生存环境，并降低施工活动对其所造成的干扰。</w:t>
            </w:r>
          </w:p>
          <w:p w14:paraId="4CE50FF0">
            <w:pPr>
              <w:pStyle w:val="33"/>
              <w:numPr>
                <w:ilvl w:val="0"/>
                <w:numId w:val="3"/>
              </w:numPr>
              <w:rPr>
                <w:rFonts w:hint="eastAsia"/>
                <w:lang w:val="en-US" w:eastAsia="zh-CN"/>
              </w:rPr>
            </w:pPr>
            <w:r>
              <w:rPr>
                <w:rFonts w:hint="eastAsia"/>
                <w:lang w:val="en-US" w:eastAsia="zh-CN"/>
              </w:rPr>
              <w:t>水生生态保护措施</w:t>
            </w:r>
          </w:p>
          <w:p w14:paraId="3EC86690">
            <w:pPr>
              <w:pStyle w:val="33"/>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lang w:val="en-US" w:eastAsia="zh-CN"/>
              </w:rPr>
            </w:pPr>
            <w:r>
              <w:rPr>
                <w:rFonts w:hint="default"/>
                <w:lang w:val="en-US" w:eastAsia="zh-CN"/>
              </w:rPr>
              <w:t>施工期间施工导流不改变原有</w:t>
            </w:r>
            <w:r>
              <w:rPr>
                <w:rFonts w:hint="eastAsia"/>
                <w:lang w:val="en-US" w:eastAsia="zh-CN"/>
              </w:rPr>
              <w:t>渠道</w:t>
            </w:r>
            <w:r>
              <w:rPr>
                <w:rFonts w:hint="default"/>
                <w:lang w:val="en-US" w:eastAsia="zh-CN"/>
              </w:rPr>
              <w:t>，施工期主要集中在枯水期，以确保对</w:t>
            </w:r>
            <w:r>
              <w:rPr>
                <w:rFonts w:hint="eastAsia"/>
                <w:lang w:val="en-US" w:eastAsia="zh-CN"/>
              </w:rPr>
              <w:t>水生生态</w:t>
            </w:r>
            <w:r>
              <w:rPr>
                <w:rFonts w:hint="default"/>
                <w:lang w:val="en-US" w:eastAsia="zh-CN"/>
              </w:rPr>
              <w:t>的影响最小，措施落实后，对</w:t>
            </w:r>
            <w:r>
              <w:rPr>
                <w:rFonts w:hint="eastAsia"/>
                <w:lang w:val="en-US" w:eastAsia="zh-CN"/>
              </w:rPr>
              <w:t>水生生态</w:t>
            </w:r>
            <w:r>
              <w:rPr>
                <w:rFonts w:hint="default"/>
                <w:lang w:val="en-US" w:eastAsia="zh-CN"/>
              </w:rPr>
              <w:t>影响在可控范围内，措施可行。</w:t>
            </w:r>
          </w:p>
          <w:p w14:paraId="63714BD1">
            <w:pPr>
              <w:bidi w:val="0"/>
              <w:rPr>
                <w:rFonts w:hint="default"/>
                <w:lang w:val="en-US" w:eastAsia="zh-CN"/>
              </w:rPr>
            </w:pPr>
            <w:r>
              <w:rPr>
                <w:rFonts w:hint="eastAsia"/>
                <w:lang w:val="en-US" w:eastAsia="zh-CN"/>
              </w:rPr>
              <w:t>（4）临时占地生态保护措施</w:t>
            </w:r>
          </w:p>
          <w:p w14:paraId="2E32AC5E">
            <w:pPr>
              <w:bidi w:val="0"/>
              <w:rPr>
                <w:rFonts w:hint="default"/>
                <w:lang w:val="en-US" w:eastAsia="zh-CN"/>
              </w:rPr>
            </w:pPr>
            <w:r>
              <w:rPr>
                <w:rFonts w:hint="default"/>
                <w:lang w:val="en-US" w:eastAsia="zh-CN"/>
              </w:rPr>
              <w:t>项目临时占用的土地为</w:t>
            </w:r>
            <w:r>
              <w:rPr>
                <w:rFonts w:hint="eastAsia"/>
                <w:lang w:val="en-US" w:eastAsia="zh-CN"/>
              </w:rPr>
              <w:t>沼泽草地，</w:t>
            </w:r>
            <w:r>
              <w:rPr>
                <w:rFonts w:hint="default"/>
                <w:lang w:val="en-US" w:eastAsia="zh-CN"/>
              </w:rPr>
              <w:t>竣工后及时拆除</w:t>
            </w:r>
            <w:r>
              <w:rPr>
                <w:rFonts w:hint="eastAsia"/>
                <w:lang w:val="en-US" w:eastAsia="zh-CN"/>
              </w:rPr>
              <w:t>临时道路</w:t>
            </w:r>
            <w:r>
              <w:rPr>
                <w:rFonts w:hint="default"/>
                <w:lang w:val="en-US" w:eastAsia="zh-CN"/>
              </w:rPr>
              <w:t>等临时设施，并进行迹地恢复。对施工区形成的裸地要及时采取工程措施，可绿化的土地全部进行绿化。</w:t>
            </w:r>
            <w:bookmarkStart w:id="35" w:name="OLE_LINK59"/>
            <w:r>
              <w:rPr>
                <w:rFonts w:hint="default"/>
                <w:lang w:val="en-US" w:eastAsia="zh-CN"/>
              </w:rPr>
              <w:t>场地内建筑物垃圾、生活垃圾清扫干净后，施工单位方可退场。再对临时工程所在区域及施工临时占地采取地表压实</w:t>
            </w:r>
            <w:r>
              <w:rPr>
                <w:rFonts w:hint="eastAsia"/>
                <w:lang w:val="en-US" w:eastAsia="zh-CN"/>
              </w:rPr>
              <w:t>洒水等</w:t>
            </w:r>
            <w:r>
              <w:rPr>
                <w:rFonts w:hint="default"/>
                <w:lang w:val="en-US" w:eastAsia="zh-CN"/>
              </w:rPr>
              <w:t>处理。</w:t>
            </w:r>
            <w:bookmarkEnd w:id="35"/>
          </w:p>
          <w:p w14:paraId="5F970DB1">
            <w:pPr>
              <w:bidi w:val="0"/>
              <w:rPr>
                <w:rFonts w:hint="default"/>
                <w:lang w:val="en-US" w:eastAsia="zh-CN"/>
              </w:rPr>
            </w:pPr>
            <w:r>
              <w:rPr>
                <w:rFonts w:hint="default"/>
                <w:lang w:val="en-US" w:eastAsia="zh-CN"/>
              </w:rPr>
              <w:t>（</w:t>
            </w:r>
            <w:r>
              <w:rPr>
                <w:rFonts w:hint="eastAsia"/>
                <w:lang w:val="en-US" w:eastAsia="zh-CN"/>
              </w:rPr>
              <w:t>5</w:t>
            </w:r>
            <w:r>
              <w:rPr>
                <w:rFonts w:hint="default"/>
                <w:lang w:val="en-US" w:eastAsia="zh-CN"/>
              </w:rPr>
              <w:t>）生态环境恢复环保要求</w:t>
            </w:r>
          </w:p>
          <w:p w14:paraId="31108ED6">
            <w:pPr>
              <w:bidi w:val="0"/>
              <w:rPr>
                <w:rFonts w:hint="eastAsia" w:ascii="Times New Roman" w:hAnsi="Times New Roman" w:eastAsia="仿宋" w:cs="Times New Roman"/>
                <w:b/>
                <w:bCs/>
                <w:color w:val="000000" w:themeColor="text1"/>
                <w:kern w:val="0"/>
                <w:sz w:val="28"/>
                <w:szCs w:val="28"/>
                <w:lang w:val="en-US" w:eastAsia="zh-CN" w:bidi="ar"/>
                <w14:textFill>
                  <w14:solidFill>
                    <w14:schemeClr w14:val="tx1"/>
                  </w14:solidFill>
                </w14:textFill>
              </w:rPr>
            </w:pPr>
            <w:r>
              <w:rPr>
                <w:rFonts w:hint="default"/>
                <w:lang w:val="en-US" w:eastAsia="zh-CN"/>
              </w:rPr>
              <w:t>加强对水土流失的综合治理，严格按照水土保持方案做好水土保持工作，做好植被恢复工作，增加区域绿地面积。工程施工完成后，施工单位应负责场地平整，回填底层土平整压实。</w:t>
            </w:r>
          </w:p>
          <w:p w14:paraId="2CA9F41E">
            <w:pPr>
              <w:keepNext w:val="0"/>
              <w:keepLines w:val="0"/>
              <w:widowControl/>
              <w:suppressLineNumbers w:val="0"/>
              <w:ind w:left="0" w:leftChars="0" w:firstLine="0" w:firstLineChars="0"/>
              <w:jc w:val="left"/>
              <w:rPr>
                <w:rFonts w:ascii="宋体" w:hAnsi="宋体"/>
                <w:color w:val="000000" w:themeColor="text1"/>
                <w:sz w:val="24"/>
                <w:szCs w:val="24"/>
                <w14:textFill>
                  <w14:solidFill>
                    <w14:schemeClr w14:val="tx1"/>
                  </w14:solidFill>
                </w14:textFill>
              </w:rPr>
            </w:pPr>
            <w:r>
              <w:rPr>
                <w:rFonts w:hint="eastAsia"/>
                <w:b/>
                <w:color w:val="000000" w:themeColor="text1"/>
                <w:sz w:val="24"/>
                <w:szCs w:val="24"/>
                <w:lang w:val="en-US" w:eastAsia="zh-CN"/>
                <w14:textFill>
                  <w14:solidFill>
                    <w14:schemeClr w14:val="tx1"/>
                  </w14:solidFill>
                </w14:textFill>
              </w:rPr>
              <w:t xml:space="preserve">5.6 </w:t>
            </w:r>
            <w:r>
              <w:rPr>
                <w:rFonts w:hint="eastAsia"/>
                <w:b/>
                <w:color w:val="000000" w:themeColor="text1"/>
                <w:sz w:val="24"/>
                <w:szCs w:val="24"/>
                <w14:textFill>
                  <w14:solidFill>
                    <w14:schemeClr w14:val="tx1"/>
                  </w14:solidFill>
                </w14:textFill>
              </w:rPr>
              <w:t>本工程涉及湿地的</w:t>
            </w:r>
            <w:r>
              <w:rPr>
                <w:b/>
                <w:color w:val="000000" w:themeColor="text1"/>
                <w:sz w:val="24"/>
                <w:szCs w:val="24"/>
                <w14:textFill>
                  <w14:solidFill>
                    <w14:schemeClr w14:val="tx1"/>
                  </w14:solidFill>
                </w14:textFill>
              </w:rPr>
              <w:t>保护措施</w:t>
            </w:r>
          </w:p>
          <w:p w14:paraId="19F6CDA6">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根据调查，本工程穿越</w:t>
            </w:r>
            <w:r>
              <w:rPr>
                <w:rFonts w:hint="eastAsia"/>
                <w:color w:val="000000" w:themeColor="text1"/>
                <w:sz w:val="24"/>
                <w:szCs w:val="24"/>
                <w:lang w:val="en-US" w:eastAsia="zh-CN"/>
                <w14:textFill>
                  <w14:solidFill>
                    <w14:schemeClr w14:val="tx1"/>
                  </w14:solidFill>
                </w14:textFill>
              </w:rPr>
              <w:t>临泽县一般</w:t>
            </w:r>
            <w:r>
              <w:rPr>
                <w:rFonts w:hint="eastAsia"/>
                <w:color w:val="000000" w:themeColor="text1"/>
                <w:sz w:val="24"/>
                <w:szCs w:val="24"/>
                <w14:textFill>
                  <w14:solidFill>
                    <w14:schemeClr w14:val="tx1"/>
                  </w14:solidFill>
                </w14:textFill>
              </w:rPr>
              <w:t>湿地，穿越临泽县湿地时须做好相应的保护措施。</w:t>
            </w:r>
          </w:p>
          <w:p w14:paraId="23775732">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因此位于湿地内的工程在施工期应严格按以下要求进行：</w:t>
            </w:r>
          </w:p>
          <w:p w14:paraId="6429D493">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严格遵守《中华人民共和国水污染防治法》、《中华人民共和国水污染防治法实施细则》的有关规定，禁止在</w:t>
            </w:r>
            <w:r>
              <w:rPr>
                <w:rFonts w:hint="eastAsia"/>
                <w:color w:val="000000" w:themeColor="text1"/>
                <w:sz w:val="24"/>
                <w:szCs w:val="24"/>
                <w14:textFill>
                  <w14:solidFill>
                    <w14:schemeClr w14:val="tx1"/>
                  </w14:solidFill>
                </w14:textFill>
              </w:rPr>
              <w:t>湿地保护区</w:t>
            </w:r>
            <w:r>
              <w:rPr>
                <w:color w:val="000000" w:themeColor="text1"/>
                <w:sz w:val="24"/>
                <w:szCs w:val="24"/>
                <w14:textFill>
                  <w14:solidFill>
                    <w14:schemeClr w14:val="tx1"/>
                  </w14:solidFill>
                </w14:textFill>
              </w:rPr>
              <w:t>倾倒、堆放生活垃圾和施工废弃物；禁止排放施工生活污水、生产废水及机械冲洗废水。</w:t>
            </w:r>
          </w:p>
          <w:p w14:paraId="09AC9F92">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2）施工时，选择施工经验丰富的施工队伍。</w:t>
            </w:r>
          </w:p>
          <w:p w14:paraId="52C281A5">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3）禁止在湿地和邻近湿地设置有害物质材料堆放场地。</w:t>
            </w:r>
          </w:p>
          <w:p w14:paraId="4C5F59EE">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4）穿越湿地管道施工时采取严格的施工管理措施，严格限定施工范围，严格控制施工车辆的行驶线路，在湿地范围内的阴沟施工段，施工便道采用钢板铺设，施工结束后立即拆除并恢复植被</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不得以任何理由进入施工路线作业范围以外的湿地范围。</w:t>
            </w:r>
          </w:p>
          <w:p w14:paraId="687E1548">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w:t>
            </w:r>
            <w:r>
              <w:rPr>
                <w:color w:val="000000" w:themeColor="text1"/>
                <w:sz w:val="24"/>
                <w:szCs w:val="24"/>
                <w14:textFill>
                  <w14:solidFill>
                    <w14:schemeClr w14:val="tx1"/>
                  </w14:solidFill>
                </w14:textFill>
              </w:rPr>
              <w:t>禁止在</w:t>
            </w:r>
            <w:r>
              <w:rPr>
                <w:rFonts w:hint="eastAsia"/>
                <w:color w:val="000000" w:themeColor="text1"/>
                <w:sz w:val="24"/>
                <w:szCs w:val="24"/>
                <w14:textFill>
                  <w14:solidFill>
                    <w14:schemeClr w14:val="tx1"/>
                  </w14:solidFill>
                </w14:textFill>
              </w:rPr>
              <w:t>湿地</w:t>
            </w:r>
            <w:r>
              <w:rPr>
                <w:color w:val="000000" w:themeColor="text1"/>
                <w:sz w:val="24"/>
                <w:szCs w:val="24"/>
                <w14:textFill>
                  <w14:solidFill>
                    <w14:schemeClr w14:val="tx1"/>
                  </w14:solidFill>
                </w14:textFill>
              </w:rPr>
              <w:t>设置施工生活营地、取土场及弃土场</w:t>
            </w:r>
            <w:r>
              <w:rPr>
                <w:rFonts w:hint="eastAsia"/>
                <w:color w:val="000000" w:themeColor="text1"/>
                <w:sz w:val="24"/>
                <w:szCs w:val="24"/>
                <w14:textFill>
                  <w14:solidFill>
                    <w14:schemeClr w14:val="tx1"/>
                  </w14:solidFill>
                </w14:textFill>
              </w:rPr>
              <w:t>等临时工程。</w:t>
            </w:r>
          </w:p>
          <w:p w14:paraId="0766B069">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6）优化施工方案，采用先进的施工工艺，科学管理，在确保施工质量的前提下提高施工进度，尽量缩短湿地保护区路段的作业时间。</w:t>
            </w:r>
          </w:p>
          <w:p w14:paraId="748FAE8F">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7）加强施工设备的管理与维修保养，定期进行维护管理和检查，所有机械提前检修，配备接油盘</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发现问题及时处置，严禁漏油施工机械作业。</w:t>
            </w:r>
          </w:p>
          <w:p w14:paraId="06C4CDB0">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8）在湿地保护区路段施工时设置警示牌，明确保护要求，提醒施工人员注意保护。</w:t>
            </w:r>
          </w:p>
          <w:p w14:paraId="16289475">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9）禁止现场搅拌混凝土和砂浆，在施工场地采取连续密闭围挡、遮盖等防尘措施，对施工地面和车行道路进行降尘处理，</w:t>
            </w:r>
            <w:r>
              <w:rPr>
                <w:rFonts w:hint="eastAsia"/>
                <w:color w:val="000000" w:themeColor="text1"/>
                <w:sz w:val="24"/>
                <w:szCs w:val="24"/>
                <w:lang w:val="en-US" w:eastAsia="zh-CN"/>
                <w14:textFill>
                  <w14:solidFill>
                    <w14:schemeClr w14:val="tx1"/>
                  </w14:solidFill>
                </w14:textFill>
              </w:rPr>
              <w:t>商品</w:t>
            </w:r>
            <w:r>
              <w:rPr>
                <w:rFonts w:hint="eastAsia"/>
                <w:color w:val="000000" w:themeColor="text1"/>
                <w:sz w:val="24"/>
                <w:szCs w:val="24"/>
                <w14:textFill>
                  <w14:solidFill>
                    <w14:schemeClr w14:val="tx1"/>
                  </w14:solidFill>
                </w14:textFill>
              </w:rPr>
              <w:t>混凝土运输应采用密封罐车。</w:t>
            </w:r>
          </w:p>
          <w:p w14:paraId="314E1855">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10）制定湿地保护手册，加强施工人员尤其是涉及到湿地施工人员的管理和教育，提高施工人员对于水源保护区的保护意识，规范施工行为，严格控制施工期排放的“三废”，做好污染物的处理、处置工作。</w:t>
            </w:r>
          </w:p>
          <w:p w14:paraId="6452188A">
            <w:pPr>
              <w:spacing w:line="360" w:lineRule="auto"/>
              <w:ind w:firstLine="480" w:firstLineChars="200"/>
              <w:rPr>
                <w:rFonts w:hint="default"/>
                <w:lang w:val="en-US" w:eastAsia="zh-CN"/>
              </w:rPr>
            </w:pPr>
            <w:r>
              <w:rPr>
                <w:rFonts w:hint="eastAsia"/>
                <w:color w:val="000000" w:themeColor="text1"/>
                <w:sz w:val="24"/>
                <w:szCs w:val="24"/>
                <w14:textFill>
                  <w14:solidFill>
                    <w14:schemeClr w14:val="tx1"/>
                  </w14:solidFill>
                </w14:textFill>
              </w:rPr>
              <w:t>11）施工结束后，按原状及时恢复地表植被及原有地貌，及时清理施工杂物，最大程度减少工程建设对湿地环境的影响；应完善湿地保护区警示性标志等。</w:t>
            </w:r>
            <w:r>
              <w:rPr>
                <w:color w:val="000000" w:themeColor="text1"/>
                <w:sz w:val="24"/>
                <w:szCs w:val="24"/>
                <w14:textFill>
                  <w14:solidFill>
                    <w14:schemeClr w14:val="tx1"/>
                  </w14:solidFill>
                </w14:textFill>
              </w:rPr>
              <w:t>采取有效防治措施后，施工期废水对</w:t>
            </w:r>
            <w:r>
              <w:rPr>
                <w:rFonts w:hint="eastAsia"/>
                <w:color w:val="000000" w:themeColor="text1"/>
                <w:sz w:val="24"/>
                <w:szCs w:val="24"/>
                <w14:textFill>
                  <w14:solidFill>
                    <w14:schemeClr w14:val="tx1"/>
                  </w14:solidFill>
                </w14:textFill>
              </w:rPr>
              <w:t>湿地</w:t>
            </w:r>
            <w:r>
              <w:rPr>
                <w:color w:val="000000" w:themeColor="text1"/>
                <w:sz w:val="24"/>
                <w:szCs w:val="24"/>
                <w14:textFill>
                  <w14:solidFill>
                    <w14:schemeClr w14:val="tx1"/>
                  </w14:solidFill>
                </w14:textFill>
              </w:rPr>
              <w:t>环境影响较小</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措施可行。</w:t>
            </w:r>
          </w:p>
          <w:p w14:paraId="5F4F664D">
            <w:pPr>
              <w:keepNext w:val="0"/>
              <w:keepLines w:val="0"/>
              <w:widowControl/>
              <w:suppressLineNumbers w:val="0"/>
              <w:ind w:left="0" w:leftChars="0" w:firstLine="0" w:firstLineChars="0"/>
              <w:jc w:val="left"/>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b/>
                <w:bCs/>
                <w:color w:val="000000" w:themeColor="text1"/>
                <w:kern w:val="0"/>
                <w:sz w:val="28"/>
                <w:szCs w:val="28"/>
                <w:lang w:val="en-US" w:eastAsia="zh-CN" w:bidi="ar"/>
                <w14:textFill>
                  <w14:solidFill>
                    <w14:schemeClr w14:val="tx1"/>
                  </w14:solidFill>
                </w14:textFill>
              </w:rPr>
              <w:t>5.</w:t>
            </w:r>
            <w:r>
              <w:rPr>
                <w:rFonts w:hint="eastAsia" w:eastAsia="仿宋" w:cs="Times New Roman"/>
                <w:b/>
                <w:bCs/>
                <w:color w:val="000000" w:themeColor="text1"/>
                <w:kern w:val="0"/>
                <w:sz w:val="28"/>
                <w:szCs w:val="28"/>
                <w:lang w:val="en-US" w:eastAsia="zh-CN" w:bidi="ar"/>
                <w14:textFill>
                  <w14:solidFill>
                    <w14:schemeClr w14:val="tx1"/>
                  </w14:solidFill>
                </w14:textFill>
              </w:rPr>
              <w:t>7</w:t>
            </w:r>
            <w:r>
              <w:rPr>
                <w:rFonts w:hint="default" w:ascii="Times New Roman" w:hAnsi="Times New Roman" w:eastAsia="仿宋" w:cs="Times New Roman"/>
                <w:b/>
                <w:bCs/>
                <w:color w:val="000000" w:themeColor="text1"/>
                <w:kern w:val="0"/>
                <w:sz w:val="28"/>
                <w:szCs w:val="28"/>
                <w:lang w:val="en-US" w:eastAsia="zh-CN" w:bidi="ar"/>
                <w14:textFill>
                  <w14:solidFill>
                    <w14:schemeClr w14:val="tx1"/>
                  </w14:solidFill>
                </w14:textFill>
              </w:rPr>
              <w:t>环境管理和环境监测计划</w:t>
            </w:r>
          </w:p>
          <w:p w14:paraId="37F50D0A">
            <w:pPr>
              <w:bidi w:val="0"/>
              <w:rPr>
                <w:rFonts w:hint="default"/>
                <w:lang w:val="en-US" w:eastAsia="zh-CN"/>
              </w:rPr>
            </w:pPr>
            <w:r>
              <w:rPr>
                <w:rFonts w:hint="default"/>
                <w:lang w:val="en-US" w:eastAsia="zh-CN"/>
              </w:rPr>
              <w:t>为了更好地对本项目在施工期的环境保护进行监督和管理，应建立相应的</w:t>
            </w:r>
            <w:r>
              <w:rPr>
                <w:rFonts w:hint="eastAsia"/>
                <w:lang w:val="en-US" w:eastAsia="zh-CN"/>
              </w:rPr>
              <w:t>环境管理</w:t>
            </w:r>
            <w:r>
              <w:rPr>
                <w:rFonts w:hint="default"/>
                <w:lang w:val="en-US" w:eastAsia="zh-CN"/>
              </w:rPr>
              <w:t>小组，制定相应的环境保护管理制度，全面管理本项目的有关环境问题，以满足区域环境保护的要求，并不断改善自身环境，达到发展经济、保护环境的目的。</w:t>
            </w:r>
          </w:p>
          <w:p w14:paraId="02208A84">
            <w:pPr>
              <w:bidi w:val="0"/>
              <w:rPr>
                <w:rFonts w:hint="default"/>
                <w:lang w:val="en-US" w:eastAsia="zh-CN"/>
              </w:rPr>
            </w:pPr>
            <w:r>
              <w:rPr>
                <w:rFonts w:hint="default"/>
                <w:lang w:val="en-US" w:eastAsia="zh-CN"/>
              </w:rPr>
              <w:t>为减少项目建设过程对环境的影响，建设单位不但要采取有效的防治措施，而且还应加强施工期的环境管理，确保施工对环境的影响降到最低，施工承包商在进行工程承包时，应将施工期的环境污染控制列入承包内容，包括有关的环境保护条款、施工机械、施工方法、施工进度中的环境保护要求等；对施工人员进行环保职责管理，并在工程开工前和施工过程中制定相应的环保防治措施和工程计划，包括施工过程中扬尘、噪声等排放强度等的限制。施工时还应向当地环保行政主管部门和建设主管部门进行申报，设立专人负责管理，培训工作人员。</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4"/>
              <w:gridCol w:w="1544"/>
              <w:gridCol w:w="1545"/>
              <w:gridCol w:w="1545"/>
              <w:gridCol w:w="1545"/>
            </w:tblGrid>
            <w:tr w14:paraId="66E0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6" w:type="dxa"/>
                  <w:vAlign w:val="center"/>
                </w:tcPr>
                <w:p w14:paraId="4989A75F">
                  <w:pPr>
                    <w:keepNext w:val="0"/>
                    <w:keepLines w:val="0"/>
                    <w:widowControl/>
                    <w:suppressLineNumbers w:val="0"/>
                    <w:spacing w:line="300" w:lineRule="atLeast"/>
                    <w:ind w:firstLine="361" w:firstLineChars="200"/>
                    <w:jc w:val="left"/>
                    <w:rPr>
                      <w:rFonts w:hint="eastAsia" w:asciiTheme="minorEastAsia" w:hAnsiTheme="minorEastAsia" w:eastAsiaTheme="minorEastAsia" w:cstheme="minorEastAsia"/>
                      <w:b/>
                      <w:bCs/>
                      <w:sz w:val="18"/>
                      <w:szCs w:val="18"/>
                      <w:vertAlign w:val="baseline"/>
                      <w:lang w:val="en-US" w:eastAsia="zh-CN"/>
                    </w:rPr>
                  </w:pPr>
                  <w:r>
                    <w:rPr>
                      <w:rFonts w:hint="eastAsia" w:asciiTheme="minorEastAsia" w:hAnsiTheme="minorEastAsia" w:eastAsiaTheme="minorEastAsia" w:cstheme="minorEastAsia"/>
                      <w:b/>
                      <w:bCs/>
                      <w:i w:val="0"/>
                      <w:iCs w:val="0"/>
                      <w:caps w:val="0"/>
                      <w:color w:val="0F1115"/>
                      <w:spacing w:val="0"/>
                      <w:kern w:val="0"/>
                      <w:sz w:val="18"/>
                      <w:szCs w:val="18"/>
                      <w:lang w:val="en-US" w:eastAsia="zh-CN" w:bidi="ar"/>
                    </w:rPr>
                    <w:t>监测类别</w:t>
                  </w:r>
                </w:p>
              </w:tc>
              <w:tc>
                <w:tcPr>
                  <w:tcW w:w="1546" w:type="dxa"/>
                  <w:vAlign w:val="center"/>
                </w:tcPr>
                <w:p w14:paraId="37F20277">
                  <w:pPr>
                    <w:keepNext w:val="0"/>
                    <w:keepLines w:val="0"/>
                    <w:widowControl/>
                    <w:suppressLineNumbers w:val="0"/>
                    <w:spacing w:line="300" w:lineRule="atLeast"/>
                    <w:ind w:firstLine="361" w:firstLineChars="200"/>
                    <w:jc w:val="left"/>
                    <w:rPr>
                      <w:rFonts w:hint="eastAsia" w:asciiTheme="minorEastAsia" w:hAnsiTheme="minorEastAsia" w:eastAsiaTheme="minorEastAsia" w:cstheme="minorEastAsia"/>
                      <w:b/>
                      <w:bCs/>
                      <w:sz w:val="18"/>
                      <w:szCs w:val="18"/>
                      <w:vertAlign w:val="baseline"/>
                      <w:lang w:val="en-US" w:eastAsia="zh-CN"/>
                    </w:rPr>
                  </w:pPr>
                  <w:r>
                    <w:rPr>
                      <w:rFonts w:hint="eastAsia" w:asciiTheme="minorEastAsia" w:hAnsiTheme="minorEastAsia" w:eastAsiaTheme="minorEastAsia" w:cstheme="minorEastAsia"/>
                      <w:b/>
                      <w:bCs/>
                      <w:i w:val="0"/>
                      <w:iCs w:val="0"/>
                      <w:caps w:val="0"/>
                      <w:color w:val="0F1115"/>
                      <w:spacing w:val="0"/>
                      <w:kern w:val="0"/>
                      <w:sz w:val="18"/>
                      <w:szCs w:val="18"/>
                      <w:lang w:val="en-US" w:eastAsia="zh-CN" w:bidi="ar"/>
                    </w:rPr>
                    <w:t>监测点位</w:t>
                  </w:r>
                </w:p>
              </w:tc>
              <w:tc>
                <w:tcPr>
                  <w:tcW w:w="1547" w:type="dxa"/>
                  <w:vAlign w:val="center"/>
                </w:tcPr>
                <w:p w14:paraId="75B0A24C">
                  <w:pPr>
                    <w:keepNext w:val="0"/>
                    <w:keepLines w:val="0"/>
                    <w:widowControl/>
                    <w:suppressLineNumbers w:val="0"/>
                    <w:spacing w:line="300" w:lineRule="atLeast"/>
                    <w:ind w:firstLine="361" w:firstLineChars="200"/>
                    <w:jc w:val="left"/>
                    <w:rPr>
                      <w:rFonts w:hint="eastAsia" w:asciiTheme="minorEastAsia" w:hAnsiTheme="minorEastAsia" w:eastAsiaTheme="minorEastAsia" w:cstheme="minorEastAsia"/>
                      <w:b/>
                      <w:bCs/>
                      <w:sz w:val="18"/>
                      <w:szCs w:val="18"/>
                      <w:vertAlign w:val="baseline"/>
                      <w:lang w:val="en-US" w:eastAsia="zh-CN"/>
                    </w:rPr>
                  </w:pPr>
                  <w:r>
                    <w:rPr>
                      <w:rFonts w:hint="eastAsia" w:asciiTheme="minorEastAsia" w:hAnsiTheme="minorEastAsia" w:eastAsiaTheme="minorEastAsia" w:cstheme="minorEastAsia"/>
                      <w:b/>
                      <w:bCs/>
                      <w:i w:val="0"/>
                      <w:iCs w:val="0"/>
                      <w:caps w:val="0"/>
                      <w:color w:val="0F1115"/>
                      <w:spacing w:val="0"/>
                      <w:kern w:val="0"/>
                      <w:sz w:val="18"/>
                      <w:szCs w:val="18"/>
                      <w:lang w:val="en-US" w:eastAsia="zh-CN" w:bidi="ar"/>
                    </w:rPr>
                    <w:t>监测因子</w:t>
                  </w:r>
                </w:p>
              </w:tc>
              <w:tc>
                <w:tcPr>
                  <w:tcW w:w="1547" w:type="dxa"/>
                  <w:vAlign w:val="center"/>
                </w:tcPr>
                <w:p w14:paraId="0E769BF0">
                  <w:pPr>
                    <w:keepNext w:val="0"/>
                    <w:keepLines w:val="0"/>
                    <w:widowControl/>
                    <w:suppressLineNumbers w:val="0"/>
                    <w:spacing w:line="300" w:lineRule="atLeast"/>
                    <w:ind w:firstLine="361" w:firstLineChars="200"/>
                    <w:jc w:val="left"/>
                    <w:rPr>
                      <w:rFonts w:hint="eastAsia" w:asciiTheme="minorEastAsia" w:hAnsiTheme="minorEastAsia" w:eastAsiaTheme="minorEastAsia" w:cstheme="minorEastAsia"/>
                      <w:b/>
                      <w:bCs/>
                      <w:sz w:val="18"/>
                      <w:szCs w:val="18"/>
                      <w:vertAlign w:val="baseline"/>
                      <w:lang w:val="en-US" w:eastAsia="zh-CN"/>
                    </w:rPr>
                  </w:pPr>
                  <w:r>
                    <w:rPr>
                      <w:rFonts w:hint="eastAsia" w:asciiTheme="minorEastAsia" w:hAnsiTheme="minorEastAsia" w:eastAsiaTheme="minorEastAsia" w:cstheme="minorEastAsia"/>
                      <w:b/>
                      <w:bCs/>
                      <w:i w:val="0"/>
                      <w:iCs w:val="0"/>
                      <w:caps w:val="0"/>
                      <w:color w:val="0F1115"/>
                      <w:spacing w:val="0"/>
                      <w:kern w:val="0"/>
                      <w:sz w:val="18"/>
                      <w:szCs w:val="18"/>
                      <w:lang w:val="en-US" w:eastAsia="zh-CN" w:bidi="ar"/>
                    </w:rPr>
                    <w:t>监测频次</w:t>
                  </w:r>
                </w:p>
              </w:tc>
              <w:tc>
                <w:tcPr>
                  <w:tcW w:w="1547" w:type="dxa"/>
                </w:tcPr>
                <w:p w14:paraId="4FCDD988">
                  <w:pPr>
                    <w:keepNext w:val="0"/>
                    <w:keepLines w:val="0"/>
                    <w:widowControl/>
                    <w:suppressLineNumbers w:val="0"/>
                    <w:spacing w:line="300" w:lineRule="atLeast"/>
                    <w:ind w:firstLine="361" w:firstLineChars="200"/>
                    <w:jc w:val="left"/>
                    <w:rPr>
                      <w:rFonts w:hint="eastAsia" w:asciiTheme="minorEastAsia" w:hAnsiTheme="minorEastAsia" w:eastAsiaTheme="minorEastAsia" w:cstheme="minorEastAsia"/>
                      <w:b/>
                      <w:bCs/>
                      <w:sz w:val="18"/>
                      <w:szCs w:val="18"/>
                      <w:vertAlign w:val="baseline"/>
                      <w:lang w:val="en-US" w:eastAsia="zh-CN"/>
                    </w:rPr>
                  </w:pPr>
                  <w:r>
                    <w:rPr>
                      <w:rFonts w:hint="eastAsia" w:asciiTheme="minorEastAsia" w:hAnsiTheme="minorEastAsia" w:eastAsiaTheme="minorEastAsia" w:cstheme="minorEastAsia"/>
                      <w:b/>
                      <w:bCs/>
                      <w:i w:val="0"/>
                      <w:iCs w:val="0"/>
                      <w:caps w:val="0"/>
                      <w:color w:val="0F1115"/>
                      <w:spacing w:val="0"/>
                      <w:kern w:val="0"/>
                      <w:sz w:val="18"/>
                      <w:szCs w:val="18"/>
                      <w:lang w:val="en-US" w:eastAsia="zh-CN" w:bidi="ar"/>
                    </w:rPr>
                    <w:t>监测单位</w:t>
                  </w:r>
                </w:p>
              </w:tc>
            </w:tr>
            <w:tr w14:paraId="4FE2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6" w:type="dxa"/>
                  <w:vAlign w:val="center"/>
                </w:tcPr>
                <w:p w14:paraId="26085741">
                  <w:pPr>
                    <w:keepNext w:val="0"/>
                    <w:keepLines w:val="0"/>
                    <w:widowControl/>
                    <w:suppressLineNumbers w:val="0"/>
                    <w:spacing w:line="300" w:lineRule="atLeast"/>
                    <w:ind w:firstLine="361" w:firstLineChars="200"/>
                    <w:jc w:val="left"/>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b/>
                      <w:bCs/>
                      <w:i w:val="0"/>
                      <w:iCs w:val="0"/>
                      <w:caps w:val="0"/>
                      <w:color w:val="0F1115"/>
                      <w:spacing w:val="0"/>
                      <w:kern w:val="0"/>
                      <w:sz w:val="18"/>
                      <w:szCs w:val="18"/>
                      <w:lang w:val="en-US" w:eastAsia="zh-CN" w:bidi="ar"/>
                    </w:rPr>
                    <w:t>环境空气</w:t>
                  </w:r>
                </w:p>
              </w:tc>
              <w:tc>
                <w:tcPr>
                  <w:tcW w:w="1546" w:type="dxa"/>
                  <w:vAlign w:val="center"/>
                </w:tcPr>
                <w:p w14:paraId="7D157A73">
                  <w:pPr>
                    <w:keepNext w:val="0"/>
                    <w:keepLines w:val="0"/>
                    <w:widowControl/>
                    <w:suppressLineNumbers w:val="0"/>
                    <w:spacing w:line="300" w:lineRule="atLeast"/>
                    <w:ind w:firstLine="360" w:firstLineChars="200"/>
                    <w:jc w:val="left"/>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t>施工场界四周设4个点位（上风向1个、下风向3个）</w:t>
                  </w:r>
                </w:p>
              </w:tc>
              <w:tc>
                <w:tcPr>
                  <w:tcW w:w="1547" w:type="dxa"/>
                  <w:vAlign w:val="center"/>
                </w:tcPr>
                <w:p w14:paraId="1E1705F9">
                  <w:pPr>
                    <w:keepNext w:val="0"/>
                    <w:keepLines w:val="0"/>
                    <w:widowControl/>
                    <w:suppressLineNumbers w:val="0"/>
                    <w:spacing w:line="300" w:lineRule="atLeast"/>
                    <w:ind w:firstLine="360" w:firstLineChars="200"/>
                    <w:jc w:val="left"/>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t>TSP（总悬浮颗粒物）</w:t>
                  </w:r>
                </w:p>
              </w:tc>
              <w:tc>
                <w:tcPr>
                  <w:tcW w:w="1547" w:type="dxa"/>
                  <w:vAlign w:val="center"/>
                </w:tcPr>
                <w:p w14:paraId="7BCDF263">
                  <w:pPr>
                    <w:keepNext w:val="0"/>
                    <w:keepLines w:val="0"/>
                    <w:widowControl/>
                    <w:suppressLineNumbers w:val="0"/>
                    <w:spacing w:line="300" w:lineRule="atLeast"/>
                    <w:ind w:firstLine="360" w:firstLineChars="200"/>
                    <w:jc w:val="left"/>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t>施工期内每季度监测1次</w:t>
                  </w:r>
                </w:p>
              </w:tc>
              <w:tc>
                <w:tcPr>
                  <w:tcW w:w="1547" w:type="dxa"/>
                </w:tcPr>
                <w:p w14:paraId="30746DBE">
                  <w:pPr>
                    <w:bidi w:val="0"/>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sz w:val="18"/>
                      <w:szCs w:val="18"/>
                      <w:shd w:val="clear" w:fill="FFFFFF"/>
                    </w:rPr>
                    <w:t>委托有资质的环境监测机构</w:t>
                  </w:r>
                </w:p>
              </w:tc>
            </w:tr>
            <w:tr w14:paraId="743F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6" w:type="dxa"/>
                  <w:vAlign w:val="center"/>
                </w:tcPr>
                <w:p w14:paraId="1D2048C4">
                  <w:pPr>
                    <w:keepNext w:val="0"/>
                    <w:keepLines w:val="0"/>
                    <w:widowControl/>
                    <w:suppressLineNumbers w:val="0"/>
                    <w:spacing w:line="300" w:lineRule="atLeast"/>
                    <w:ind w:firstLine="361" w:firstLineChars="200"/>
                    <w:jc w:val="left"/>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b/>
                      <w:bCs/>
                      <w:i w:val="0"/>
                      <w:iCs w:val="0"/>
                      <w:caps w:val="0"/>
                      <w:color w:val="0F1115"/>
                      <w:spacing w:val="0"/>
                      <w:kern w:val="0"/>
                      <w:sz w:val="18"/>
                      <w:szCs w:val="18"/>
                      <w:lang w:val="en-US" w:eastAsia="zh-CN" w:bidi="ar"/>
                    </w:rPr>
                    <w:t>声环境</w:t>
                  </w:r>
                </w:p>
              </w:tc>
              <w:tc>
                <w:tcPr>
                  <w:tcW w:w="1546" w:type="dxa"/>
                  <w:vAlign w:val="center"/>
                </w:tcPr>
                <w:p w14:paraId="788CB60A">
                  <w:pPr>
                    <w:keepNext w:val="0"/>
                    <w:keepLines w:val="0"/>
                    <w:widowControl/>
                    <w:suppressLineNumbers w:val="0"/>
                    <w:spacing w:line="300" w:lineRule="atLeast"/>
                    <w:ind w:firstLine="360" w:firstLineChars="200"/>
                    <w:jc w:val="left"/>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t>①施工场界四周各设1个点位</w:t>
                  </w: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br w:type="textWrapping"/>
                  </w: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t>②邻近敏感点（白寨村六社居民点，距施工区约30m处）</w:t>
                  </w:r>
                </w:p>
              </w:tc>
              <w:tc>
                <w:tcPr>
                  <w:tcW w:w="1547" w:type="dxa"/>
                  <w:vAlign w:val="center"/>
                </w:tcPr>
                <w:p w14:paraId="4DB216BB">
                  <w:pPr>
                    <w:keepNext w:val="0"/>
                    <w:keepLines w:val="0"/>
                    <w:widowControl/>
                    <w:suppressLineNumbers w:val="0"/>
                    <w:spacing w:line="300" w:lineRule="atLeast"/>
                    <w:ind w:firstLine="360" w:firstLineChars="200"/>
                    <w:jc w:val="left"/>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t>等效连续A声级（Leq）</w:t>
                  </w:r>
                </w:p>
              </w:tc>
              <w:tc>
                <w:tcPr>
                  <w:tcW w:w="1547" w:type="dxa"/>
                  <w:vAlign w:val="center"/>
                </w:tcPr>
                <w:p w14:paraId="2326B990">
                  <w:pPr>
                    <w:keepNext w:val="0"/>
                    <w:keepLines w:val="0"/>
                    <w:widowControl/>
                    <w:suppressLineNumbers w:val="0"/>
                    <w:spacing w:line="300" w:lineRule="atLeast"/>
                    <w:ind w:firstLine="360" w:firstLineChars="200"/>
                    <w:jc w:val="left"/>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t>施工期内每季度监测1次</w:t>
                  </w:r>
                </w:p>
              </w:tc>
              <w:tc>
                <w:tcPr>
                  <w:tcW w:w="1547" w:type="dxa"/>
                </w:tcPr>
                <w:p w14:paraId="3209241E">
                  <w:pPr>
                    <w:bidi w:val="0"/>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sz w:val="18"/>
                      <w:szCs w:val="18"/>
                      <w:shd w:val="clear" w:fill="FFFFFF"/>
                    </w:rPr>
                    <w:t>委托有资质的环境监测机构</w:t>
                  </w:r>
                </w:p>
              </w:tc>
            </w:tr>
            <w:tr w14:paraId="7FBC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6" w:type="dxa"/>
                  <w:vAlign w:val="center"/>
                </w:tcPr>
                <w:p w14:paraId="3FE02180">
                  <w:pPr>
                    <w:keepNext w:val="0"/>
                    <w:keepLines w:val="0"/>
                    <w:widowControl/>
                    <w:suppressLineNumbers w:val="0"/>
                    <w:spacing w:line="300" w:lineRule="atLeast"/>
                    <w:ind w:firstLine="361" w:firstLineChars="200"/>
                    <w:jc w:val="left"/>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b/>
                      <w:bCs/>
                      <w:i w:val="0"/>
                      <w:iCs w:val="0"/>
                      <w:caps w:val="0"/>
                      <w:color w:val="0F1115"/>
                      <w:spacing w:val="0"/>
                      <w:kern w:val="0"/>
                      <w:sz w:val="18"/>
                      <w:szCs w:val="18"/>
                      <w:lang w:val="en-US" w:eastAsia="zh-CN" w:bidi="ar"/>
                    </w:rPr>
                    <w:t>水环境</w:t>
                  </w:r>
                </w:p>
              </w:tc>
              <w:tc>
                <w:tcPr>
                  <w:tcW w:w="1546" w:type="dxa"/>
                  <w:vAlign w:val="center"/>
                </w:tcPr>
                <w:p w14:paraId="0C3BD2EA">
                  <w:pPr>
                    <w:keepNext w:val="0"/>
                    <w:keepLines w:val="0"/>
                    <w:widowControl/>
                    <w:suppressLineNumbers w:val="0"/>
                    <w:spacing w:line="300" w:lineRule="atLeast"/>
                    <w:ind w:firstLine="360" w:firstLineChars="200"/>
                    <w:jc w:val="left"/>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t>施工区周边沟道（阴沟）上下游各设1个点位</w:t>
                  </w:r>
                </w:p>
              </w:tc>
              <w:tc>
                <w:tcPr>
                  <w:tcW w:w="1547" w:type="dxa"/>
                  <w:vAlign w:val="center"/>
                </w:tcPr>
                <w:p w14:paraId="09FBA4A6">
                  <w:pPr>
                    <w:keepNext w:val="0"/>
                    <w:keepLines w:val="0"/>
                    <w:widowControl/>
                    <w:suppressLineNumbers w:val="0"/>
                    <w:spacing w:line="300" w:lineRule="atLeast"/>
                    <w:ind w:firstLine="360" w:firstLineChars="200"/>
                    <w:jc w:val="left"/>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t>pH、SS（悬浮物）、COD、氨氮、石油类</w:t>
                  </w:r>
                </w:p>
              </w:tc>
              <w:tc>
                <w:tcPr>
                  <w:tcW w:w="1547" w:type="dxa"/>
                  <w:vAlign w:val="center"/>
                </w:tcPr>
                <w:p w14:paraId="20251839">
                  <w:pPr>
                    <w:keepNext w:val="0"/>
                    <w:keepLines w:val="0"/>
                    <w:widowControl/>
                    <w:suppressLineNumbers w:val="0"/>
                    <w:spacing w:line="300" w:lineRule="atLeast"/>
                    <w:ind w:firstLine="360" w:firstLineChars="200"/>
                    <w:jc w:val="left"/>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kern w:val="0"/>
                      <w:sz w:val="18"/>
                      <w:szCs w:val="18"/>
                      <w:lang w:val="en-US" w:eastAsia="zh-CN" w:bidi="ar"/>
                    </w:rPr>
                    <w:t>施工期内每半年监测1次</w:t>
                  </w:r>
                </w:p>
              </w:tc>
              <w:tc>
                <w:tcPr>
                  <w:tcW w:w="1547" w:type="dxa"/>
                </w:tcPr>
                <w:p w14:paraId="026FB2A7">
                  <w:pPr>
                    <w:bidi w:val="0"/>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i w:val="0"/>
                      <w:iCs w:val="0"/>
                      <w:caps w:val="0"/>
                      <w:color w:val="0F1115"/>
                      <w:spacing w:val="0"/>
                      <w:sz w:val="18"/>
                      <w:szCs w:val="18"/>
                      <w:shd w:val="clear" w:fill="FFFFFF"/>
                    </w:rPr>
                    <w:t>委托有资质的环境监测机构</w:t>
                  </w:r>
                </w:p>
              </w:tc>
            </w:tr>
          </w:tbl>
          <w:p w14:paraId="3D1D2B22">
            <w:pPr>
              <w:bidi w:val="0"/>
              <w:rPr>
                <w:rFonts w:hint="default"/>
                <w:lang w:val="en-US" w:eastAsia="zh-CN"/>
              </w:rPr>
            </w:pPr>
          </w:p>
        </w:tc>
      </w:tr>
      <w:tr w14:paraId="35881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81" w:hRule="atLeast"/>
          <w:jc w:val="center"/>
        </w:trPr>
        <w:tc>
          <w:tcPr>
            <w:tcW w:w="339" w:type="pct"/>
            <w:noWrap w:val="0"/>
            <w:tcMar>
              <w:left w:w="28" w:type="dxa"/>
              <w:right w:w="28" w:type="dxa"/>
            </w:tcMar>
            <w:vAlign w:val="center"/>
          </w:tcPr>
          <w:p w14:paraId="50CD11CA">
            <w:pPr>
              <w:adjustRightInd w:val="0"/>
              <w:snapToGrid w:val="0"/>
              <w:ind w:left="0" w:leftChars="0" w:firstLine="0" w:firstLineChars="0"/>
              <w:jc w:val="center"/>
              <w:rPr>
                <w:rFonts w:hint="default" w:ascii="Times New Roman" w:hAnsi="Times New Roman" w:eastAsia="仿宋" w:cs="Times New Roman"/>
                <w:bCs/>
                <w:color w:val="000000" w:themeColor="text1"/>
                <w:spacing w:val="10"/>
                <w:szCs w:val="21"/>
                <w14:textFill>
                  <w14:solidFill>
                    <w14:schemeClr w14:val="tx1"/>
                  </w14:solidFill>
                </w14:textFill>
              </w:rPr>
            </w:pPr>
            <w:r>
              <w:rPr>
                <w:rFonts w:hint="default" w:ascii="Times New Roman" w:hAnsi="Times New Roman" w:eastAsia="仿宋" w:cs="Times New Roman"/>
                <w:bCs/>
                <w:color w:val="000000" w:themeColor="text1"/>
                <w:spacing w:val="10"/>
                <w:szCs w:val="21"/>
                <w14:textFill>
                  <w14:solidFill>
                    <w14:schemeClr w14:val="tx1"/>
                  </w14:solidFill>
                </w14:textFill>
              </w:rPr>
              <w:t>运营期生态环境保护措施</w:t>
            </w:r>
          </w:p>
        </w:tc>
        <w:tc>
          <w:tcPr>
            <w:tcW w:w="4660" w:type="pct"/>
            <w:noWrap w:val="0"/>
            <w:vAlign w:val="center"/>
          </w:tcPr>
          <w:p w14:paraId="632F9CFA">
            <w:pPr>
              <w:bidi w:val="0"/>
              <w:rPr>
                <w:rFonts w:hint="default"/>
                <w:lang w:val="en-US" w:eastAsia="zh-CN"/>
              </w:rPr>
            </w:pPr>
            <w:r>
              <w:rPr>
                <w:rFonts w:hint="default"/>
              </w:rPr>
              <w:t>本项目属于</w:t>
            </w:r>
            <w:r>
              <w:rPr>
                <w:rFonts w:hint="eastAsia"/>
                <w:lang w:val="en-US" w:eastAsia="zh-CN"/>
              </w:rPr>
              <w:t>河湖整治项目。</w:t>
            </w:r>
            <w:r>
              <w:rPr>
                <w:rFonts w:hint="default"/>
                <w:lang w:val="en-US" w:eastAsia="zh-CN"/>
              </w:rPr>
              <w:t>营运过程本身无废水、废气、固废、噪声等污染物产生。</w:t>
            </w:r>
          </w:p>
          <w:p w14:paraId="08130DF3">
            <w:pPr>
              <w:bidi w:val="0"/>
              <w:rPr>
                <w:rFonts w:hint="default" w:ascii="Times New Roman" w:hAnsi="Times New Roman" w:eastAsia="仿宋" w:cs="Times New Roman"/>
                <w:bCs/>
                <w:color w:val="000000" w:themeColor="text1"/>
                <w:spacing w:val="10"/>
                <w:szCs w:val="21"/>
                <w14:textFill>
                  <w14:solidFill>
                    <w14:schemeClr w14:val="tx1"/>
                  </w14:solidFill>
                </w14:textFill>
              </w:rPr>
            </w:pPr>
            <w:r>
              <w:rPr>
                <w:rFonts w:hint="default"/>
                <w:lang w:val="en-US" w:eastAsia="zh-CN"/>
              </w:rPr>
              <w:t>项目建成后对环境的影响主要为正面影响，且能保障地区人民生命财产安全，具有环境正效益，本项目营运期本身不存在环境污染，无需采取污染防治措施。</w:t>
            </w:r>
          </w:p>
        </w:tc>
      </w:tr>
      <w:tr w14:paraId="31295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9" w:type="pct"/>
            <w:noWrap w:val="0"/>
            <w:vAlign w:val="center"/>
          </w:tcPr>
          <w:p w14:paraId="585C23A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仿宋" w:cs="Times New Roman"/>
                <w:bCs/>
                <w:color w:val="000000" w:themeColor="text1"/>
                <w:spacing w:val="10"/>
                <w:szCs w:val="21"/>
                <w14:textFill>
                  <w14:solidFill>
                    <w14:schemeClr w14:val="tx1"/>
                  </w14:solidFill>
                </w14:textFill>
              </w:rPr>
            </w:pPr>
            <w:r>
              <w:rPr>
                <w:rFonts w:hint="default" w:ascii="Times New Roman" w:hAnsi="Times New Roman" w:eastAsia="仿宋" w:cs="Times New Roman"/>
                <w:bCs/>
                <w:color w:val="000000" w:themeColor="text1"/>
                <w:spacing w:val="10"/>
                <w:szCs w:val="21"/>
                <w14:textFill>
                  <w14:solidFill>
                    <w14:schemeClr w14:val="tx1"/>
                  </w14:solidFill>
                </w14:textFill>
              </w:rPr>
              <w:t>其他</w:t>
            </w:r>
          </w:p>
        </w:tc>
        <w:tc>
          <w:tcPr>
            <w:tcW w:w="4660" w:type="pct"/>
            <w:noWrap w:val="0"/>
            <w:vAlign w:val="center"/>
          </w:tcPr>
          <w:p w14:paraId="1F24BF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Cs/>
                <w:color w:val="000000" w:themeColor="text1"/>
                <w:spacing w:val="10"/>
                <w:szCs w:val="21"/>
                <w:lang w:val="en-US" w:eastAsia="zh-CN"/>
                <w14:textFill>
                  <w14:solidFill>
                    <w14:schemeClr w14:val="tx1"/>
                  </w14:solidFill>
                </w14:textFill>
              </w:rPr>
            </w:pPr>
            <w:r>
              <w:rPr>
                <w:rFonts w:hint="default" w:ascii="Times New Roman" w:hAnsi="Times New Roman" w:eastAsia="仿宋" w:cs="Times New Roman"/>
                <w:bCs/>
                <w:color w:val="000000" w:themeColor="text1"/>
                <w:spacing w:val="10"/>
                <w:szCs w:val="21"/>
                <w:lang w:val="en-US" w:eastAsia="zh-CN"/>
                <w14:textFill>
                  <w14:solidFill>
                    <w14:schemeClr w14:val="tx1"/>
                  </w14:solidFill>
                </w14:textFill>
              </w:rPr>
              <w:t>无</w:t>
            </w:r>
          </w:p>
        </w:tc>
      </w:tr>
      <w:tr w14:paraId="436936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4" w:hRule="atLeast"/>
          <w:jc w:val="center"/>
        </w:trPr>
        <w:tc>
          <w:tcPr>
            <w:tcW w:w="339" w:type="pct"/>
            <w:noWrap w:val="0"/>
            <w:vAlign w:val="center"/>
          </w:tcPr>
          <w:p w14:paraId="32FA60C1">
            <w:pPr>
              <w:adjustRightInd w:val="0"/>
              <w:snapToGrid w:val="0"/>
              <w:ind w:left="0" w:leftChars="0" w:firstLine="0" w:firstLineChars="0"/>
              <w:jc w:val="left"/>
              <w:rPr>
                <w:rFonts w:hint="default" w:ascii="Times New Roman" w:hAnsi="Times New Roman" w:eastAsia="仿宋" w:cs="Times New Roman"/>
                <w:bCs/>
                <w:color w:val="000000" w:themeColor="text1"/>
                <w:spacing w:val="10"/>
                <w:szCs w:val="21"/>
                <w14:textFill>
                  <w14:solidFill>
                    <w14:schemeClr w14:val="tx1"/>
                  </w14:solidFill>
                </w14:textFill>
              </w:rPr>
            </w:pPr>
            <w:r>
              <w:rPr>
                <w:rFonts w:hint="default" w:ascii="Times New Roman" w:hAnsi="Times New Roman" w:eastAsia="仿宋" w:cs="Times New Roman"/>
                <w:bCs/>
                <w:color w:val="000000" w:themeColor="text1"/>
                <w:spacing w:val="10"/>
                <w:szCs w:val="21"/>
                <w14:textFill>
                  <w14:solidFill>
                    <w14:schemeClr w14:val="tx1"/>
                  </w14:solidFill>
                </w14:textFill>
              </w:rPr>
              <w:t>环保投资</w:t>
            </w:r>
          </w:p>
        </w:tc>
        <w:tc>
          <w:tcPr>
            <w:tcW w:w="4660" w:type="pct"/>
            <w:noWrap w:val="0"/>
            <w:vAlign w:val="top"/>
          </w:tcPr>
          <w:p w14:paraId="1CC9CBAE">
            <w:pPr>
              <w:bidi w:val="0"/>
              <w:rPr>
                <w:rFonts w:hint="default"/>
                <w:lang w:val="en-US" w:eastAsia="zh-CN"/>
              </w:rPr>
            </w:pPr>
            <w:r>
              <w:rPr>
                <w:rFonts w:hint="default"/>
                <w:lang w:val="en-US" w:eastAsia="zh-CN"/>
              </w:rPr>
              <w:t>本项目总投资资</w:t>
            </w:r>
            <w:r>
              <w:rPr>
                <w:rFonts w:hint="eastAsia"/>
                <w:lang w:val="en-US" w:eastAsia="zh-CN"/>
              </w:rPr>
              <w:t>530.83</w:t>
            </w:r>
            <w:r>
              <w:rPr>
                <w:rFonts w:hint="default"/>
                <w:lang w:val="en-US" w:eastAsia="zh-CN"/>
              </w:rPr>
              <w:t>万元，其中环保投资</w:t>
            </w:r>
            <w:r>
              <w:rPr>
                <w:rFonts w:hint="eastAsia"/>
                <w:lang w:val="en-US" w:eastAsia="zh-CN"/>
              </w:rPr>
              <w:t>20</w:t>
            </w:r>
            <w:r>
              <w:rPr>
                <w:rFonts w:hint="default"/>
                <w:lang w:val="en-US" w:eastAsia="zh-CN"/>
              </w:rPr>
              <w:t>万元，环保投资占总投资的</w:t>
            </w:r>
            <w:r>
              <w:rPr>
                <w:rFonts w:hint="eastAsia"/>
                <w:lang w:val="en-US" w:eastAsia="zh-CN"/>
              </w:rPr>
              <w:t>3.77</w:t>
            </w:r>
            <w:r>
              <w:rPr>
                <w:rFonts w:hint="default"/>
                <w:lang w:val="en-US" w:eastAsia="zh-CN"/>
              </w:rPr>
              <w:t>%，项目环保投资情况见表5-1。</w:t>
            </w:r>
          </w:p>
          <w:p w14:paraId="7413A03C">
            <w:pPr>
              <w:tabs>
                <w:tab w:val="left" w:pos="1035"/>
              </w:tabs>
              <w:spacing w:before="74" w:after="3"/>
              <w:ind w:left="53" w:right="0" w:firstLine="0"/>
              <w:jc w:val="center"/>
              <w:rPr>
                <w:rFonts w:hint="default" w:ascii="Times New Roman" w:hAnsi="Times New Roman" w:eastAsia="仿宋" w:cs="Times New Roman"/>
                <w:b/>
                <w:bCs/>
                <w:color w:val="000000" w:themeColor="text1"/>
                <w14:textFill>
                  <w14:solidFill>
                    <w14:schemeClr w14:val="tx1"/>
                  </w14:solidFill>
                </w14:textFill>
              </w:rPr>
            </w:pPr>
            <w:r>
              <w:rPr>
                <w:rFonts w:hint="default" w:ascii="Times New Roman" w:hAnsi="Times New Roman" w:eastAsia="仿宋" w:cs="Times New Roman"/>
                <w:b/>
                <w:bCs/>
                <w:color w:val="000000" w:themeColor="text1"/>
                <w14:textFill>
                  <w14:solidFill>
                    <w14:schemeClr w14:val="tx1"/>
                  </w14:solidFill>
                </w14:textFill>
              </w:rPr>
              <w:t>表</w:t>
            </w:r>
            <w:r>
              <w:rPr>
                <w:rFonts w:hint="default" w:ascii="Times New Roman" w:hAnsi="Times New Roman" w:eastAsia="仿宋" w:cs="Times New Roman"/>
                <w:b/>
                <w:bCs/>
                <w:color w:val="000000" w:themeColor="text1"/>
                <w:lang w:eastAsia="zh-CN"/>
                <w14:textFill>
                  <w14:solidFill>
                    <w14:schemeClr w14:val="tx1"/>
                  </w14:solidFill>
                </w14:textFill>
              </w:rPr>
              <w:t>5</w:t>
            </w:r>
            <w:r>
              <w:rPr>
                <w:rFonts w:hint="default" w:ascii="Times New Roman" w:hAnsi="Times New Roman" w:eastAsia="仿宋" w:cs="Times New Roman"/>
                <w:b/>
                <w:bCs/>
                <w:color w:val="000000" w:themeColor="text1"/>
                <w:lang w:val="en-US" w:eastAsia="zh-CN"/>
                <w14:textFill>
                  <w14:solidFill>
                    <w14:schemeClr w14:val="tx1"/>
                  </w14:solidFill>
                </w14:textFill>
              </w:rPr>
              <w:t>-1</w:t>
            </w:r>
            <w:r>
              <w:rPr>
                <w:rFonts w:hint="default" w:ascii="Times New Roman" w:hAnsi="Times New Roman" w:eastAsia="仿宋" w:cs="Times New Roman"/>
                <w:b/>
                <w:bCs/>
                <w:color w:val="000000" w:themeColor="text1"/>
                <w14:textFill>
                  <w14:solidFill>
                    <w14:schemeClr w14:val="tx1"/>
                  </w14:solidFill>
                </w14:textFill>
              </w:rPr>
              <w:tab/>
            </w:r>
            <w:r>
              <w:rPr>
                <w:rFonts w:hint="default" w:ascii="Times New Roman" w:hAnsi="Times New Roman" w:eastAsia="仿宋" w:cs="Times New Roman"/>
                <w:b/>
                <w:bCs/>
                <w:color w:val="000000" w:themeColor="text1"/>
                <w14:textFill>
                  <w14:solidFill>
                    <w14:schemeClr w14:val="tx1"/>
                  </w14:solidFill>
                </w14:textFill>
              </w:rPr>
              <w:t>本项目环保投资估算表</w:t>
            </w:r>
          </w:p>
          <w:tbl>
            <w:tblPr>
              <w:tblStyle w:val="79"/>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85"/>
              <w:gridCol w:w="858"/>
              <w:gridCol w:w="863"/>
              <w:gridCol w:w="4172"/>
              <w:gridCol w:w="1342"/>
            </w:tblGrid>
            <w:tr w14:paraId="1213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314" w:type="pct"/>
                  <w:tcBorders>
                    <w:top w:val="single" w:color="000000" w:sz="12" w:space="0"/>
                    <w:left w:val="nil"/>
                    <w:tl2br w:val="nil"/>
                  </w:tcBorders>
                  <w:shd w:val="clear" w:color="auto" w:fill="FFFFFF"/>
                  <w:textDirection w:val="tbRlV"/>
                  <w:vAlign w:val="center"/>
                </w:tcPr>
                <w:p w14:paraId="031B7C68">
                  <w:pPr>
                    <w:pStyle w:val="70"/>
                    <w:bidi w:val="0"/>
                    <w:rPr>
                      <w:rFonts w:hint="default"/>
                    </w:rPr>
                  </w:pPr>
                  <w:r>
                    <w:rPr>
                      <w:rFonts w:hint="default"/>
                    </w:rPr>
                    <w:t>阶段</w:t>
                  </w:r>
                </w:p>
              </w:tc>
              <w:tc>
                <w:tcPr>
                  <w:tcW w:w="1115" w:type="pct"/>
                  <w:gridSpan w:val="2"/>
                  <w:tcBorders>
                    <w:top w:val="single" w:color="000000" w:sz="12" w:space="0"/>
                  </w:tcBorders>
                  <w:shd w:val="clear" w:color="auto" w:fill="FFFFFF"/>
                  <w:vAlign w:val="center"/>
                </w:tcPr>
                <w:p w14:paraId="0CC1D140">
                  <w:pPr>
                    <w:pStyle w:val="70"/>
                    <w:bidi w:val="0"/>
                    <w:rPr>
                      <w:rFonts w:hint="default"/>
                    </w:rPr>
                  </w:pPr>
                  <w:r>
                    <w:rPr>
                      <w:rFonts w:hint="default"/>
                    </w:rPr>
                    <w:t>类别</w:t>
                  </w:r>
                </w:p>
              </w:tc>
              <w:tc>
                <w:tcPr>
                  <w:tcW w:w="2701" w:type="pct"/>
                  <w:tcBorders>
                    <w:top w:val="single" w:color="000000" w:sz="12" w:space="0"/>
                  </w:tcBorders>
                  <w:shd w:val="clear" w:color="auto" w:fill="FFFFFF"/>
                  <w:vAlign w:val="center"/>
                </w:tcPr>
                <w:p w14:paraId="24DC1147">
                  <w:pPr>
                    <w:pStyle w:val="70"/>
                    <w:bidi w:val="0"/>
                    <w:rPr>
                      <w:rFonts w:hint="default"/>
                    </w:rPr>
                  </w:pPr>
                  <w:r>
                    <w:rPr>
                      <w:rFonts w:hint="default"/>
                    </w:rPr>
                    <w:t>环境保护措施</w:t>
                  </w:r>
                </w:p>
              </w:tc>
              <w:tc>
                <w:tcPr>
                  <w:tcW w:w="869" w:type="pct"/>
                  <w:tcBorders>
                    <w:top w:val="single" w:color="000000" w:sz="12" w:space="0"/>
                    <w:right w:val="nil"/>
                  </w:tcBorders>
                  <w:shd w:val="clear" w:color="auto" w:fill="FFFFFF"/>
                  <w:vAlign w:val="center"/>
                </w:tcPr>
                <w:p w14:paraId="5919BDD8">
                  <w:pPr>
                    <w:pStyle w:val="70"/>
                    <w:bidi w:val="0"/>
                    <w:rPr>
                      <w:rFonts w:hint="default"/>
                    </w:rPr>
                  </w:pPr>
                  <w:r>
                    <w:rPr>
                      <w:rFonts w:hint="default"/>
                    </w:rPr>
                    <w:t>投资(万元)</w:t>
                  </w:r>
                </w:p>
              </w:tc>
            </w:tr>
            <w:tr w14:paraId="4156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4" w:type="pct"/>
                  <w:vMerge w:val="restart"/>
                  <w:tcBorders>
                    <w:left w:val="nil"/>
                  </w:tcBorders>
                  <w:shd w:val="clear" w:color="auto" w:fill="FFFFFF"/>
                  <w:textDirection w:val="tbRlV"/>
                  <w:vAlign w:val="center"/>
                </w:tcPr>
                <w:p w14:paraId="4A02EA0B">
                  <w:pPr>
                    <w:pStyle w:val="70"/>
                    <w:bidi w:val="0"/>
                    <w:rPr>
                      <w:rFonts w:hint="default"/>
                    </w:rPr>
                  </w:pPr>
                  <w:bookmarkStart w:id="36" w:name="OLE_LINK56" w:colFirst="4" w:colLast="4"/>
                  <w:r>
                    <w:rPr>
                      <w:rFonts w:hint="default"/>
                    </w:rPr>
                    <w:t>施工期</w:t>
                  </w:r>
                </w:p>
              </w:tc>
              <w:tc>
                <w:tcPr>
                  <w:tcW w:w="556" w:type="pct"/>
                  <w:vMerge w:val="restart"/>
                  <w:shd w:val="clear" w:color="auto" w:fill="FFFFFF"/>
                  <w:vAlign w:val="center"/>
                </w:tcPr>
                <w:p w14:paraId="01D2CD2F">
                  <w:pPr>
                    <w:pStyle w:val="70"/>
                    <w:bidi w:val="0"/>
                    <w:rPr>
                      <w:rFonts w:hint="default"/>
                      <w:lang w:val="en-US" w:eastAsia="zh-CN"/>
                    </w:rPr>
                  </w:pPr>
                  <w:r>
                    <w:rPr>
                      <w:rFonts w:hint="default"/>
                      <w:lang w:val="en-US" w:eastAsia="zh-CN"/>
                    </w:rPr>
                    <w:t>废气治理</w:t>
                  </w:r>
                </w:p>
              </w:tc>
              <w:tc>
                <w:tcPr>
                  <w:tcW w:w="558" w:type="pct"/>
                  <w:vMerge w:val="restart"/>
                  <w:shd w:val="clear" w:color="auto" w:fill="FFFFFF"/>
                  <w:vAlign w:val="center"/>
                </w:tcPr>
                <w:p w14:paraId="10078919">
                  <w:pPr>
                    <w:pStyle w:val="70"/>
                    <w:bidi w:val="0"/>
                    <w:rPr>
                      <w:rFonts w:hint="default"/>
                    </w:rPr>
                  </w:pPr>
                  <w:r>
                    <w:rPr>
                      <w:rFonts w:hint="default"/>
                      <w:lang w:val="en-US" w:eastAsia="zh-CN"/>
                    </w:rPr>
                    <w:t>扬尘</w:t>
                  </w:r>
                </w:p>
              </w:tc>
              <w:tc>
                <w:tcPr>
                  <w:tcW w:w="2701" w:type="pct"/>
                  <w:shd w:val="clear" w:color="auto" w:fill="FFFFFF"/>
                  <w:vAlign w:val="center"/>
                </w:tcPr>
                <w:p w14:paraId="59C952EF">
                  <w:pPr>
                    <w:pStyle w:val="70"/>
                    <w:bidi w:val="0"/>
                    <w:rPr>
                      <w:rFonts w:hint="default"/>
                    </w:rPr>
                  </w:pPr>
                  <w:r>
                    <w:rPr>
                      <w:rFonts w:hint="default"/>
                    </w:rPr>
                    <w:t>施工期洒水降尘</w:t>
                  </w:r>
                </w:p>
              </w:tc>
              <w:tc>
                <w:tcPr>
                  <w:tcW w:w="869" w:type="pct"/>
                  <w:tcBorders>
                    <w:right w:val="nil"/>
                  </w:tcBorders>
                  <w:shd w:val="clear" w:color="auto" w:fill="FFFFFF"/>
                  <w:vAlign w:val="center"/>
                </w:tcPr>
                <w:p w14:paraId="3B39B9CF">
                  <w:pPr>
                    <w:pStyle w:val="70"/>
                    <w:bidi w:val="0"/>
                    <w:rPr>
                      <w:rFonts w:hint="default"/>
                      <w:lang w:val="en-US" w:eastAsia="zh-CN"/>
                    </w:rPr>
                  </w:pPr>
                  <w:r>
                    <w:rPr>
                      <w:rFonts w:hint="eastAsia"/>
                      <w:lang w:val="en-US" w:eastAsia="zh-CN"/>
                    </w:rPr>
                    <w:t>4</w:t>
                  </w:r>
                </w:p>
              </w:tc>
            </w:tr>
            <w:tr w14:paraId="49AE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14" w:type="pct"/>
                  <w:vMerge w:val="continue"/>
                  <w:tcBorders>
                    <w:left w:val="nil"/>
                  </w:tcBorders>
                  <w:shd w:val="clear" w:color="auto" w:fill="FFFFFF"/>
                  <w:textDirection w:val="tbRlV"/>
                  <w:vAlign w:val="center"/>
                </w:tcPr>
                <w:p w14:paraId="4E613CAF">
                  <w:pPr>
                    <w:pStyle w:val="70"/>
                    <w:bidi w:val="0"/>
                    <w:rPr>
                      <w:rFonts w:hint="default"/>
                    </w:rPr>
                  </w:pPr>
                </w:p>
              </w:tc>
              <w:tc>
                <w:tcPr>
                  <w:tcW w:w="556" w:type="pct"/>
                  <w:vMerge w:val="continue"/>
                  <w:shd w:val="clear" w:color="auto" w:fill="FFFFFF"/>
                  <w:vAlign w:val="center"/>
                </w:tcPr>
                <w:p w14:paraId="6A094750">
                  <w:pPr>
                    <w:pStyle w:val="70"/>
                    <w:bidi w:val="0"/>
                    <w:rPr>
                      <w:rFonts w:hint="default"/>
                      <w:lang w:val="en-US" w:eastAsia="zh-CN"/>
                    </w:rPr>
                  </w:pPr>
                </w:p>
              </w:tc>
              <w:tc>
                <w:tcPr>
                  <w:tcW w:w="558" w:type="pct"/>
                  <w:vMerge w:val="continue"/>
                  <w:shd w:val="clear" w:color="auto" w:fill="FFFFFF"/>
                  <w:vAlign w:val="center"/>
                </w:tcPr>
                <w:p w14:paraId="018FDAA9">
                  <w:pPr>
                    <w:pStyle w:val="70"/>
                    <w:bidi w:val="0"/>
                    <w:rPr>
                      <w:rFonts w:hint="default"/>
                    </w:rPr>
                  </w:pPr>
                </w:p>
              </w:tc>
              <w:tc>
                <w:tcPr>
                  <w:tcW w:w="2701" w:type="pct"/>
                  <w:shd w:val="clear" w:color="auto" w:fill="FFFFFF"/>
                  <w:vAlign w:val="center"/>
                </w:tcPr>
                <w:p w14:paraId="67AF2741">
                  <w:pPr>
                    <w:pStyle w:val="70"/>
                    <w:bidi w:val="0"/>
                    <w:rPr>
                      <w:rFonts w:hint="default"/>
                    </w:rPr>
                  </w:pPr>
                  <w:r>
                    <w:rPr>
                      <w:rFonts w:hint="default"/>
                    </w:rPr>
                    <w:t>运输车辆苫盖</w:t>
                  </w:r>
                </w:p>
              </w:tc>
              <w:tc>
                <w:tcPr>
                  <w:tcW w:w="869" w:type="pct"/>
                  <w:tcBorders>
                    <w:right w:val="nil"/>
                  </w:tcBorders>
                  <w:shd w:val="clear" w:color="auto" w:fill="FFFFFF"/>
                  <w:vAlign w:val="center"/>
                </w:tcPr>
                <w:p w14:paraId="4A91D83D">
                  <w:pPr>
                    <w:pStyle w:val="70"/>
                    <w:bidi w:val="0"/>
                    <w:rPr>
                      <w:rFonts w:hint="default"/>
                      <w:lang w:val="en-US" w:eastAsia="zh-CN"/>
                    </w:rPr>
                  </w:pPr>
                  <w:r>
                    <w:rPr>
                      <w:rFonts w:hint="default"/>
                      <w:lang w:val="en-US" w:eastAsia="zh-CN"/>
                    </w:rPr>
                    <w:t>1</w:t>
                  </w:r>
                </w:p>
              </w:tc>
            </w:tr>
            <w:tr w14:paraId="5034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4" w:type="pct"/>
                  <w:vMerge w:val="continue"/>
                  <w:tcBorders>
                    <w:left w:val="nil"/>
                  </w:tcBorders>
                  <w:shd w:val="clear" w:color="auto" w:fill="FFFFFF"/>
                  <w:textDirection w:val="tbRlV"/>
                  <w:vAlign w:val="center"/>
                </w:tcPr>
                <w:p w14:paraId="5C0B36BE">
                  <w:pPr>
                    <w:pStyle w:val="70"/>
                    <w:bidi w:val="0"/>
                    <w:rPr>
                      <w:rFonts w:hint="default"/>
                    </w:rPr>
                  </w:pPr>
                </w:p>
              </w:tc>
              <w:tc>
                <w:tcPr>
                  <w:tcW w:w="556" w:type="pct"/>
                  <w:shd w:val="clear" w:color="auto" w:fill="FFFFFF"/>
                  <w:vAlign w:val="center"/>
                </w:tcPr>
                <w:p w14:paraId="1D1683EB">
                  <w:pPr>
                    <w:pStyle w:val="70"/>
                    <w:bidi w:val="0"/>
                    <w:rPr>
                      <w:rFonts w:hint="default"/>
                      <w:lang w:val="en-US" w:eastAsia="zh-CN"/>
                    </w:rPr>
                  </w:pPr>
                  <w:r>
                    <w:rPr>
                      <w:rFonts w:hint="default"/>
                    </w:rPr>
                    <w:t>废水治理</w:t>
                  </w:r>
                </w:p>
              </w:tc>
              <w:tc>
                <w:tcPr>
                  <w:tcW w:w="558" w:type="pct"/>
                  <w:shd w:val="clear" w:color="auto" w:fill="FFFFFF"/>
                  <w:vAlign w:val="center"/>
                </w:tcPr>
                <w:p w14:paraId="73E45341">
                  <w:pPr>
                    <w:pStyle w:val="70"/>
                    <w:bidi w:val="0"/>
                    <w:rPr>
                      <w:rFonts w:hint="default"/>
                    </w:rPr>
                  </w:pPr>
                  <w:r>
                    <w:rPr>
                      <w:rFonts w:hint="default"/>
                    </w:rPr>
                    <w:t>生活污水</w:t>
                  </w:r>
                </w:p>
              </w:tc>
              <w:tc>
                <w:tcPr>
                  <w:tcW w:w="2701" w:type="pct"/>
                  <w:shd w:val="clear" w:color="auto" w:fill="FFFFFF"/>
                  <w:vAlign w:val="center"/>
                </w:tcPr>
                <w:p w14:paraId="04DEACC9">
                  <w:pPr>
                    <w:pStyle w:val="70"/>
                    <w:bidi w:val="0"/>
                    <w:rPr>
                      <w:rFonts w:hint="default"/>
                    </w:rPr>
                  </w:pPr>
                  <w:r>
                    <w:rPr>
                      <w:rFonts w:hint="default"/>
                    </w:rPr>
                    <w:t>洗漱废水就地泼洒</w:t>
                  </w:r>
                </w:p>
              </w:tc>
              <w:tc>
                <w:tcPr>
                  <w:tcW w:w="869" w:type="pct"/>
                  <w:tcBorders>
                    <w:right w:val="nil"/>
                  </w:tcBorders>
                  <w:shd w:val="clear" w:color="auto" w:fill="FFFFFF"/>
                  <w:vAlign w:val="center"/>
                </w:tcPr>
                <w:p w14:paraId="252DC42A">
                  <w:pPr>
                    <w:pStyle w:val="70"/>
                    <w:bidi w:val="0"/>
                    <w:rPr>
                      <w:rFonts w:hint="default"/>
                      <w:lang w:val="en-US" w:eastAsia="zh-CN"/>
                    </w:rPr>
                  </w:pPr>
                  <w:r>
                    <w:rPr>
                      <w:rFonts w:hint="eastAsia"/>
                      <w:lang w:val="en-US" w:eastAsia="zh-CN"/>
                    </w:rPr>
                    <w:t>1</w:t>
                  </w:r>
                </w:p>
              </w:tc>
            </w:tr>
            <w:tr w14:paraId="0DDC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4" w:type="pct"/>
                  <w:vMerge w:val="continue"/>
                  <w:tcBorders>
                    <w:left w:val="nil"/>
                  </w:tcBorders>
                  <w:shd w:val="clear" w:color="auto" w:fill="FFFFFF"/>
                  <w:textDirection w:val="tbRlV"/>
                  <w:vAlign w:val="center"/>
                </w:tcPr>
                <w:p w14:paraId="343754C3">
                  <w:pPr>
                    <w:pStyle w:val="70"/>
                    <w:bidi w:val="0"/>
                    <w:rPr>
                      <w:rFonts w:hint="default"/>
                    </w:rPr>
                  </w:pPr>
                </w:p>
              </w:tc>
              <w:tc>
                <w:tcPr>
                  <w:tcW w:w="556" w:type="pct"/>
                  <w:vMerge w:val="restart"/>
                  <w:shd w:val="clear" w:color="auto" w:fill="FFFFFF"/>
                  <w:vAlign w:val="center"/>
                </w:tcPr>
                <w:p w14:paraId="0F4E9F95">
                  <w:pPr>
                    <w:pStyle w:val="70"/>
                    <w:bidi w:val="0"/>
                    <w:rPr>
                      <w:rFonts w:hint="default"/>
                      <w:lang w:val="en-US" w:eastAsia="zh-CN"/>
                    </w:rPr>
                  </w:pPr>
                  <w:r>
                    <w:rPr>
                      <w:rFonts w:hint="default"/>
                      <w:lang w:val="en-US" w:eastAsia="zh-CN"/>
                    </w:rPr>
                    <w:t>噪声治理</w:t>
                  </w:r>
                </w:p>
              </w:tc>
              <w:tc>
                <w:tcPr>
                  <w:tcW w:w="558" w:type="pct"/>
                  <w:shd w:val="clear" w:color="auto" w:fill="FFFFFF"/>
                  <w:vAlign w:val="center"/>
                </w:tcPr>
                <w:p w14:paraId="72E6BF33">
                  <w:pPr>
                    <w:pStyle w:val="70"/>
                    <w:bidi w:val="0"/>
                    <w:rPr>
                      <w:rFonts w:hint="default"/>
                      <w:lang w:val="en-US" w:eastAsia="zh-CN"/>
                    </w:rPr>
                  </w:pPr>
                  <w:r>
                    <w:rPr>
                      <w:rFonts w:hint="default"/>
                    </w:rPr>
                    <w:t>施工机械噪声</w:t>
                  </w:r>
                </w:p>
              </w:tc>
              <w:tc>
                <w:tcPr>
                  <w:tcW w:w="2701" w:type="pct"/>
                  <w:shd w:val="clear" w:color="auto" w:fill="FFFFFF"/>
                  <w:vAlign w:val="center"/>
                </w:tcPr>
                <w:p w14:paraId="2C36A27B">
                  <w:pPr>
                    <w:pStyle w:val="70"/>
                    <w:bidi w:val="0"/>
                    <w:rPr>
                      <w:rFonts w:hint="default"/>
                      <w:lang w:val="en-US" w:eastAsia="zh-CN"/>
                    </w:rPr>
                  </w:pPr>
                  <w:r>
                    <w:rPr>
                      <w:rFonts w:hint="default"/>
                    </w:rPr>
                    <w:t>设置临时围挡、隔声屏障</w:t>
                  </w:r>
                </w:p>
              </w:tc>
              <w:tc>
                <w:tcPr>
                  <w:tcW w:w="869" w:type="pct"/>
                  <w:tcBorders>
                    <w:right w:val="nil"/>
                  </w:tcBorders>
                  <w:shd w:val="clear" w:color="auto" w:fill="FFFFFF"/>
                  <w:vAlign w:val="center"/>
                </w:tcPr>
                <w:p w14:paraId="64B5B61E">
                  <w:pPr>
                    <w:pStyle w:val="70"/>
                    <w:bidi w:val="0"/>
                    <w:rPr>
                      <w:rFonts w:hint="default"/>
                      <w:lang w:val="en-US" w:eastAsia="zh-CN"/>
                    </w:rPr>
                  </w:pPr>
                  <w:r>
                    <w:rPr>
                      <w:rFonts w:hint="eastAsia"/>
                      <w:lang w:val="en-US" w:eastAsia="zh-CN"/>
                    </w:rPr>
                    <w:t>2</w:t>
                  </w:r>
                </w:p>
              </w:tc>
            </w:tr>
            <w:tr w14:paraId="30BA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4" w:type="pct"/>
                  <w:vMerge w:val="continue"/>
                  <w:tcBorders>
                    <w:left w:val="nil"/>
                  </w:tcBorders>
                  <w:shd w:val="clear" w:color="auto" w:fill="FFFFFF"/>
                  <w:textDirection w:val="tbRlV"/>
                  <w:vAlign w:val="center"/>
                </w:tcPr>
                <w:p w14:paraId="5F3BAC61">
                  <w:pPr>
                    <w:pStyle w:val="70"/>
                    <w:bidi w:val="0"/>
                    <w:rPr>
                      <w:rFonts w:hint="default"/>
                    </w:rPr>
                  </w:pPr>
                </w:p>
              </w:tc>
              <w:tc>
                <w:tcPr>
                  <w:tcW w:w="556" w:type="pct"/>
                  <w:vMerge w:val="continue"/>
                  <w:shd w:val="clear" w:color="auto" w:fill="FFFFFF"/>
                  <w:vAlign w:val="center"/>
                </w:tcPr>
                <w:p w14:paraId="16A9A3AC">
                  <w:pPr>
                    <w:pStyle w:val="70"/>
                    <w:bidi w:val="0"/>
                    <w:rPr>
                      <w:rFonts w:hint="default"/>
                      <w:lang w:val="en-US" w:eastAsia="zh-CN"/>
                    </w:rPr>
                  </w:pPr>
                </w:p>
              </w:tc>
              <w:tc>
                <w:tcPr>
                  <w:tcW w:w="558" w:type="pct"/>
                  <w:shd w:val="clear" w:color="auto" w:fill="FFFFFF"/>
                  <w:vAlign w:val="center"/>
                </w:tcPr>
                <w:p w14:paraId="3F7B75A6">
                  <w:pPr>
                    <w:pStyle w:val="70"/>
                    <w:bidi w:val="0"/>
                    <w:rPr>
                      <w:rFonts w:hint="default"/>
                      <w:lang w:val="en-US" w:eastAsia="zh-CN"/>
                    </w:rPr>
                  </w:pPr>
                  <w:r>
                    <w:rPr>
                      <w:rFonts w:hint="default"/>
                    </w:rPr>
                    <w:t>运输车辆噪声</w:t>
                  </w:r>
                </w:p>
              </w:tc>
              <w:tc>
                <w:tcPr>
                  <w:tcW w:w="2701" w:type="pct"/>
                  <w:shd w:val="clear" w:color="auto" w:fill="FFFFFF"/>
                  <w:vAlign w:val="center"/>
                </w:tcPr>
                <w:p w14:paraId="04A15108">
                  <w:pPr>
                    <w:pStyle w:val="70"/>
                    <w:bidi w:val="0"/>
                    <w:rPr>
                      <w:rFonts w:hint="default"/>
                      <w:lang w:val="en-US" w:eastAsia="zh-CN"/>
                    </w:rPr>
                  </w:pPr>
                  <w:r>
                    <w:rPr>
                      <w:rFonts w:hint="default"/>
                    </w:rPr>
                    <w:t>设置减速、禁鸣标志10个</w:t>
                  </w:r>
                </w:p>
              </w:tc>
              <w:tc>
                <w:tcPr>
                  <w:tcW w:w="869" w:type="pct"/>
                  <w:tcBorders>
                    <w:right w:val="nil"/>
                  </w:tcBorders>
                  <w:shd w:val="clear" w:color="auto" w:fill="FFFFFF"/>
                  <w:vAlign w:val="center"/>
                </w:tcPr>
                <w:p w14:paraId="726C6FDB">
                  <w:pPr>
                    <w:pStyle w:val="70"/>
                    <w:bidi w:val="0"/>
                    <w:rPr>
                      <w:rFonts w:hint="default"/>
                      <w:lang w:val="en-US" w:eastAsia="zh-CN"/>
                    </w:rPr>
                  </w:pPr>
                  <w:r>
                    <w:rPr>
                      <w:rFonts w:hint="default"/>
                      <w:lang w:val="en-US" w:eastAsia="zh-CN"/>
                    </w:rPr>
                    <w:t>0.5</w:t>
                  </w:r>
                </w:p>
              </w:tc>
            </w:tr>
            <w:tr w14:paraId="167C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4" w:type="pct"/>
                  <w:vMerge w:val="continue"/>
                  <w:tcBorders>
                    <w:left w:val="nil"/>
                  </w:tcBorders>
                  <w:shd w:val="clear" w:color="auto" w:fill="FFFFFF"/>
                  <w:textDirection w:val="tbRlV"/>
                  <w:vAlign w:val="center"/>
                </w:tcPr>
                <w:p w14:paraId="32DA3C53">
                  <w:pPr>
                    <w:pStyle w:val="70"/>
                    <w:bidi w:val="0"/>
                    <w:rPr>
                      <w:rFonts w:hint="default"/>
                    </w:rPr>
                  </w:pPr>
                </w:p>
              </w:tc>
              <w:tc>
                <w:tcPr>
                  <w:tcW w:w="556" w:type="pct"/>
                  <w:vMerge w:val="restart"/>
                  <w:shd w:val="clear" w:color="auto" w:fill="FFFFFF"/>
                  <w:vAlign w:val="center"/>
                </w:tcPr>
                <w:p w14:paraId="47FB3F72">
                  <w:pPr>
                    <w:pStyle w:val="70"/>
                    <w:bidi w:val="0"/>
                    <w:rPr>
                      <w:rFonts w:hint="default"/>
                      <w:lang w:val="en-US" w:eastAsia="zh-CN"/>
                    </w:rPr>
                  </w:pPr>
                  <w:r>
                    <w:rPr>
                      <w:rFonts w:hint="default"/>
                      <w:lang w:val="en-US" w:eastAsia="zh-CN"/>
                    </w:rPr>
                    <w:t>固废处置</w:t>
                  </w:r>
                </w:p>
              </w:tc>
              <w:tc>
                <w:tcPr>
                  <w:tcW w:w="558" w:type="pct"/>
                  <w:shd w:val="clear" w:color="auto" w:fill="FFFFFF"/>
                  <w:vAlign w:val="center"/>
                </w:tcPr>
                <w:p w14:paraId="1AD37131">
                  <w:pPr>
                    <w:pStyle w:val="70"/>
                    <w:bidi w:val="0"/>
                    <w:rPr>
                      <w:rFonts w:hint="default"/>
                    </w:rPr>
                  </w:pPr>
                  <w:r>
                    <w:rPr>
                      <w:rFonts w:hint="default"/>
                    </w:rPr>
                    <w:t>生活垃圾</w:t>
                  </w:r>
                </w:p>
              </w:tc>
              <w:tc>
                <w:tcPr>
                  <w:tcW w:w="2701" w:type="pct"/>
                  <w:shd w:val="clear" w:color="auto" w:fill="FFFFFF"/>
                  <w:vAlign w:val="center"/>
                </w:tcPr>
                <w:p w14:paraId="29D035BD">
                  <w:pPr>
                    <w:pStyle w:val="70"/>
                    <w:bidi w:val="0"/>
                    <w:rPr>
                      <w:rFonts w:hint="eastAsia"/>
                      <w:lang w:eastAsia="zh-CN"/>
                    </w:rPr>
                  </w:pPr>
                  <w:r>
                    <w:rPr>
                      <w:rFonts w:hint="default"/>
                    </w:rPr>
                    <w:t>设置8个垃圾桶，</w:t>
                  </w:r>
                  <w:r>
                    <w:rPr>
                      <w:rFonts w:hint="eastAsia"/>
                      <w:lang w:val="en-US" w:eastAsia="zh-CN"/>
                    </w:rPr>
                    <w:t>统一</w:t>
                  </w:r>
                  <w:r>
                    <w:rPr>
                      <w:rFonts w:hint="default"/>
                    </w:rPr>
                    <w:t>收集后交由环卫部</w:t>
                  </w:r>
                  <w:r>
                    <w:rPr>
                      <w:rFonts w:hint="eastAsia"/>
                      <w:lang w:val="en-US" w:eastAsia="zh-CN"/>
                    </w:rPr>
                    <w:t>门</w:t>
                  </w:r>
                  <w:r>
                    <w:rPr>
                      <w:rFonts w:hint="default"/>
                    </w:rPr>
                    <w:t>处置</w:t>
                  </w:r>
                  <w:r>
                    <w:rPr>
                      <w:rFonts w:hint="eastAsia"/>
                      <w:lang w:eastAsia="zh-CN"/>
                    </w:rPr>
                    <w:t>。</w:t>
                  </w:r>
                </w:p>
              </w:tc>
              <w:tc>
                <w:tcPr>
                  <w:tcW w:w="869" w:type="pct"/>
                  <w:tcBorders>
                    <w:right w:val="nil"/>
                  </w:tcBorders>
                  <w:shd w:val="clear" w:color="auto" w:fill="FFFFFF"/>
                  <w:vAlign w:val="center"/>
                </w:tcPr>
                <w:p w14:paraId="3336BB97">
                  <w:pPr>
                    <w:pStyle w:val="70"/>
                    <w:bidi w:val="0"/>
                    <w:rPr>
                      <w:rFonts w:hint="default"/>
                      <w:lang w:val="en-US" w:eastAsia="zh-CN"/>
                    </w:rPr>
                  </w:pPr>
                  <w:r>
                    <w:rPr>
                      <w:rFonts w:hint="default"/>
                      <w:lang w:val="en-US" w:eastAsia="zh-CN"/>
                    </w:rPr>
                    <w:t>0.5</w:t>
                  </w:r>
                </w:p>
              </w:tc>
            </w:tr>
            <w:tr w14:paraId="385B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4" w:type="pct"/>
                  <w:vMerge w:val="continue"/>
                  <w:tcBorders>
                    <w:left w:val="nil"/>
                  </w:tcBorders>
                  <w:shd w:val="clear" w:color="auto" w:fill="FFFFFF"/>
                  <w:textDirection w:val="tbRlV"/>
                  <w:vAlign w:val="center"/>
                </w:tcPr>
                <w:p w14:paraId="47F54534">
                  <w:pPr>
                    <w:pStyle w:val="70"/>
                    <w:bidi w:val="0"/>
                    <w:rPr>
                      <w:rFonts w:hint="default"/>
                    </w:rPr>
                  </w:pPr>
                </w:p>
              </w:tc>
              <w:tc>
                <w:tcPr>
                  <w:tcW w:w="556" w:type="pct"/>
                  <w:vMerge w:val="continue"/>
                  <w:shd w:val="clear" w:color="auto" w:fill="FFFFFF"/>
                  <w:vAlign w:val="center"/>
                </w:tcPr>
                <w:p w14:paraId="360F4C8C">
                  <w:pPr>
                    <w:pStyle w:val="70"/>
                    <w:bidi w:val="0"/>
                    <w:rPr>
                      <w:rFonts w:hint="default"/>
                      <w:lang w:val="en-US" w:eastAsia="zh-CN"/>
                    </w:rPr>
                  </w:pPr>
                </w:p>
              </w:tc>
              <w:tc>
                <w:tcPr>
                  <w:tcW w:w="558" w:type="pct"/>
                  <w:shd w:val="clear" w:color="auto" w:fill="FFFFFF"/>
                  <w:vAlign w:val="center"/>
                </w:tcPr>
                <w:p w14:paraId="57215C12">
                  <w:pPr>
                    <w:pStyle w:val="70"/>
                    <w:bidi w:val="0"/>
                    <w:rPr>
                      <w:rFonts w:hint="default"/>
                      <w:lang w:val="en-US" w:eastAsia="zh-CN"/>
                    </w:rPr>
                  </w:pPr>
                  <w:r>
                    <w:rPr>
                      <w:rFonts w:hint="default"/>
                      <w:lang w:val="en-US" w:eastAsia="zh-CN"/>
                    </w:rPr>
                    <w:t>植物根系</w:t>
                  </w:r>
                </w:p>
              </w:tc>
              <w:tc>
                <w:tcPr>
                  <w:tcW w:w="2701" w:type="pct"/>
                  <w:shd w:val="clear" w:color="auto" w:fill="FFFFFF"/>
                  <w:vAlign w:val="center"/>
                </w:tcPr>
                <w:p w14:paraId="0B10A277">
                  <w:pPr>
                    <w:pStyle w:val="70"/>
                    <w:bidi w:val="0"/>
                    <w:rPr>
                      <w:rFonts w:hint="default"/>
                      <w:lang w:val="en-US" w:eastAsia="zh-CN"/>
                    </w:rPr>
                  </w:pPr>
                  <w:r>
                    <w:rPr>
                      <w:rFonts w:hint="default"/>
                      <w:lang w:val="en-US" w:eastAsia="zh-CN"/>
                    </w:rPr>
                    <w:t>植物根系</w:t>
                  </w:r>
                  <w:r>
                    <w:rPr>
                      <w:rFonts w:hint="default"/>
                    </w:rPr>
                    <w:t>收集后</w:t>
                  </w:r>
                  <w:r>
                    <w:rPr>
                      <w:rFonts w:hint="eastAsia"/>
                      <w:lang w:eastAsia="zh-CN"/>
                    </w:rPr>
                    <w:t>，</w:t>
                  </w:r>
                  <w:r>
                    <w:rPr>
                      <w:rFonts w:hint="eastAsia"/>
                      <w:lang w:val="en-US" w:eastAsia="zh-CN"/>
                    </w:rPr>
                    <w:t>运至垃圾收集点。</w:t>
                  </w:r>
                </w:p>
              </w:tc>
              <w:tc>
                <w:tcPr>
                  <w:tcW w:w="869" w:type="pct"/>
                  <w:tcBorders>
                    <w:right w:val="nil"/>
                  </w:tcBorders>
                  <w:shd w:val="clear" w:color="auto" w:fill="FFFFFF"/>
                  <w:vAlign w:val="center"/>
                </w:tcPr>
                <w:p w14:paraId="73FA5039">
                  <w:pPr>
                    <w:pStyle w:val="70"/>
                    <w:bidi w:val="0"/>
                    <w:rPr>
                      <w:rFonts w:hint="default"/>
                      <w:lang w:val="en-US" w:eastAsia="zh-CN"/>
                    </w:rPr>
                  </w:pPr>
                  <w:r>
                    <w:rPr>
                      <w:rFonts w:hint="default"/>
                      <w:lang w:val="en-US" w:eastAsia="zh-CN"/>
                    </w:rPr>
                    <w:t>1</w:t>
                  </w:r>
                </w:p>
              </w:tc>
            </w:tr>
            <w:tr w14:paraId="635E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7" w:hRule="atLeast"/>
              </w:trPr>
              <w:tc>
                <w:tcPr>
                  <w:tcW w:w="314" w:type="pct"/>
                  <w:vMerge w:val="continue"/>
                  <w:tcBorders>
                    <w:left w:val="nil"/>
                  </w:tcBorders>
                  <w:shd w:val="clear" w:color="auto" w:fill="FFFFFF"/>
                  <w:textDirection w:val="tbRlV"/>
                  <w:vAlign w:val="center"/>
                </w:tcPr>
                <w:p w14:paraId="7104FD0C">
                  <w:pPr>
                    <w:pStyle w:val="70"/>
                    <w:bidi w:val="0"/>
                    <w:rPr>
                      <w:rFonts w:hint="default"/>
                    </w:rPr>
                  </w:pPr>
                </w:p>
              </w:tc>
              <w:tc>
                <w:tcPr>
                  <w:tcW w:w="1115" w:type="pct"/>
                  <w:gridSpan w:val="2"/>
                  <w:shd w:val="clear" w:color="auto" w:fill="FFFFFF"/>
                  <w:vAlign w:val="center"/>
                </w:tcPr>
                <w:p w14:paraId="0ACAD4FD">
                  <w:pPr>
                    <w:pStyle w:val="70"/>
                    <w:bidi w:val="0"/>
                    <w:rPr>
                      <w:rFonts w:hint="default"/>
                      <w:lang w:val="en-US" w:eastAsia="zh-CN"/>
                    </w:rPr>
                  </w:pPr>
                  <w:r>
                    <w:rPr>
                      <w:rFonts w:hint="default"/>
                    </w:rPr>
                    <w:t>生态</w:t>
                  </w:r>
                  <w:r>
                    <w:rPr>
                      <w:rFonts w:hint="default"/>
                      <w:lang w:val="en-US" w:eastAsia="zh-CN"/>
                    </w:rPr>
                    <w:t>恢复</w:t>
                  </w:r>
                </w:p>
              </w:tc>
              <w:tc>
                <w:tcPr>
                  <w:tcW w:w="2701" w:type="pct"/>
                  <w:shd w:val="clear" w:color="auto" w:fill="FFFFFF"/>
                  <w:vAlign w:val="center"/>
                </w:tcPr>
                <w:p w14:paraId="08609F62">
                  <w:pPr>
                    <w:pStyle w:val="70"/>
                    <w:bidi w:val="0"/>
                    <w:rPr>
                      <w:rFonts w:hint="default"/>
                      <w:lang w:val="en-US" w:eastAsia="zh-CN"/>
                    </w:rPr>
                  </w:pPr>
                  <w:r>
                    <w:rPr>
                      <w:rFonts w:hint="default"/>
                    </w:rPr>
                    <w:t>临时占地破坏地表进行植被恢复，选用本土植物</w:t>
                  </w:r>
                  <w:r>
                    <w:rPr>
                      <w:rFonts w:hint="eastAsia"/>
                      <w:lang w:eastAsia="zh-CN"/>
                    </w:rPr>
                    <w:t>，</w:t>
                  </w:r>
                  <w:r>
                    <w:rPr>
                      <w:rFonts w:hint="eastAsia"/>
                      <w:lang w:val="en-US" w:eastAsia="zh-CN"/>
                    </w:rPr>
                    <w:t>及时拆除临时设施，并进行迹地恢复。</w:t>
                  </w:r>
                </w:p>
              </w:tc>
              <w:tc>
                <w:tcPr>
                  <w:tcW w:w="869" w:type="pct"/>
                  <w:tcBorders>
                    <w:right w:val="nil"/>
                  </w:tcBorders>
                  <w:shd w:val="clear" w:color="auto" w:fill="FFFFFF"/>
                  <w:vAlign w:val="center"/>
                </w:tcPr>
                <w:p w14:paraId="719ADCFB">
                  <w:pPr>
                    <w:pStyle w:val="70"/>
                    <w:bidi w:val="0"/>
                    <w:rPr>
                      <w:rFonts w:hint="default"/>
                      <w:lang w:val="en-US" w:eastAsia="zh-CN"/>
                    </w:rPr>
                  </w:pPr>
                  <w:r>
                    <w:rPr>
                      <w:rFonts w:hint="eastAsia"/>
                      <w:lang w:val="en-US" w:eastAsia="zh-CN"/>
                    </w:rPr>
                    <w:t>10</w:t>
                  </w:r>
                </w:p>
              </w:tc>
            </w:tr>
            <w:bookmarkEnd w:id="36"/>
            <w:tr w14:paraId="1EAC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4130" w:type="pct"/>
                  <w:gridSpan w:val="4"/>
                  <w:tcBorders>
                    <w:left w:val="nil"/>
                    <w:bottom w:val="single" w:color="000000" w:sz="12" w:space="0"/>
                  </w:tcBorders>
                  <w:shd w:val="clear" w:color="auto" w:fill="FFFFFF"/>
                  <w:vAlign w:val="center"/>
                </w:tcPr>
                <w:p w14:paraId="361DFB74">
                  <w:pPr>
                    <w:pStyle w:val="70"/>
                    <w:bidi w:val="0"/>
                    <w:rPr>
                      <w:rFonts w:hint="default"/>
                    </w:rPr>
                  </w:pPr>
                  <w:r>
                    <w:rPr>
                      <w:rFonts w:hint="default"/>
                    </w:rPr>
                    <w:t>合计</w:t>
                  </w:r>
                </w:p>
              </w:tc>
              <w:tc>
                <w:tcPr>
                  <w:tcW w:w="869" w:type="pct"/>
                  <w:tcBorders>
                    <w:bottom w:val="single" w:color="000000" w:sz="12" w:space="0"/>
                    <w:right w:val="nil"/>
                  </w:tcBorders>
                  <w:shd w:val="clear" w:color="auto" w:fill="FFFFFF"/>
                  <w:vAlign w:val="center"/>
                </w:tcPr>
                <w:p w14:paraId="681BCA4B">
                  <w:pPr>
                    <w:pStyle w:val="70"/>
                    <w:bidi w:val="0"/>
                    <w:rPr>
                      <w:rFonts w:hint="default"/>
                      <w:lang w:val="en-US" w:eastAsia="zh-CN"/>
                    </w:rPr>
                  </w:pPr>
                  <w:r>
                    <w:rPr>
                      <w:rFonts w:hint="eastAsia"/>
                      <w:lang w:val="en-US" w:eastAsia="zh-CN"/>
                    </w:rPr>
                    <w:t>20</w:t>
                  </w:r>
                </w:p>
              </w:tc>
            </w:tr>
          </w:tbl>
          <w:p w14:paraId="643A3B85">
            <w:pPr>
              <w:pStyle w:val="35"/>
              <w:ind w:left="0" w:leftChars="0" w:firstLine="0" w:firstLineChars="0"/>
              <w:rPr>
                <w:rFonts w:hint="default" w:ascii="Times New Roman" w:hAnsi="Times New Roman" w:eastAsia="仿宋" w:cs="Times New Roman"/>
                <w:color w:val="000000" w:themeColor="text1"/>
                <w14:textFill>
                  <w14:solidFill>
                    <w14:schemeClr w14:val="tx1"/>
                  </w14:solidFill>
                </w14:textFill>
              </w:rPr>
            </w:pPr>
          </w:p>
        </w:tc>
      </w:tr>
    </w:tbl>
    <w:p w14:paraId="3138FD03">
      <w:pPr>
        <w:rPr>
          <w:rFonts w:hint="default" w:ascii="Times New Roman" w:hAnsi="Times New Roman" w:eastAsia="仿宋" w:cs="Times New Roman"/>
          <w:color w:val="000000" w:themeColor="text1"/>
          <w14:textFill>
            <w14:solidFill>
              <w14:schemeClr w14:val="tx1"/>
            </w14:solidFill>
          </w14:textFill>
        </w:rPr>
        <w:sectPr>
          <w:pgSz w:w="11907" w:h="16840"/>
          <w:pgMar w:top="1440" w:right="1797" w:bottom="1440" w:left="1797" w:header="851" w:footer="1077" w:gutter="0"/>
          <w:pgNumType w:fmt="decimal"/>
          <w:cols w:space="720" w:num="1"/>
          <w:docGrid w:linePitch="312" w:charSpace="0"/>
        </w:sectPr>
      </w:pPr>
    </w:p>
    <w:p w14:paraId="1BF37044">
      <w:pPr>
        <w:pStyle w:val="2"/>
        <w:numPr>
          <w:ilvl w:val="0"/>
          <w:numId w:val="4"/>
        </w:numPr>
        <w:bidi w:val="0"/>
        <w:jc w:val="center"/>
        <w:rPr>
          <w:rFonts w:hint="default"/>
        </w:rPr>
      </w:pPr>
      <w:r>
        <w:rPr>
          <w:rFonts w:hint="default"/>
        </w:rPr>
        <w:t>生态环境保护措施监督检查清单</w:t>
      </w:r>
    </w:p>
    <w:tbl>
      <w:tblPr>
        <w:tblStyle w:val="27"/>
        <w:tblW w:w="839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1"/>
        <w:gridCol w:w="4662"/>
        <w:gridCol w:w="1211"/>
        <w:gridCol w:w="850"/>
        <w:gridCol w:w="834"/>
      </w:tblGrid>
      <w:tr w14:paraId="2C525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841" w:type="dxa"/>
            <w:vMerge w:val="restart"/>
            <w:tcBorders>
              <w:top w:val="single" w:color="000000" w:sz="4" w:space="0"/>
              <w:left w:val="single" w:color="000000" w:sz="4" w:space="0"/>
              <w:bottom w:val="nil"/>
              <w:right w:val="single" w:color="000000" w:sz="4" w:space="0"/>
            </w:tcBorders>
            <w:shd w:val="clear" w:color="auto" w:fill="FFFFFF"/>
            <w:vAlign w:val="center"/>
            <mc:AlternateContent>
              <mc:Choice Requires="wpsCustomData">
                <wpsCustomData:diagonals>
                  <wpsCustomData:diagonal from="10000" to="30000">
                    <wpsCustomData:border w:val="single" w:color="000000" w:sz="4" w:space="0"/>
                  </wpsCustomData:diagonal>
                </wpsCustomData:diagonals>
              </mc:Choice>
            </mc:AlternateContent>
          </w:tcPr>
          <w:p w14:paraId="54EED3FC">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13DA3BE2">
            <w:pPr>
              <w:pStyle w:val="51"/>
              <w:keepNext w:val="0"/>
              <w:keepLines w:val="0"/>
              <w:pageBreakBefore w:val="0"/>
              <w:kinsoku/>
              <w:wordWrap/>
              <w:overflowPunct/>
              <w:topLinePunct w:val="0"/>
              <w:autoSpaceDE/>
              <w:autoSpaceDN/>
              <w:bidi w:val="0"/>
              <w:snapToGrid w:val="0"/>
              <w:ind w:firstLine="0" w:firstLineChars="0"/>
              <w:jc w:val="both"/>
              <w:textAlignment w:val="auto"/>
              <mc:AlternateContent>
                <mc:Choice Requires="wpsCustomData">
                  <wpsCustomData:diagonalParaType/>
                </mc:Choice>
              </mc:AlternateConten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要素</w:t>
            </w:r>
          </w:p>
          <w:p w14:paraId="4F162BE4">
            <w:pPr>
              <w:pStyle w:val="51"/>
              <w:keepNext w:val="0"/>
              <w:keepLines w:val="0"/>
              <w:pageBreakBefore w:val="0"/>
              <w:kinsoku/>
              <w:wordWrap/>
              <w:overflowPunct/>
              <w:topLinePunct w:val="0"/>
              <w:autoSpaceDE/>
              <w:autoSpaceDN/>
              <w:bidi w:val="0"/>
              <w:ind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内容</w:t>
            </w:r>
          </w:p>
        </w:tc>
        <w:tc>
          <w:tcPr>
            <w:tcW w:w="587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F29AD4">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施工期</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1146FF">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运营期</w:t>
            </w:r>
          </w:p>
        </w:tc>
      </w:tr>
      <w:tr w14:paraId="4734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1" w:type="dxa"/>
            <w:vMerge w:val="continue"/>
            <w:tcBorders>
              <w:top w:val="single" w:color="000000" w:sz="4" w:space="0"/>
              <w:left w:val="single" w:color="000000" w:sz="4" w:space="0"/>
              <w:bottom w:val="nil"/>
              <w:right w:val="single" w:color="000000" w:sz="4" w:space="0"/>
            </w:tcBorders>
            <w:shd w:val="clear" w:color="auto" w:fill="FFFFFF"/>
            <w:vAlign w:val="center"/>
          </w:tcPr>
          <w:p w14:paraId="36840D60">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47590">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环境保护措施</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C0F3C">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验收要求</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A6240">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环境保护措施</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E758E">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验收要求</w:t>
            </w:r>
          </w:p>
        </w:tc>
      </w:tr>
      <w:tr w14:paraId="35DDC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DDA3C">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陆生生态</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2D3C5">
            <w:pPr>
              <w:pStyle w:val="51"/>
              <w:keepNext w:val="0"/>
              <w:keepLines w:val="0"/>
              <w:pageBreakBefore w:val="0"/>
              <w:kinsoku/>
              <w:wordWrap/>
              <w:overflowPunct/>
              <w:topLinePunct w:val="0"/>
              <w:autoSpaceDE/>
              <w:autoSpaceDN/>
              <w:bidi w:val="0"/>
              <w:ind w:firstLine="0" w:firstLine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提升施工人员环保意识，严格施工界限，防止</w:t>
            </w:r>
            <w:r>
              <w:rPr>
                <w:rFonts w:hint="eastAsia" w:ascii="宋体" w:hAnsi="宋体" w:eastAsia="宋体" w:cs="宋体"/>
                <w:color w:val="000000" w:themeColor="text1"/>
                <w:sz w:val="24"/>
                <w:szCs w:val="24"/>
                <w14:textFill>
                  <w14:solidFill>
                    <w14:schemeClr w14:val="tx1"/>
                  </w14:solidFill>
                </w14:textFill>
              </w:rPr>
              <w:t>进入非施工占地区，严禁任意越界破坏周围植被。</w:t>
            </w:r>
            <w:r>
              <w:rPr>
                <w:rFonts w:hint="eastAsia" w:ascii="宋体" w:hAnsi="宋体" w:eastAsia="宋体" w:cs="宋体"/>
                <w:color w:val="000000" w:themeColor="text1"/>
                <w:sz w:val="24"/>
                <w:szCs w:val="24"/>
                <w:lang w:val="en-US" w:eastAsia="zh-CN"/>
                <w14:textFill>
                  <w14:solidFill>
                    <w14:schemeClr w14:val="tx1"/>
                  </w14:solidFill>
                </w14:textFill>
              </w:rPr>
              <w:t>严禁捕猎施工周边动物。</w:t>
            </w:r>
          </w:p>
          <w:p w14:paraId="2D1BF182">
            <w:pPr>
              <w:pStyle w:val="51"/>
              <w:keepNext w:val="0"/>
              <w:keepLines w:val="0"/>
              <w:pageBreakBefore w:val="0"/>
              <w:kinsoku/>
              <w:wordWrap/>
              <w:overflowPunct/>
              <w:topLinePunct w:val="0"/>
              <w:autoSpaceDE/>
              <w:autoSpaceDN/>
              <w:bidi w:val="0"/>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项目竣工后及时拆除临时设施，并进行迹地恢复。对施工区形成的裸地要及时采取工程措施，</w:t>
            </w:r>
            <w:r>
              <w:rPr>
                <w:rFonts w:hint="eastAsia" w:ascii="宋体" w:hAnsi="宋体" w:eastAsia="宋体" w:cs="宋体"/>
                <w:color w:val="000000" w:themeColor="text1"/>
                <w:sz w:val="24"/>
                <w:szCs w:val="24"/>
                <w:lang w:val="en-US" w:eastAsia="zh-CN"/>
                <w14:textFill>
                  <w14:solidFill>
                    <w14:schemeClr w14:val="tx1"/>
                  </w14:solidFill>
                </w14:textFill>
              </w:rPr>
              <w:t>进行植被恢复</w:t>
            </w:r>
            <w:r>
              <w:rPr>
                <w:rFonts w:hint="eastAsia" w:ascii="宋体" w:hAnsi="宋体" w:eastAsia="宋体" w:cs="宋体"/>
                <w:color w:val="000000" w:themeColor="text1"/>
                <w:sz w:val="24"/>
                <w:szCs w:val="24"/>
                <w14:textFill>
                  <w14:solidFill>
                    <w14:schemeClr w14:val="tx1"/>
                  </w14:solidFill>
                </w14:textFill>
              </w:rPr>
              <w:t>。</w:t>
            </w:r>
          </w:p>
          <w:p w14:paraId="6B4DD940">
            <w:pPr>
              <w:pStyle w:val="51"/>
              <w:keepNext w:val="0"/>
              <w:keepLines w:val="0"/>
              <w:pageBreakBefore w:val="0"/>
              <w:kinsoku/>
              <w:wordWrap/>
              <w:overflowPunct/>
              <w:topLinePunct w:val="0"/>
              <w:autoSpaceDE/>
              <w:autoSpaceDN/>
              <w:bidi w:val="0"/>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场地内垃圾清扫干净后，施工单位方可退场。再对临时工程所在区域及施工临时占地采取地表压实洒水等处理。</w:t>
            </w:r>
          </w:p>
          <w:p w14:paraId="65F73F13">
            <w:pPr>
              <w:pStyle w:val="51"/>
              <w:keepNext w:val="0"/>
              <w:keepLines w:val="0"/>
              <w:pageBreakBefore w:val="0"/>
              <w:kinsoku/>
              <w:wordWrap/>
              <w:overflowPunct/>
              <w:topLinePunct w:val="0"/>
              <w:autoSpaceDE/>
              <w:autoSpaceDN/>
              <w:bidi w:val="0"/>
              <w:ind w:firstLine="0" w:firstLineChars="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w:t>
            </w:r>
            <w:r>
              <w:rPr>
                <w:rFonts w:hint="default" w:ascii="宋体" w:hAnsi="宋体" w:eastAsia="宋体" w:cs="宋体"/>
                <w:color w:val="000000" w:themeColor="text1"/>
                <w:sz w:val="24"/>
                <w:szCs w:val="24"/>
                <w:lang w:val="en-US" w:eastAsia="zh-CN"/>
                <w14:textFill>
                  <w14:solidFill>
                    <w14:schemeClr w14:val="tx1"/>
                  </w14:solidFill>
                </w14:textFill>
              </w:rPr>
              <w:t>优化施工方案，采用先进的施工工艺，科学管理，在确保施工质量的前提下提高施工进度，尽量缩短湿地保护区路段的作业时间。</w:t>
            </w:r>
          </w:p>
          <w:p w14:paraId="7E249AA8">
            <w:pPr>
              <w:pStyle w:val="51"/>
              <w:keepNext w:val="0"/>
              <w:keepLines w:val="0"/>
              <w:pageBreakBefore w:val="0"/>
              <w:kinsoku/>
              <w:wordWrap/>
              <w:overflowPunct/>
              <w:topLinePunct w:val="0"/>
              <w:autoSpaceDE/>
              <w:autoSpaceDN/>
              <w:bidi w:val="0"/>
              <w:ind w:firstLine="0" w:firstLineChars="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5.</w:t>
            </w:r>
            <w:r>
              <w:rPr>
                <w:rFonts w:hint="default" w:ascii="宋体" w:hAnsi="宋体" w:eastAsia="宋体" w:cs="宋体"/>
                <w:color w:val="000000" w:themeColor="text1"/>
                <w:sz w:val="24"/>
                <w:szCs w:val="24"/>
                <w:lang w:val="en-US" w:eastAsia="zh-CN"/>
                <w14:textFill>
                  <w14:solidFill>
                    <w14:schemeClr w14:val="tx1"/>
                  </w14:solidFill>
                </w14:textFill>
              </w:rPr>
              <w:t>加强施工设备的管理与维修保养，定期进行维护管理和检查，发现问题及时处置，严禁漏油施工机械作业。</w:t>
            </w:r>
          </w:p>
          <w:p w14:paraId="2D59D031">
            <w:pPr>
              <w:pStyle w:val="51"/>
              <w:keepNext w:val="0"/>
              <w:keepLines w:val="0"/>
              <w:pageBreakBefore w:val="0"/>
              <w:kinsoku/>
              <w:wordWrap/>
              <w:overflowPunct/>
              <w:topLinePunct w:val="0"/>
              <w:autoSpaceDE/>
              <w:autoSpaceDN/>
              <w:bidi w:val="0"/>
              <w:ind w:firstLine="0" w:firstLineChars="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6.</w:t>
            </w:r>
            <w:r>
              <w:rPr>
                <w:rFonts w:hint="default" w:ascii="宋体" w:hAnsi="宋体" w:eastAsia="宋体" w:cs="宋体"/>
                <w:color w:val="000000" w:themeColor="text1"/>
                <w:sz w:val="24"/>
                <w:szCs w:val="24"/>
                <w:lang w:val="en-US" w:eastAsia="zh-CN"/>
                <w14:textFill>
                  <w14:solidFill>
                    <w14:schemeClr w14:val="tx1"/>
                  </w14:solidFill>
                </w14:textFill>
              </w:rPr>
              <w:t>在湿地保护区路段施工时设置警示牌，明确保护要求，提醒施工人员注意保护。</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75D26">
            <w:pPr>
              <w:pStyle w:val="51"/>
              <w:keepNext w:val="0"/>
              <w:keepLines w:val="0"/>
              <w:pageBreakBefore w:val="0"/>
              <w:kinsoku/>
              <w:wordWrap/>
              <w:overflowPunct/>
              <w:topLinePunct w:val="0"/>
              <w:autoSpaceDE/>
              <w:autoSpaceDN/>
              <w:bidi w:val="0"/>
              <w:ind w:firstLine="0" w:firstLineChars="0"/>
              <w:textAlignment w:val="auto"/>
              <w:rPr>
                <w:rFonts w:hint="default" w:ascii="宋体" w:hAnsi="宋体" w:eastAsia="宋体" w:cs="宋体"/>
                <w:color w:val="000000" w:themeColor="text1"/>
                <w:sz w:val="24"/>
                <w:szCs w:val="24"/>
                <w:lang w:val="en-US" w:eastAsia="zh-CN"/>
                <w14:textFill>
                  <w14:solidFill>
                    <w14:schemeClr w14:val="tx1"/>
                  </w14:solidFill>
                </w14:textFill>
              </w:rPr>
            </w:pPr>
            <w:bookmarkStart w:id="37" w:name="OLE_LINK75"/>
            <w:r>
              <w:rPr>
                <w:rFonts w:hint="eastAsia" w:ascii="宋体" w:hAnsi="宋体" w:eastAsia="宋体" w:cs="宋体"/>
                <w:color w:val="000000" w:themeColor="text1"/>
                <w:sz w:val="24"/>
                <w:szCs w:val="24"/>
                <w:lang w:val="en-US" w:eastAsia="zh-CN"/>
                <w14:textFill>
                  <w14:solidFill>
                    <w14:schemeClr w14:val="tx1"/>
                  </w14:solidFill>
                </w14:textFill>
              </w:rPr>
              <w:t>临时占地全部恢复</w:t>
            </w:r>
            <w:bookmarkEnd w:id="37"/>
            <w:r>
              <w:rPr>
                <w:rFonts w:hint="eastAsia" w:ascii="宋体" w:hAnsi="宋体" w:cs="宋体"/>
                <w:color w:val="000000" w:themeColor="text1"/>
                <w:sz w:val="24"/>
                <w:szCs w:val="24"/>
                <w:lang w:val="en-US" w:eastAsia="zh-CN"/>
                <w14:textFill>
                  <w14:solidFill>
                    <w14:schemeClr w14:val="tx1"/>
                  </w14:solidFill>
                </w14:textFill>
              </w:rPr>
              <w:t>，未对湿地产生不利影响</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A2BBB">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7286C">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582EF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5F8E5">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水生生态</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02B42">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lang w:val="en-US" w:eastAsia="zh-CN"/>
                <w14:textFill>
                  <w14:solidFill>
                    <w14:schemeClr w14:val="tx1"/>
                  </w14:solidFill>
                </w14:textFill>
              </w:rPr>
            </w:pPr>
            <w:bookmarkStart w:id="38" w:name="OLE_LINK76"/>
            <w:r>
              <w:rPr>
                <w:rFonts w:hint="eastAsia" w:ascii="宋体" w:hAnsi="宋体" w:eastAsia="宋体" w:cs="宋体"/>
                <w:color w:val="000000" w:themeColor="text1"/>
                <w:sz w:val="24"/>
                <w:szCs w:val="24"/>
                <w:lang w:val="en-US" w:eastAsia="zh-CN"/>
                <w14:textFill>
                  <w14:solidFill>
                    <w14:schemeClr w14:val="tx1"/>
                  </w14:solidFill>
                </w14:textFill>
              </w:rPr>
              <w:t>施工期间施工导流不改变原有渠道，施工期主要集中在枯水期，以确保对水生生态的影响最小。</w:t>
            </w:r>
            <w:bookmarkEnd w:id="38"/>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BF9DA">
            <w:pPr>
              <w:pStyle w:val="51"/>
              <w:keepNext w:val="0"/>
              <w:keepLines w:val="0"/>
              <w:pageBreakBefore w:val="0"/>
              <w:kinsoku/>
              <w:wordWrap/>
              <w:overflowPunct/>
              <w:topLinePunct w:val="0"/>
              <w:autoSpaceDE/>
              <w:autoSpaceDN/>
              <w:bidi w:val="0"/>
              <w:ind w:firstLine="0" w:firstLineChars="0"/>
              <w:textAlignment w:val="auto"/>
              <w:rPr>
                <w:rFonts w:hint="default" w:ascii="宋体" w:hAnsi="宋体" w:eastAsia="宋体" w:cs="宋体"/>
                <w:color w:val="000000" w:themeColor="text1"/>
                <w:sz w:val="24"/>
                <w:szCs w:val="24"/>
                <w:lang w:val="en-US"/>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不改变原有渠道</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8056D">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BC72F">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6C8A0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4F7DE">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地表水环境</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BE157">
            <w:pPr>
              <w:keepNext w:val="0"/>
              <w:keepLines w:val="0"/>
              <w:pageBreakBefore w:val="0"/>
              <w:widowControl/>
              <w:suppressLineNumbers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bookmarkStart w:id="39" w:name="OLE_LINK70"/>
            <w:r>
              <w:rPr>
                <w:rFonts w:hint="eastAsia" w:ascii="宋体" w:hAnsi="宋体" w:eastAsia="宋体" w:cs="宋体"/>
                <w:color w:val="000000" w:themeColor="text1"/>
                <w:sz w:val="24"/>
                <w:szCs w:val="24"/>
                <w14:textFill>
                  <w14:solidFill>
                    <w14:schemeClr w14:val="tx1"/>
                  </w14:solidFill>
                </w14:textFill>
              </w:rPr>
              <w:t>工程施工时，严禁向</w:t>
            </w:r>
            <w:r>
              <w:rPr>
                <w:rFonts w:hint="eastAsia" w:ascii="宋体" w:hAnsi="宋体" w:cs="宋体"/>
                <w:color w:val="000000" w:themeColor="text1"/>
                <w:sz w:val="24"/>
                <w:szCs w:val="24"/>
                <w:lang w:val="en-US" w:eastAsia="zh-CN"/>
                <w14:textFill>
                  <w14:solidFill>
                    <w14:schemeClr w14:val="tx1"/>
                  </w14:solidFill>
                </w14:textFill>
              </w:rPr>
              <w:t>沟渠</w:t>
            </w:r>
            <w:r>
              <w:rPr>
                <w:rFonts w:hint="eastAsia" w:ascii="宋体" w:hAnsi="宋体" w:eastAsia="宋体" w:cs="宋体"/>
                <w:color w:val="000000" w:themeColor="text1"/>
                <w:sz w:val="24"/>
                <w:szCs w:val="24"/>
                <w14:textFill>
                  <w14:solidFill>
                    <w14:schemeClr w14:val="tx1"/>
                  </w14:solidFill>
                </w14:textFill>
              </w:rPr>
              <w:t>内倾倒弃渣、垃圾。</w:t>
            </w:r>
          </w:p>
          <w:p w14:paraId="155CB161">
            <w:pPr>
              <w:keepNext w:val="0"/>
              <w:keepLines w:val="0"/>
              <w:pageBreakBefore w:val="0"/>
              <w:widowControl/>
              <w:suppressLineNumbers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施工场地加强管理，尽量保持场地平整，土石方堆放坡面应平整，避免土石方等进入</w:t>
            </w:r>
            <w:r>
              <w:rPr>
                <w:rFonts w:hint="eastAsia" w:ascii="宋体" w:hAnsi="宋体" w:cs="宋体"/>
                <w:color w:val="000000" w:themeColor="text1"/>
                <w:sz w:val="24"/>
                <w:szCs w:val="24"/>
                <w:lang w:val="en-US" w:eastAsia="zh-CN"/>
                <w14:textFill>
                  <w14:solidFill>
                    <w14:schemeClr w14:val="tx1"/>
                  </w14:solidFill>
                </w14:textFill>
              </w:rPr>
              <w:t>沟渠</w:t>
            </w:r>
            <w:r>
              <w:rPr>
                <w:rFonts w:hint="eastAsia" w:ascii="宋体" w:hAnsi="宋体" w:eastAsia="宋体" w:cs="宋体"/>
                <w:color w:val="000000" w:themeColor="text1"/>
                <w:sz w:val="24"/>
                <w:szCs w:val="24"/>
                <w:lang w:val="en-US" w:eastAsia="zh-CN"/>
                <w14:textFill>
                  <w14:solidFill>
                    <w14:schemeClr w14:val="tx1"/>
                  </w14:solidFill>
                </w14:textFill>
              </w:rPr>
              <w:t>等。</w:t>
            </w:r>
            <w:bookmarkEnd w:id="39"/>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2FB08">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不对</w:t>
            </w:r>
            <w:r>
              <w:rPr>
                <w:rFonts w:hint="eastAsia" w:ascii="宋体" w:hAnsi="宋体" w:cs="宋体"/>
                <w:color w:val="000000" w:themeColor="text1"/>
                <w:sz w:val="24"/>
                <w:szCs w:val="24"/>
                <w:lang w:val="en-US" w:eastAsia="zh-CN"/>
                <w14:textFill>
                  <w14:solidFill>
                    <w14:schemeClr w14:val="tx1"/>
                  </w14:solidFill>
                </w14:textFill>
              </w:rPr>
              <w:t>沟渠</w:t>
            </w:r>
            <w:r>
              <w:rPr>
                <w:rFonts w:hint="eastAsia" w:ascii="宋体" w:hAnsi="宋体" w:eastAsia="宋体" w:cs="宋体"/>
                <w:color w:val="000000" w:themeColor="text1"/>
                <w:sz w:val="24"/>
                <w:szCs w:val="24"/>
                <w:lang w:val="en-US" w:eastAsia="zh-CN"/>
                <w14:textFill>
                  <w14:solidFill>
                    <w14:schemeClr w14:val="tx1"/>
                  </w14:solidFill>
                </w14:textFill>
              </w:rPr>
              <w:t>产生污染</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FD5B1">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3B491">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004F1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2E56F">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地下水及土壤环境</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CC3D7">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A0F60">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2658A">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02F04">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5FAB9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0729D">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声环境</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FF851">
            <w:pPr>
              <w:pStyle w:val="51"/>
              <w:keepNext w:val="0"/>
              <w:keepLines w:val="0"/>
              <w:pageBreakBefore w:val="0"/>
              <w:kinsoku/>
              <w:wordWrap/>
              <w:overflowPunct/>
              <w:topLinePunct w:val="0"/>
              <w:autoSpaceDE/>
              <w:autoSpaceDN/>
              <w:bidi w:val="0"/>
              <w:ind w:firstLine="0" w:firstLineChars="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避免夜间施工、选用低噪声设备，不带病作业。施工机械定期保养。</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26F9D">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不对周边</w:t>
            </w:r>
            <w:r>
              <w:rPr>
                <w:rFonts w:hint="eastAsia" w:ascii="宋体" w:hAnsi="宋体" w:cs="宋体"/>
                <w:color w:val="000000" w:themeColor="text1"/>
                <w:sz w:val="24"/>
                <w:szCs w:val="24"/>
                <w:lang w:val="en-US" w:eastAsia="zh-CN"/>
                <w14:textFill>
                  <w14:solidFill>
                    <w14:schemeClr w14:val="tx1"/>
                  </w14:solidFill>
                </w14:textFill>
              </w:rPr>
              <w:t>居民</w:t>
            </w:r>
            <w:r>
              <w:rPr>
                <w:rFonts w:hint="eastAsia" w:ascii="宋体" w:hAnsi="宋体" w:eastAsia="宋体" w:cs="宋体"/>
                <w:color w:val="000000" w:themeColor="text1"/>
                <w:sz w:val="24"/>
                <w:szCs w:val="24"/>
                <w:lang w:val="en-US" w:eastAsia="zh-CN"/>
                <w14:textFill>
                  <w14:solidFill>
                    <w14:schemeClr w14:val="tx1"/>
                  </w14:solidFill>
                </w14:textFill>
              </w:rPr>
              <w:t>产生不利影响</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39977">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F6C81">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264A5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F8247">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振动</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472E0">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5738C">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396B7">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A4F42">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6E3AD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9"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1FA08">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大气环境</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D9EA1">
            <w:pPr>
              <w:pStyle w:val="51"/>
              <w:keepNext w:val="0"/>
              <w:keepLines w:val="0"/>
              <w:pageBreakBefore w:val="0"/>
              <w:kinsoku/>
              <w:wordWrap/>
              <w:overflowPunct/>
              <w:topLinePunct w:val="0"/>
              <w:autoSpaceDE/>
              <w:autoSpaceDN/>
              <w:bidi w:val="0"/>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每天进行洒水降尘，对车辆轮胎进行冲洗，设置围挡。</w:t>
            </w:r>
          </w:p>
          <w:p w14:paraId="44A7DE8E">
            <w:pPr>
              <w:pStyle w:val="51"/>
              <w:keepNext w:val="0"/>
              <w:keepLines w:val="0"/>
              <w:pageBreakBefore w:val="0"/>
              <w:kinsoku/>
              <w:wordWrap/>
              <w:overflowPunct/>
              <w:topLinePunct w:val="0"/>
              <w:autoSpaceDE/>
              <w:autoSpaceDN/>
              <w:bidi w:val="0"/>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）清理出的植物根系定期清运，不能在规定的时间内及时清运的，应当在施工场地内实施覆盖或者采取其他有效防尘措施。</w:t>
            </w:r>
          </w:p>
          <w:p w14:paraId="77F4E2F0">
            <w:pPr>
              <w:pStyle w:val="51"/>
              <w:keepNext w:val="0"/>
              <w:keepLines w:val="0"/>
              <w:pageBreakBefore w:val="0"/>
              <w:kinsoku/>
              <w:wordWrap/>
              <w:overflowPunct/>
              <w:topLinePunct w:val="0"/>
              <w:autoSpaceDE/>
              <w:autoSpaceDN/>
              <w:bidi w:val="0"/>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）土方挖填作业时，应当采取洒水压尘措施，缩短起尘操作时间；遇到四级以上大风时，不得进行土方作业。</w:t>
            </w:r>
          </w:p>
          <w:p w14:paraId="613345D1">
            <w:pPr>
              <w:pStyle w:val="51"/>
              <w:keepNext w:val="0"/>
              <w:keepLines w:val="0"/>
              <w:pageBreakBefore w:val="0"/>
              <w:kinsoku/>
              <w:wordWrap/>
              <w:overflowPunct/>
              <w:topLinePunct w:val="0"/>
              <w:autoSpaceDE/>
              <w:autoSpaceDN/>
              <w:bidi w:val="0"/>
              <w:ind w:firstLine="0" w:firstLineChars="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限制车速，减少扬尘产生。</w:t>
            </w:r>
          </w:p>
          <w:p w14:paraId="3515DCA5">
            <w:pPr>
              <w:pStyle w:val="51"/>
              <w:keepNext w:val="0"/>
              <w:keepLines w:val="0"/>
              <w:pageBreakBefore w:val="0"/>
              <w:kinsoku/>
              <w:wordWrap/>
              <w:overflowPunct/>
              <w:topLinePunct w:val="0"/>
              <w:autoSpaceDE/>
              <w:autoSpaceDN/>
              <w:bidi w:val="0"/>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）在施工场区不得设置砂石筛分等易产尘工序，仅采用人工清选出植物根系。</w:t>
            </w:r>
          </w:p>
          <w:p w14:paraId="19B36F87">
            <w:pPr>
              <w:pStyle w:val="51"/>
              <w:keepNext w:val="0"/>
              <w:keepLines w:val="0"/>
              <w:pageBreakBefore w:val="0"/>
              <w:kinsoku/>
              <w:wordWrap/>
              <w:overflowPunct/>
              <w:topLinePunct w:val="0"/>
              <w:autoSpaceDE/>
              <w:autoSpaceDN/>
              <w:bidi w:val="0"/>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）选用符合国家有关标准的施工机械和运输车辆，使用符合标准的油料或清洁能源。加强对燃油机械设备的维护和保养，使发动机处于正常、良好的工作状态。</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B06F2">
            <w:pPr>
              <w:pStyle w:val="51"/>
              <w:keepNext w:val="0"/>
              <w:keepLines w:val="0"/>
              <w:pageBreakBefore w:val="0"/>
              <w:kinsoku/>
              <w:wordWrap/>
              <w:overflowPunct/>
              <w:topLinePunct w:val="0"/>
              <w:autoSpaceDE/>
              <w:autoSpaceDN/>
              <w:bidi w:val="0"/>
              <w:ind w:firstLine="0" w:firstLineChars="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不产生明显不利影响</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6643F">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0FDC9">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6B8FD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09887">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固体废物</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52044">
            <w:pPr>
              <w:pStyle w:val="51"/>
              <w:keepNext w:val="0"/>
              <w:keepLines w:val="0"/>
              <w:pageBreakBefore w:val="0"/>
              <w:kinsoku/>
              <w:wordWrap/>
              <w:overflowPunct/>
              <w:topLinePunct w:val="0"/>
              <w:autoSpaceDE/>
              <w:autoSpaceDN/>
              <w:bidi w:val="0"/>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生活垃圾收集后交由环卫部</w:t>
            </w:r>
            <w:r>
              <w:rPr>
                <w:rFonts w:hint="eastAsia" w:ascii="宋体" w:hAnsi="宋体" w:eastAsia="宋体" w:cs="宋体"/>
                <w:color w:val="000000" w:themeColor="text1"/>
                <w:sz w:val="24"/>
                <w:szCs w:val="24"/>
                <w:lang w:val="en-US" w:eastAsia="zh-CN"/>
                <w14:textFill>
                  <w14:solidFill>
                    <w14:schemeClr w14:val="tx1"/>
                  </w14:solidFill>
                </w14:textFill>
              </w:rPr>
              <w:t>门</w:t>
            </w:r>
            <w:r>
              <w:rPr>
                <w:rFonts w:hint="eastAsia" w:ascii="宋体" w:hAnsi="宋体" w:eastAsia="宋体" w:cs="宋体"/>
                <w:color w:val="000000" w:themeColor="text1"/>
                <w:sz w:val="24"/>
                <w:szCs w:val="24"/>
                <w14:textFill>
                  <w14:solidFill>
                    <w14:schemeClr w14:val="tx1"/>
                  </w14:solidFill>
                </w14:textFill>
              </w:rPr>
              <w:t>处置</w:t>
            </w:r>
          </w:p>
          <w:p w14:paraId="61CE642F">
            <w:pPr>
              <w:pStyle w:val="51"/>
              <w:keepNext w:val="0"/>
              <w:keepLines w:val="0"/>
              <w:pageBreakBefore w:val="0"/>
              <w:kinsoku/>
              <w:wordWrap/>
              <w:overflowPunct/>
              <w:topLinePunct w:val="0"/>
              <w:autoSpaceDE/>
              <w:autoSpaceDN/>
              <w:bidi w:val="0"/>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植物根系等一般固废</w:t>
            </w:r>
            <w:r>
              <w:rPr>
                <w:rFonts w:hint="eastAsia" w:ascii="宋体" w:hAnsi="宋体" w:eastAsia="宋体" w:cs="宋体"/>
                <w:color w:val="000000" w:themeColor="text1"/>
                <w:sz w:val="24"/>
                <w:szCs w:val="24"/>
                <w:lang w:val="en-US" w:eastAsia="zh-CN"/>
                <w14:textFill>
                  <w14:solidFill>
                    <w14:schemeClr w14:val="tx1"/>
                  </w14:solidFill>
                </w14:textFill>
              </w:rPr>
              <w:t>统一收集，送至垃圾收集点。</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6CF23">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合理处置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91D10">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9A901">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24E27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307E6">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电磁环境</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1E198">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8CB8D">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3BB23">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DE6D7">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004DF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A226D">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环境风险</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8995B">
            <w:pPr>
              <w:pStyle w:val="51"/>
              <w:keepNext w:val="0"/>
              <w:keepLines w:val="0"/>
              <w:pageBreakBefore w:val="0"/>
              <w:kinsoku/>
              <w:wordWrap/>
              <w:overflowPunct/>
              <w:topLinePunct w:val="0"/>
              <w:autoSpaceDE/>
              <w:autoSpaceDN/>
              <w:bidi w:val="0"/>
              <w:ind w:firstLine="0" w:firstLineChars="0"/>
              <w:textAlignment w:val="auto"/>
              <w:rPr>
                <w:rFonts w:hint="default" w:ascii="宋体" w:hAnsi="宋体" w:eastAsia="宋体" w:cs="宋体"/>
                <w:color w:val="000000" w:themeColor="text1"/>
                <w:sz w:val="24"/>
                <w:szCs w:val="24"/>
                <w:lang w:val="en-US"/>
                <w14:textFill>
                  <w14:solidFill>
                    <w14:schemeClr w14:val="tx1"/>
                  </w14:solidFill>
                </w14:textFill>
              </w:rPr>
            </w:pPr>
            <w:bookmarkStart w:id="40" w:name="OLE_LINK63"/>
            <w:r>
              <w:rPr>
                <w:rFonts w:hint="eastAsia" w:ascii="宋体" w:hAnsi="宋体" w:eastAsia="宋体" w:cs="宋体"/>
                <w:color w:val="000000" w:themeColor="text1"/>
                <w:sz w:val="24"/>
                <w:szCs w:val="24"/>
                <w:lang w:val="en-US" w:eastAsia="zh-CN"/>
                <w14:textFill>
                  <w14:solidFill>
                    <w14:schemeClr w14:val="tx1"/>
                  </w14:solidFill>
                </w14:textFill>
              </w:rPr>
              <w:t>加强施工管理，防止废水、垃圾等危害河道。</w:t>
            </w:r>
            <w:bookmarkEnd w:id="40"/>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376F4">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5585F">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bookmarkStart w:id="41" w:name="OLE_LINK65"/>
            <w:r>
              <w:rPr>
                <w:rFonts w:hint="eastAsia" w:ascii="宋体" w:hAnsi="宋体" w:eastAsia="宋体" w:cs="宋体"/>
                <w:color w:val="000000" w:themeColor="text1"/>
                <w:sz w:val="24"/>
                <w:szCs w:val="24"/>
                <w:lang w:val="en-US" w:eastAsia="zh-CN"/>
                <w14:textFill>
                  <w14:solidFill>
                    <w14:schemeClr w14:val="tx1"/>
                  </w14:solidFill>
                </w14:textFill>
              </w:rPr>
              <w:t>竖立醒目标志牌、标线、护栏等</w:t>
            </w:r>
            <w:bookmarkEnd w:id="41"/>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1E706">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71617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58800">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环境监测</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7EFB7">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44D18">
            <w:pPr>
              <w:pStyle w:val="51"/>
              <w:keepNext w:val="0"/>
              <w:keepLines w:val="0"/>
              <w:pageBreakBefore w:val="0"/>
              <w:kinsoku/>
              <w:wordWrap/>
              <w:overflowPunct/>
              <w:topLinePunct w:val="0"/>
              <w:autoSpaceDE/>
              <w:autoSpaceDN/>
              <w:bidi w:val="0"/>
              <w:ind w:firstLine="0" w:firstLineChars="0"/>
              <w:textAlignment w:val="auto"/>
              <w:rPr>
                <w:rFonts w:hint="default" w:ascii="宋体" w:hAnsi="宋体" w:eastAsia="宋体" w:cs="宋体"/>
                <w:color w:val="000000" w:themeColor="text1"/>
                <w:sz w:val="24"/>
                <w:szCs w:val="24"/>
                <w:lang w:val="en-US"/>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FF1E4">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2A9E1">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r w14:paraId="52329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ADCEF">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其他</w:t>
            </w:r>
          </w:p>
        </w:tc>
        <w:tc>
          <w:tcPr>
            <w:tcW w:w="4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CE8F5">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30645">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8AB02">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069F2">
            <w:pPr>
              <w:pStyle w:val="51"/>
              <w:keepNext w:val="0"/>
              <w:keepLines w:val="0"/>
              <w:pageBreakBefore w:val="0"/>
              <w:kinsoku/>
              <w:wordWrap/>
              <w:overflowPunct/>
              <w:topLinePunct w:val="0"/>
              <w:autoSpaceDE/>
              <w:autoSpaceDN/>
              <w:bidi w:val="0"/>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r>
    </w:tbl>
    <w:p w14:paraId="71B903C2">
      <w:pPr>
        <w:pStyle w:val="24"/>
        <w:spacing w:before="0" w:beforeAutospacing="0" w:line="14" w:lineRule="auto"/>
        <w:jc w:val="center"/>
        <w:outlineLvl w:val="9"/>
        <w:rPr>
          <w:rFonts w:hint="default" w:ascii="Times New Roman" w:hAnsi="Times New Roman" w:eastAsia="仿宋" w:cs="Times New Roman"/>
          <w:snapToGrid w:val="0"/>
          <w:color w:val="000000" w:themeColor="text1"/>
          <w:sz w:val="30"/>
          <w:szCs w:val="30"/>
          <w14:textFill>
            <w14:solidFill>
              <w14:schemeClr w14:val="tx1"/>
            </w14:solidFill>
          </w14:textFill>
        </w:rPr>
      </w:pPr>
      <w:r>
        <w:rPr>
          <w:rFonts w:hint="default" w:ascii="Times New Roman" w:hAnsi="Times New Roman" w:eastAsia="仿宋" w:cs="Times New Roman"/>
          <w:snapToGrid w:val="0"/>
          <w:color w:val="000000" w:themeColor="text1"/>
          <w:sz w:val="30"/>
          <w:szCs w:val="30"/>
          <w14:textFill>
            <w14:solidFill>
              <w14:schemeClr w14:val="tx1"/>
            </w14:solidFill>
          </w14:textFill>
        </w:rPr>
        <w:br w:type="page"/>
      </w:r>
    </w:p>
    <w:p w14:paraId="71498C95">
      <w:pPr>
        <w:pStyle w:val="2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0"/>
        <w:rPr>
          <w:rFonts w:hint="default" w:ascii="Times New Roman" w:hAnsi="Times New Roman" w:eastAsia="仿宋" w:cs="Times New Roman"/>
          <w:snapToGrid w:val="0"/>
          <w:color w:val="000000" w:themeColor="text1"/>
          <w:sz w:val="30"/>
          <w:szCs w:val="30"/>
          <w14:textFill>
            <w14:solidFill>
              <w14:schemeClr w14:val="tx1"/>
            </w14:solidFill>
          </w14:textFill>
        </w:rPr>
      </w:pPr>
      <w:r>
        <w:rPr>
          <w:rFonts w:hint="default" w:ascii="Times New Roman" w:hAnsi="Times New Roman" w:eastAsia="仿宋" w:cs="Times New Roman"/>
          <w:snapToGrid w:val="0"/>
          <w:color w:val="000000" w:themeColor="text1"/>
          <w:sz w:val="30"/>
          <w:szCs w:val="30"/>
          <w14:textFill>
            <w14:solidFill>
              <w14:schemeClr w14:val="tx1"/>
            </w14:solidFill>
          </w14:textFill>
        </w:rPr>
        <w:t>七、结论</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54D4F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5000" w:type="pct"/>
            <w:noWrap w:val="0"/>
            <w:vAlign w:val="top"/>
          </w:tcPr>
          <w:p w14:paraId="166F37C3">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50"/>
              <w:jc w:val="both"/>
              <w:textAlignment w:val="auto"/>
              <w:rPr>
                <w:rFonts w:hint="default" w:ascii="Times New Roman" w:hAnsi="Times New Roman" w:eastAsia="仿宋" w:cs="Times New Roman"/>
                <w:color w:val="000000" w:themeColor="text1"/>
                <w:sz w:val="28"/>
                <w:szCs w:val="28"/>
                <w14:textFill>
                  <w14:solidFill>
                    <w14:schemeClr w14:val="tx1"/>
                  </w14:solidFill>
                </w14:textFill>
              </w:rPr>
            </w:pPr>
            <w:r>
              <w:rPr>
                <w:rFonts w:hint="default" w:ascii="Times New Roman" w:hAnsi="Times New Roman" w:eastAsia="仿宋" w:cs="Times New Roman"/>
                <w:color w:val="000000" w:themeColor="text1"/>
                <w:sz w:val="24"/>
                <w:szCs w:val="24"/>
                <w:lang w:val="zh-CN" w:eastAsia="zh-CN"/>
                <w14:textFill>
                  <w14:solidFill>
                    <w14:schemeClr w14:val="tx1"/>
                  </w14:solidFill>
                </w14:textFill>
              </w:rPr>
              <w:t>综上所述，</w:t>
            </w:r>
            <w:r>
              <w:rPr>
                <w:rFonts w:hint="eastAsia" w:eastAsia="仿宋" w:cs="Times New Roman"/>
                <w:color w:val="000000" w:themeColor="text1"/>
                <w:sz w:val="24"/>
                <w:szCs w:val="24"/>
                <w:lang w:val="zh-CN" w:eastAsia="zh-CN"/>
                <w14:textFill>
                  <w14:solidFill>
                    <w14:schemeClr w14:val="tx1"/>
                  </w14:solidFill>
                </w14:textFill>
              </w:rPr>
              <w:t>临泽县九眼泉河项目区小流域综合治理提质增效项目</w:t>
            </w:r>
            <w:r>
              <w:rPr>
                <w:rFonts w:hint="default" w:ascii="Times New Roman" w:hAnsi="Times New Roman" w:eastAsia="仿宋" w:cs="Times New Roman"/>
                <w:color w:val="000000" w:themeColor="text1"/>
                <w:sz w:val="24"/>
                <w:szCs w:val="24"/>
                <w:lang w:val="zh-CN" w:eastAsia="zh-CN"/>
                <w14:textFill>
                  <w14:solidFill>
                    <w14:schemeClr w14:val="tx1"/>
                  </w14:solidFill>
                </w14:textFill>
              </w:rPr>
              <w:t>符合国家产业政策。项目建成后改善居民生存环境，改善区域生态环境和人居环境。项目选址、布局合理</w:t>
            </w:r>
            <w:r>
              <w:rPr>
                <w:rFonts w:hint="eastAsia"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zh-CN" w:eastAsia="zh-CN"/>
                <w14:textFill>
                  <w14:solidFill>
                    <w14:schemeClr w14:val="tx1"/>
                  </w14:solidFill>
                </w14:textFill>
              </w:rPr>
              <w:t>在严格落实本报告提出的环境保护措施和要求的基础上，项目实施的不利环境影响总体较小，且均能得到有效控制和削减，因此，从环境保护角度分析，本项目建设是可行的。</w:t>
            </w:r>
          </w:p>
        </w:tc>
      </w:tr>
    </w:tbl>
    <w:p w14:paraId="1068445E">
      <w:pPr>
        <w:rPr>
          <w:rFonts w:hint="default" w:ascii="Times New Roman" w:hAnsi="Times New Roman" w:eastAsia="仿宋" w:cs="Times New Roman"/>
        </w:rPr>
        <w:sectPr>
          <w:pgSz w:w="11906" w:h="16838"/>
          <w:pgMar w:top="1440" w:right="1800" w:bottom="1440" w:left="1800" w:header="851" w:footer="1077" w:gutter="0"/>
          <w:pgNumType w:fmt="decimal"/>
          <w:cols w:space="720" w:num="1"/>
          <w:docGrid w:linePitch="312" w:charSpace="0"/>
        </w:sectPr>
      </w:pPr>
    </w:p>
    <w:p w14:paraId="7B6D53CC">
      <w:pPr>
        <w:keepNext w:val="0"/>
        <w:keepLines w:val="0"/>
        <w:pageBreakBefore w:val="0"/>
        <w:widowControl w:val="0"/>
        <w:kinsoku/>
        <w:wordWrap/>
        <w:overflowPunct/>
        <w:topLinePunct w:val="0"/>
        <w:autoSpaceDE/>
        <w:autoSpaceDN/>
        <w:bidi w:val="0"/>
        <w:adjustRightInd w:val="0"/>
        <w:snapToGrid w:val="0"/>
        <w:spacing w:before="192" w:beforeLines="80"/>
        <w:ind w:left="0" w:leftChars="0" w:firstLine="0" w:firstLineChars="0"/>
        <w:textAlignment w:val="auto"/>
        <w:outlineLvl w:val="0"/>
        <w:rPr>
          <w:rFonts w:hint="eastAsia" w:eastAsia="仿宋" w:cs="Times New Roman"/>
          <w:b/>
          <w:bCs/>
          <w:szCs w:val="21"/>
          <w:lang w:val="en-US" w:eastAsia="zh-CN"/>
        </w:rPr>
      </w:pPr>
      <w:r>
        <w:rPr>
          <w:rFonts w:hint="eastAsia" w:eastAsia="仿宋" w:cs="Times New Roman"/>
          <w:b/>
          <w:bCs/>
          <w:szCs w:val="21"/>
          <w:lang w:val="en-US" w:eastAsia="zh-CN"/>
        </w:rPr>
        <w:t>附图1：本项目地理位置图</w:t>
      </w:r>
    </w:p>
    <w:p w14:paraId="22F78E9A">
      <w:pPr>
        <w:pStyle w:val="35"/>
        <w:ind w:left="0" w:leftChars="0" w:firstLine="0" w:firstLineChars="0"/>
        <w:jc w:val="center"/>
      </w:pPr>
      <w:r>
        <w:rPr>
          <w:sz w:val="24"/>
        </w:rPr>
        <mc:AlternateContent>
          <mc:Choice Requires="wps">
            <w:drawing>
              <wp:anchor distT="0" distB="0" distL="114300" distR="114300" simplePos="0" relativeHeight="251660288" behindDoc="0" locked="0" layoutInCell="1" allowOverlap="1">
                <wp:simplePos x="0" y="0"/>
                <wp:positionH relativeFrom="column">
                  <wp:posOffset>2583180</wp:posOffset>
                </wp:positionH>
                <wp:positionV relativeFrom="paragraph">
                  <wp:posOffset>1148715</wp:posOffset>
                </wp:positionV>
                <wp:extent cx="1035050" cy="490855"/>
                <wp:effectExtent l="447040" t="12700" r="22860" b="29845"/>
                <wp:wrapNone/>
                <wp:docPr id="5" name="矩形标注 5"/>
                <wp:cNvGraphicFramePr/>
                <a:graphic xmlns:a="http://schemas.openxmlformats.org/drawingml/2006/main">
                  <a:graphicData uri="http://schemas.microsoft.com/office/word/2010/wordprocessingShape">
                    <wps:wsp>
                      <wps:cNvSpPr/>
                      <wps:spPr>
                        <a:xfrm>
                          <a:off x="4939030" y="3274060"/>
                          <a:ext cx="1035050" cy="490855"/>
                        </a:xfrm>
                        <a:prstGeom prst="wedgeRectCallout">
                          <a:avLst>
                            <a:gd name="adj1" fmla="val -91963"/>
                            <a:gd name="adj2" fmla="val -3978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AC507E">
                            <w:pPr>
                              <w:ind w:left="0" w:leftChars="0" w:firstLine="0" w:firstLineChars="0"/>
                              <w:jc w:val="both"/>
                              <w:rPr>
                                <w:rFonts w:hint="default" w:eastAsia="宋体"/>
                                <w:b/>
                                <w:bCs/>
                                <w:color w:val="FF0000"/>
                                <w:lang w:val="en-US" w:eastAsia="zh-CN"/>
                              </w:rPr>
                            </w:pPr>
                            <w:r>
                              <w:rPr>
                                <w:rFonts w:hint="eastAsia"/>
                                <w:b/>
                                <w:bCs/>
                                <w:color w:val="FF0000"/>
                                <w:lang w:val="en-US" w:eastAsia="zh-CN"/>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03.4pt;margin-top:90.45pt;height:38.65pt;width:81.5pt;z-index:251660288;v-text-anchor:middle;mso-width-relative:page;mso-height-relative:page;" filled="f" stroked="t" coordsize="21600,21600" o:gfxdata="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friU+NkAAAALAQAADwAAAAAAAAABACAAAAAiAAAAZHJzL2Rvd25y&#10;ZXYueG1sUEsBAhQAFAAAAAgAh07iQFPOIpGoAgAAMAUAAA4AAAAAAAAAAQAgAAAAKAEAAGRycy9l&#10;Mm9Eb2MueG1sUEsFBgAAAAAGAAYAWQEAAEIGAAAAAA==&#10;" adj="-9064,2208">
                <v:fill on="f" focussize="0,0"/>
                <v:stroke weight="2pt" color="#000000 [3213]" joinstyle="round"/>
                <v:imagedata o:title=""/>
                <o:lock v:ext="edit" aspectratio="f"/>
                <v:textbox>
                  <w:txbxContent>
                    <w:p w14:paraId="07AC507E">
                      <w:pPr>
                        <w:ind w:left="0" w:leftChars="0" w:firstLine="0" w:firstLineChars="0"/>
                        <w:jc w:val="both"/>
                        <w:rPr>
                          <w:rFonts w:hint="default" w:eastAsia="宋体"/>
                          <w:b/>
                          <w:bCs/>
                          <w:color w:val="FF0000"/>
                          <w:lang w:val="en-US" w:eastAsia="zh-CN"/>
                        </w:rPr>
                      </w:pPr>
                      <w:r>
                        <w:rPr>
                          <w:rFonts w:hint="eastAsia"/>
                          <w:b/>
                          <w:bCs/>
                          <w:color w:val="FF0000"/>
                          <w:lang w:val="en-US" w:eastAsia="zh-CN"/>
                        </w:rPr>
                        <w:t>本项目位置</w:t>
                      </w:r>
                    </w:p>
                  </w:txbxContent>
                </v:textbox>
              </v:shape>
            </w:pict>
          </mc:Fallback>
        </mc:AlternateContent>
      </w:r>
      <w:r>
        <w:rPr>
          <w:rFonts w:hint="default" w:ascii="Times New Roman" w:hAnsi="Times New Roman" w:eastAsia="仿宋" w:cs="Times New Roman"/>
          <w:sz w:val="24"/>
        </w:rPr>
        <mc:AlternateContent>
          <mc:Choice Requires="wps">
            <w:drawing>
              <wp:anchor distT="0" distB="0" distL="114300" distR="114300" simplePos="0" relativeHeight="251661312" behindDoc="0" locked="0" layoutInCell="1" allowOverlap="1">
                <wp:simplePos x="0" y="0"/>
                <wp:positionH relativeFrom="column">
                  <wp:posOffset>1934845</wp:posOffset>
                </wp:positionH>
                <wp:positionV relativeFrom="paragraph">
                  <wp:posOffset>1051560</wp:posOffset>
                </wp:positionV>
                <wp:extent cx="238125" cy="228600"/>
                <wp:effectExtent l="14605" t="15240" r="33020" b="22860"/>
                <wp:wrapNone/>
                <wp:docPr id="36" name="自选图形 12"/>
                <wp:cNvGraphicFramePr/>
                <a:graphic xmlns:a="http://schemas.openxmlformats.org/drawingml/2006/main">
                  <a:graphicData uri="http://schemas.microsoft.com/office/word/2010/wordprocessingShape">
                    <wps:wsp>
                      <wps:cNvSpPr/>
                      <wps:spPr>
                        <a:xfrm>
                          <a:off x="0" y="0"/>
                          <a:ext cx="238125" cy="228600"/>
                        </a:xfrm>
                        <a:prstGeom prst="star5">
                          <a:avLst/>
                        </a:prstGeom>
                        <a:solidFill>
                          <a:srgbClr val="FF0000"/>
                        </a:solidFill>
                        <a:ln w="9525" cap="flat" cmpd="sng">
                          <a:solidFill>
                            <a:srgbClr val="000000"/>
                          </a:solidFill>
                          <a:prstDash val="solid"/>
                          <a:miter/>
                          <a:headEnd type="none" w="med" len="med"/>
                          <a:tailEnd type="none" w="med" len="med"/>
                        </a:ln>
                      </wps:spPr>
                      <wps:txbx>
                        <w:txbxContent>
                          <w:p w14:paraId="15832E06"/>
                        </w:txbxContent>
                      </wps:txbx>
                      <wps:bodyPr vert="horz" anchor="t" anchorCtr="0" upright="1"/>
                    </wps:wsp>
                  </a:graphicData>
                </a:graphic>
              </wp:anchor>
            </w:drawing>
          </mc:Choice>
          <mc:Fallback>
            <w:pict>
              <v:shape id="自选图形 12" o:spid="_x0000_s1026" style="position:absolute;left:0pt;margin-left:152.35pt;margin-top:82.8pt;height:18pt;width:18.75pt;z-index:251661312;mso-width-relative:page;mso-height-relative:page;" fillcolor="#FF0000" filled="t" stroked="t" coordsize="238125,228600" o:gfxdata="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YNnLV2QAAAAsBAAAPAAAAAAAAAAEAIAAAACIAAABkcnMvZG93bnJldi54bWxQSwECFAAUAAAA&#10;CACHTuJA/Q5dTSYCAABWBAAADgAAAAAAAAABACAAAAAoAQAAZHJzL2Uyb0RvYy54bWxQSwUGAAAA&#10;AAYABgBZAQAAwAUAAAAA&#10;" path="m0,87317l90956,87317,119062,0,147168,87317,238124,87317,164539,141281,192647,228599,119062,174633,45477,228599,73585,141281xe">
                <v:path textboxrect="0,0,238125,228600" o:connectlocs="119062,0;0,87317;45477,228599;192647,228599;238124,87317" o:connectangles="247,164,82,82,0"/>
                <v:fill on="t" focussize="0,0"/>
                <v:stroke color="#000000" joinstyle="miter"/>
                <v:imagedata o:title=""/>
                <o:lock v:ext="edit" aspectratio="f"/>
                <v:textbox>
                  <w:txbxContent>
                    <w:p w14:paraId="15832E06"/>
                  </w:txbxContent>
                </v:textbox>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1231900</wp:posOffset>
                </wp:positionH>
                <wp:positionV relativeFrom="paragraph">
                  <wp:posOffset>4450080</wp:posOffset>
                </wp:positionV>
                <wp:extent cx="1466215" cy="304800"/>
                <wp:effectExtent l="4445" t="4445" r="15240" b="14605"/>
                <wp:wrapNone/>
                <wp:docPr id="17" name="文本框 17"/>
                <wp:cNvGraphicFramePr/>
                <a:graphic xmlns:a="http://schemas.openxmlformats.org/drawingml/2006/main">
                  <a:graphicData uri="http://schemas.microsoft.com/office/word/2010/wordprocessingShape">
                    <wps:wsp>
                      <wps:cNvSpPr txBox="1"/>
                      <wps:spPr>
                        <a:xfrm>
                          <a:off x="1503680" y="6038215"/>
                          <a:ext cx="146621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E1B56BF">
                            <w:pPr>
                              <w:ind w:left="0" w:leftChars="0" w:firstLine="0" w:firstLineChars="0"/>
                              <w:rPr>
                                <w:rFonts w:hint="default" w:eastAsia="宋体"/>
                                <w:lang w:val="en-US" w:eastAsia="zh-CN"/>
                              </w:rPr>
                            </w:pPr>
                            <w:r>
                              <w:rPr>
                                <w:rFonts w:hint="eastAsia"/>
                                <w:lang w:val="en-US" w:eastAsia="zh-CN"/>
                              </w:rPr>
                              <w:t>比例尺：1:10公里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7pt;margin-top:350.4pt;height:24pt;width:115.45pt;z-index:251666432;mso-width-relative:page;mso-height-relative:page;" fillcolor="#FFFFFF [3201]" filled="t" stroked="t" coordsize="21600,21600" o:gfxdata="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2CEVfXAAAACwEAAA8AAAAAAAAAAQAgAAAAIgAAAGRycy9kb3ducmV2LnhtbFBLAQIUABQA&#10;AAAIAIdO4kDyhs/5YwIAAMUEAAAOAAAAAAAAAAEAIAAAACYBAABkcnMvZTJvRG9jLnhtbFBLBQYA&#10;AAAABgAGAFkBAAD7BQAAAAA=&#10;">
                <v:fill on="t" focussize="0,0"/>
                <v:stroke weight="0.5pt" color="#000000 [3204]" joinstyle="round"/>
                <v:imagedata o:title=""/>
                <o:lock v:ext="edit" aspectratio="f"/>
                <v:textbox>
                  <w:txbxContent>
                    <w:p w14:paraId="4E1B56BF">
                      <w:pPr>
                        <w:ind w:left="0" w:leftChars="0" w:firstLine="0" w:firstLineChars="0"/>
                        <w:rPr>
                          <w:rFonts w:hint="default" w:eastAsia="宋体"/>
                          <w:lang w:val="en-US" w:eastAsia="zh-CN"/>
                        </w:rPr>
                      </w:pPr>
                      <w:r>
                        <w:rPr>
                          <w:rFonts w:hint="eastAsia"/>
                          <w:lang w:val="en-US" w:eastAsia="zh-CN"/>
                        </w:rPr>
                        <w:t>比例尺：1:10公里</w:t>
                      </w:r>
                    </w:p>
                  </w:txbxContent>
                </v:textbox>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6797675</wp:posOffset>
                </wp:positionH>
                <wp:positionV relativeFrom="paragraph">
                  <wp:posOffset>1905</wp:posOffset>
                </wp:positionV>
                <wp:extent cx="914400" cy="1095375"/>
                <wp:effectExtent l="4445" t="4445" r="14605" b="5080"/>
                <wp:wrapNone/>
                <wp:docPr id="15" name="文本框 15"/>
                <wp:cNvGraphicFramePr/>
                <a:graphic xmlns:a="http://schemas.openxmlformats.org/drawingml/2006/main">
                  <a:graphicData uri="http://schemas.microsoft.com/office/word/2010/wordprocessingShape">
                    <wps:wsp>
                      <wps:cNvSpPr txBox="1"/>
                      <wps:spPr>
                        <a:xfrm>
                          <a:off x="8399780" y="1656715"/>
                          <a:ext cx="914400" cy="1095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2E3B3BD">
                            <w:pPr>
                              <w:ind w:left="0" w:leftChars="0" w:firstLine="0" w:firstLineChars="0"/>
                              <w:rPr>
                                <w:rFonts w:hint="eastAsia" w:eastAsia="宋体"/>
                                <w:lang w:eastAsia="zh-CN"/>
                              </w:rPr>
                            </w:pPr>
                            <w:r>
                              <w:rPr>
                                <w:rFonts w:hint="eastAsia" w:eastAsia="宋体"/>
                                <w:lang w:eastAsia="zh-CN"/>
                              </w:rPr>
                              <w:drawing>
                                <wp:inline distT="0" distB="0" distL="114300" distR="114300">
                                  <wp:extent cx="796925" cy="911860"/>
                                  <wp:effectExtent l="0" t="0" r="0" b="2540"/>
                                  <wp:docPr id="16" name="图片 16" descr="d204df4d71abc1ce5c8ba6249b790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204df4d71abc1ce5c8ba6249b790af"/>
                                          <pic:cNvPicPr>
                                            <a:picLocks noChangeAspect="1"/>
                                          </pic:cNvPicPr>
                                        </pic:nvPicPr>
                                        <pic:blipFill>
                                          <a:blip r:embed="rId22"/>
                                          <a:stretch>
                                            <a:fillRect/>
                                          </a:stretch>
                                        </pic:blipFill>
                                        <pic:spPr>
                                          <a:xfrm>
                                            <a:off x="0" y="0"/>
                                            <a:ext cx="796925" cy="911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5.25pt;margin-top:0.15pt;height:86.25pt;width:72pt;z-index:251665408;mso-width-relative:page;mso-height-relative:page;" fillcolor="#FFFFFF [3201]" filled="t" stroked="t" coordsize="21600,21600" o:gfxdata="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yweNs1gAAAAoBAAAPAAAAAAAAAAEAIAAAACIAAABkcnMvZG93bnJldi54bWxQSwECFAAUAAAA&#10;CACHTuJA/draQ2ICAADFBAAADgAAAAAAAAABACAAAAAlAQAAZHJzL2Uyb0RvYy54bWxQSwUGAAAA&#10;AAYABgBZAQAA+QUAAAAA&#10;">
                <v:fill on="t" focussize="0,0"/>
                <v:stroke weight="0.5pt" color="#000000 [3204]" joinstyle="round"/>
                <v:imagedata o:title=""/>
                <o:lock v:ext="edit" aspectratio="f"/>
                <v:textbox>
                  <w:txbxContent>
                    <w:p w14:paraId="22E3B3BD">
                      <w:pPr>
                        <w:ind w:left="0" w:leftChars="0" w:firstLine="0" w:firstLineChars="0"/>
                        <w:rPr>
                          <w:rFonts w:hint="eastAsia" w:eastAsia="宋体"/>
                          <w:lang w:eastAsia="zh-CN"/>
                        </w:rPr>
                      </w:pPr>
                      <w:r>
                        <w:rPr>
                          <w:rFonts w:hint="eastAsia" w:eastAsia="宋体"/>
                          <w:lang w:eastAsia="zh-CN"/>
                        </w:rPr>
                        <w:drawing>
                          <wp:inline distT="0" distB="0" distL="114300" distR="114300">
                            <wp:extent cx="796925" cy="911860"/>
                            <wp:effectExtent l="0" t="0" r="0" b="2540"/>
                            <wp:docPr id="16" name="图片 16" descr="d204df4d71abc1ce5c8ba6249b790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204df4d71abc1ce5c8ba6249b790af"/>
                                    <pic:cNvPicPr>
                                      <a:picLocks noChangeAspect="1"/>
                                    </pic:cNvPicPr>
                                  </pic:nvPicPr>
                                  <pic:blipFill>
                                    <a:blip r:embed="rId22"/>
                                    <a:stretch>
                                      <a:fillRect/>
                                    </a:stretch>
                                  </pic:blipFill>
                                  <pic:spPr>
                                    <a:xfrm>
                                      <a:off x="0" y="0"/>
                                      <a:ext cx="796925" cy="911860"/>
                                    </a:xfrm>
                                    <a:prstGeom prst="rect">
                                      <a:avLst/>
                                    </a:prstGeom>
                                  </pic:spPr>
                                </pic:pic>
                              </a:graphicData>
                            </a:graphic>
                          </wp:inline>
                        </w:drawing>
                      </w:r>
                    </w:p>
                  </w:txbxContent>
                </v:textbox>
              </v:shape>
            </w:pict>
          </mc:Fallback>
        </mc:AlternateContent>
      </w:r>
      <w:r>
        <w:drawing>
          <wp:inline distT="0" distB="0" distL="114300" distR="114300">
            <wp:extent cx="6444615" cy="4777740"/>
            <wp:effectExtent l="0" t="0" r="13335" b="381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23"/>
                    <a:stretch>
                      <a:fillRect/>
                    </a:stretch>
                  </pic:blipFill>
                  <pic:spPr>
                    <a:xfrm>
                      <a:off x="0" y="0"/>
                      <a:ext cx="6444615" cy="4777740"/>
                    </a:xfrm>
                    <a:prstGeom prst="rect">
                      <a:avLst/>
                    </a:prstGeom>
                    <a:noFill/>
                    <a:ln>
                      <a:noFill/>
                    </a:ln>
                  </pic:spPr>
                </pic:pic>
              </a:graphicData>
            </a:graphic>
          </wp:inline>
        </w:drawing>
      </w:r>
    </w:p>
    <w:p w14:paraId="5826280F"/>
    <w:p w14:paraId="33B5CD70">
      <w:pPr>
        <w:pStyle w:val="33"/>
      </w:pPr>
    </w:p>
    <w:p w14:paraId="259B99B3">
      <w:pPr>
        <w:pStyle w:val="33"/>
        <w:ind w:left="0" w:leftChars="0" w:firstLine="0" w:firstLineChars="0"/>
        <w:rPr>
          <w:rFonts w:hint="eastAsia"/>
          <w:lang w:val="en-US" w:eastAsia="zh-CN"/>
        </w:rPr>
      </w:pPr>
      <w:r>
        <w:rPr>
          <w:rFonts w:hint="eastAsia"/>
          <w:lang w:val="en-US" w:eastAsia="zh-CN"/>
        </w:rPr>
        <w:t>附图2：项目工程平面布置图</w:t>
      </w:r>
    </w:p>
    <w:p w14:paraId="69AB1CDA">
      <w:pPr>
        <w:pStyle w:val="33"/>
        <w:rPr>
          <w:rFonts w:hint="eastAsia"/>
          <w:lang w:val="en-US" w:eastAsia="zh-CN"/>
        </w:rPr>
      </w:pPr>
      <w:r>
        <w:rPr>
          <w:rFonts w:hint="eastAsia"/>
          <w:lang w:val="en-US" w:eastAsia="zh-CN"/>
        </w:rPr>
        <w:drawing>
          <wp:inline distT="0" distB="0" distL="114300" distR="114300">
            <wp:extent cx="7620000" cy="4941570"/>
            <wp:effectExtent l="0" t="0" r="0" b="0"/>
            <wp:docPr id="1" name="图片 1" descr="项目工程平面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项目工程平面布置图"/>
                    <pic:cNvPicPr>
                      <a:picLocks noChangeAspect="1"/>
                    </pic:cNvPicPr>
                  </pic:nvPicPr>
                  <pic:blipFill>
                    <a:blip r:embed="rId24"/>
                    <a:srcRect l="1777" t="4101" r="4700" b="10109"/>
                    <a:stretch>
                      <a:fillRect/>
                    </a:stretch>
                  </pic:blipFill>
                  <pic:spPr>
                    <a:xfrm>
                      <a:off x="0" y="0"/>
                      <a:ext cx="7620000" cy="4941570"/>
                    </a:xfrm>
                    <a:prstGeom prst="rect">
                      <a:avLst/>
                    </a:prstGeom>
                  </pic:spPr>
                </pic:pic>
              </a:graphicData>
            </a:graphic>
          </wp:inline>
        </w:drawing>
      </w:r>
    </w:p>
    <w:p w14:paraId="2B82BD01">
      <w:pPr>
        <w:pStyle w:val="33"/>
        <w:rPr>
          <w:rFonts w:hint="default"/>
          <w:lang w:val="en-US" w:eastAsia="zh-CN"/>
        </w:rPr>
        <w:sectPr>
          <w:pgSz w:w="16838" w:h="11906" w:orient="landscape"/>
          <w:pgMar w:top="1417" w:right="1440" w:bottom="1417" w:left="1440" w:header="851" w:footer="1077" w:gutter="0"/>
          <w:pgNumType w:fmt="decimal"/>
          <w:cols w:space="0" w:num="1"/>
          <w:rtlGutter w:val="0"/>
          <w:docGrid w:linePitch="312" w:charSpace="0"/>
        </w:sectPr>
      </w:pPr>
      <w:r>
        <w:rPr>
          <w:rFonts w:hint="default"/>
          <w:lang w:val="en-US" w:eastAsia="zh-CN"/>
        </w:rPr>
        <w:drawing>
          <wp:inline distT="0" distB="0" distL="114300" distR="114300">
            <wp:extent cx="7548245" cy="5013325"/>
            <wp:effectExtent l="0" t="0" r="0" b="0"/>
            <wp:docPr id="11" name="图片 11" descr="项目工程平面布置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项目工程平面布置图1"/>
                    <pic:cNvPicPr>
                      <a:picLocks noChangeAspect="1"/>
                    </pic:cNvPicPr>
                  </pic:nvPicPr>
                  <pic:blipFill>
                    <a:blip r:embed="rId25"/>
                    <a:srcRect l="3149" t="3947" r="4209" b="9018"/>
                    <a:stretch>
                      <a:fillRect/>
                    </a:stretch>
                  </pic:blipFill>
                  <pic:spPr>
                    <a:xfrm>
                      <a:off x="0" y="0"/>
                      <a:ext cx="7548245" cy="5013325"/>
                    </a:xfrm>
                    <a:prstGeom prst="rect">
                      <a:avLst/>
                    </a:prstGeom>
                  </pic:spPr>
                </pic:pic>
              </a:graphicData>
            </a:graphic>
          </wp:inline>
        </w:drawing>
      </w:r>
    </w:p>
    <w:p w14:paraId="59DA6899">
      <w:pPr>
        <w:keepNext w:val="0"/>
        <w:keepLines w:val="0"/>
        <w:pageBreakBefore w:val="0"/>
        <w:widowControl/>
        <w:kinsoku/>
        <w:wordWrap/>
        <w:overflowPunct/>
        <w:topLinePunct w:val="0"/>
        <w:autoSpaceDE/>
        <w:autoSpaceDN/>
        <w:bidi w:val="0"/>
        <w:adjustRightInd w:val="0"/>
        <w:snapToGrid w:val="0"/>
        <w:spacing w:before="192" w:beforeLines="80"/>
        <w:ind w:left="0" w:leftChars="0" w:firstLine="0" w:firstLineChars="0"/>
        <w:jc w:val="left"/>
        <w:textAlignment w:val="auto"/>
        <w:outlineLvl w:val="0"/>
        <w:rPr>
          <w:rFonts w:hint="eastAsia" w:eastAsia="仿宋" w:cs="Times New Roman"/>
          <w:b/>
          <w:bCs/>
          <w:lang w:val="en-US" w:eastAsia="zh-CN"/>
        </w:rPr>
      </w:pPr>
      <w:r>
        <w:rPr>
          <w:rFonts w:hint="eastAsia" w:eastAsia="仿宋" w:cs="Times New Roman"/>
          <w:b/>
          <w:bCs/>
          <w:lang w:val="en-US" w:eastAsia="zh-CN"/>
        </w:rPr>
        <w:t>附图3：项目评价区土地利用现状图</w:t>
      </w:r>
    </w:p>
    <w:p w14:paraId="110E17B1">
      <w:pPr>
        <w:pStyle w:val="33"/>
        <w:rPr>
          <w:rFonts w:hint="default" w:ascii="Times New Roman" w:hAnsi="Times New Roman" w:eastAsia="仿宋" w:cs="Times New Roman"/>
          <w:kern w:val="2"/>
          <w:sz w:val="24"/>
          <w:szCs w:val="24"/>
          <w:lang w:val="en-US" w:eastAsia="zh-CN" w:bidi="ar-SA"/>
        </w:rPr>
      </w:pPr>
      <w:r>
        <w:rPr>
          <w:rFonts w:hint="default"/>
          <w:lang w:val="en-US" w:eastAsia="zh-CN"/>
        </w:rPr>
        <w:drawing>
          <wp:inline distT="0" distB="0" distL="114300" distR="114300">
            <wp:extent cx="6715125" cy="4535805"/>
            <wp:effectExtent l="0" t="0" r="0" b="0"/>
            <wp:docPr id="14" name="图片 14" descr="土地利用类型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土地利用类型分布图"/>
                    <pic:cNvPicPr>
                      <a:picLocks noChangeAspect="1"/>
                    </pic:cNvPicPr>
                  </pic:nvPicPr>
                  <pic:blipFill>
                    <a:blip r:embed="rId26"/>
                    <a:srcRect l="5164" t="4471" r="4729" b="9437"/>
                    <a:stretch>
                      <a:fillRect/>
                    </a:stretch>
                  </pic:blipFill>
                  <pic:spPr>
                    <a:xfrm>
                      <a:off x="0" y="0"/>
                      <a:ext cx="6715125" cy="4535805"/>
                    </a:xfrm>
                    <a:prstGeom prst="rect">
                      <a:avLst/>
                    </a:prstGeom>
                  </pic:spPr>
                </pic:pic>
              </a:graphicData>
            </a:graphic>
          </wp:inline>
        </w:drawing>
      </w:r>
    </w:p>
    <w:p w14:paraId="4628FBD5">
      <w:pPr>
        <w:bidi w:val="0"/>
        <w:ind w:left="0" w:leftChars="0" w:firstLine="0" w:firstLineChars="0"/>
        <w:jc w:val="center"/>
        <w:rPr>
          <w:rFonts w:hint="default" w:ascii="Times New Roman" w:hAnsi="Times New Roman" w:eastAsia="仿宋" w:cs="Times New Roman"/>
          <w:kern w:val="2"/>
          <w:sz w:val="24"/>
          <w:szCs w:val="24"/>
          <w:lang w:val="en-US" w:eastAsia="zh-CN" w:bidi="ar-SA"/>
        </w:rPr>
        <w:sectPr>
          <w:pgSz w:w="16838" w:h="11906" w:orient="landscape"/>
          <w:pgMar w:top="1800" w:right="1440" w:bottom="1800" w:left="1440" w:header="851" w:footer="1077" w:gutter="0"/>
          <w:pgNumType w:fmt="decimal"/>
          <w:cols w:space="720" w:num="1"/>
          <w:docGrid w:linePitch="312" w:charSpace="0"/>
        </w:sectPr>
      </w:pPr>
    </w:p>
    <w:p w14:paraId="0EB4265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0"/>
        <w:rPr>
          <w:rFonts w:hint="default" w:eastAsia="仿宋" w:cs="Times New Roman"/>
          <w:b/>
          <w:bCs/>
          <w:lang w:val="en-US" w:eastAsia="zh-CN"/>
        </w:rPr>
      </w:pPr>
      <w:r>
        <w:rPr>
          <w:rFonts w:hint="eastAsia" w:eastAsia="仿宋" w:cs="Times New Roman"/>
          <w:b/>
          <w:bCs/>
          <w:lang w:val="en-US" w:eastAsia="zh-CN"/>
        </w:rPr>
        <w:t>附图4：项目评价范围内植被类型分布图</w:t>
      </w:r>
    </w:p>
    <w:p w14:paraId="00F1A078">
      <w:pPr>
        <w:pStyle w:val="34"/>
        <w:jc w:val="both"/>
        <w:rPr>
          <w:rFonts w:hint="eastAsia"/>
          <w:lang w:val="en-US" w:eastAsia="zh-CN"/>
        </w:rPr>
      </w:pPr>
    </w:p>
    <w:p w14:paraId="15E2991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default" w:eastAsia="仿宋" w:cs="Times New Roman"/>
          <w:b/>
          <w:bCs/>
          <w:lang w:val="en-US" w:eastAsia="zh-CN"/>
        </w:rPr>
        <w:sectPr>
          <w:pgSz w:w="16838" w:h="11905" w:orient="landscape"/>
          <w:pgMar w:top="1417" w:right="1440" w:bottom="1417" w:left="1440" w:header="851" w:footer="1077" w:gutter="0"/>
          <w:pgNumType w:fmt="decimal"/>
          <w:cols w:space="0" w:num="1"/>
          <w:rtlGutter w:val="0"/>
          <w:docGrid w:linePitch="312" w:charSpace="0"/>
        </w:sectPr>
      </w:pPr>
      <w:r>
        <w:rPr>
          <w:rFonts w:hint="default" w:eastAsia="仿宋" w:cs="Times New Roman"/>
          <w:b/>
          <w:bCs/>
          <w:lang w:val="en-US" w:eastAsia="zh-CN"/>
        </w:rPr>
        <w:drawing>
          <wp:inline distT="0" distB="0" distL="114300" distR="114300">
            <wp:extent cx="7393940" cy="5196840"/>
            <wp:effectExtent l="0" t="0" r="0" b="0"/>
            <wp:docPr id="21" name="图片 21" descr="植被类型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植被类型分布图"/>
                    <pic:cNvPicPr>
                      <a:picLocks noChangeAspect="1"/>
                    </pic:cNvPicPr>
                  </pic:nvPicPr>
                  <pic:blipFill>
                    <a:blip r:embed="rId27"/>
                    <a:srcRect l="4590" r="4661" b="9778"/>
                    <a:stretch>
                      <a:fillRect/>
                    </a:stretch>
                  </pic:blipFill>
                  <pic:spPr>
                    <a:xfrm>
                      <a:off x="0" y="0"/>
                      <a:ext cx="7393940" cy="5196840"/>
                    </a:xfrm>
                    <a:prstGeom prst="rect">
                      <a:avLst/>
                    </a:prstGeom>
                  </pic:spPr>
                </pic:pic>
              </a:graphicData>
            </a:graphic>
          </wp:inline>
        </w:drawing>
      </w:r>
    </w:p>
    <w:p w14:paraId="30A9AA88">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0"/>
        <w:rPr>
          <w:rFonts w:hint="default" w:ascii="Times New Roman" w:hAnsi="Times New Roman" w:eastAsia="仿宋" w:cs="Times New Roman"/>
          <w:lang w:val="en-US" w:eastAsia="zh-CN"/>
        </w:rPr>
      </w:pPr>
      <w:r>
        <w:rPr>
          <w:rFonts w:hint="eastAsia" w:eastAsia="仿宋" w:cs="Times New Roman"/>
          <w:b/>
          <w:bCs/>
          <w:lang w:val="en-US" w:eastAsia="zh-CN"/>
        </w:rPr>
        <w:t>附图5：敏感目标分布图</w:t>
      </w:r>
    </w:p>
    <w:p w14:paraId="461E21F9">
      <w:pPr>
        <w:pStyle w:val="34"/>
        <w:jc w:val="center"/>
        <w:rPr>
          <w:rFonts w:hint="default"/>
          <w:lang w:val="en-US" w:eastAsia="zh-CN"/>
        </w:rPr>
        <w:sectPr>
          <w:pgSz w:w="16838" w:h="11905" w:orient="landscape"/>
          <w:pgMar w:top="1417" w:right="1440" w:bottom="1417" w:left="1440" w:header="851" w:footer="1077" w:gutter="0"/>
          <w:pgNumType w:fmt="decimal"/>
          <w:cols w:space="0" w:num="1"/>
          <w:rtlGutter w:val="0"/>
          <w:docGrid w:linePitch="312" w:charSpace="0"/>
        </w:sectPr>
      </w:pPr>
      <w:r>
        <w:rPr>
          <w:rFonts w:hint="default"/>
          <w:lang w:val="en-US" w:eastAsia="zh-CN"/>
        </w:rPr>
        <w:drawing>
          <wp:inline distT="0" distB="0" distL="114300" distR="114300">
            <wp:extent cx="7315835" cy="5226685"/>
            <wp:effectExtent l="0" t="0" r="0" b="0"/>
            <wp:docPr id="23" name="图片 23" descr="环境保护目标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环境保护目标分布图"/>
                    <pic:cNvPicPr>
                      <a:picLocks noChangeAspect="1"/>
                    </pic:cNvPicPr>
                  </pic:nvPicPr>
                  <pic:blipFill>
                    <a:blip r:embed="rId28"/>
                    <a:srcRect l="3055" r="7155" b="9260"/>
                    <a:stretch>
                      <a:fillRect/>
                    </a:stretch>
                  </pic:blipFill>
                  <pic:spPr>
                    <a:xfrm>
                      <a:off x="0" y="0"/>
                      <a:ext cx="7315835" cy="5226685"/>
                    </a:xfrm>
                    <a:prstGeom prst="rect">
                      <a:avLst/>
                    </a:prstGeom>
                  </pic:spPr>
                </pic:pic>
              </a:graphicData>
            </a:graphic>
          </wp:inline>
        </w:drawing>
      </w:r>
    </w:p>
    <w:p w14:paraId="440A2CEB">
      <w:pPr>
        <w:ind w:left="0" w:leftChars="0" w:firstLine="0" w:firstLineChars="0"/>
        <w:jc w:val="both"/>
        <w:outlineLvl w:val="0"/>
        <w:rPr>
          <w:rFonts w:hint="default" w:eastAsia="仿宋" w:cs="Times New Roman"/>
          <w:lang w:val="en-US" w:eastAsia="zh-CN"/>
        </w:rPr>
      </w:pPr>
      <w:r>
        <w:rPr>
          <w:rFonts w:hint="eastAsia" w:eastAsia="仿宋" w:cs="Times New Roman"/>
          <w:b/>
          <w:bCs/>
          <w:lang w:val="en-US" w:eastAsia="zh-CN"/>
        </w:rPr>
        <w:t>附图6：项目与一般湿地位置关系图</w:t>
      </w:r>
    </w:p>
    <w:p w14:paraId="34E509B6">
      <w:pPr>
        <w:ind w:left="0" w:leftChars="0" w:firstLine="0" w:firstLineChars="0"/>
        <w:jc w:val="center"/>
        <w:rPr>
          <w:rFonts w:hint="default" w:eastAsia="仿宋" w:cs="Times New Roman"/>
          <w:lang w:val="en-US" w:eastAsia="zh-CN"/>
        </w:rPr>
        <w:sectPr>
          <w:pgSz w:w="16838" w:h="11905" w:orient="landscape"/>
          <w:pgMar w:top="1417" w:right="1440" w:bottom="1417" w:left="1440" w:header="851" w:footer="1077" w:gutter="0"/>
          <w:pgNumType w:fmt="decimal"/>
          <w:cols w:space="0" w:num="1"/>
          <w:rtlGutter w:val="0"/>
          <w:docGrid w:linePitch="312" w:charSpace="0"/>
        </w:sectPr>
      </w:pPr>
      <w:r>
        <w:rPr>
          <w:rFonts w:hint="default" w:eastAsia="仿宋" w:cs="Times New Roman"/>
          <w:lang w:val="en-US" w:eastAsia="zh-CN"/>
        </w:rPr>
        <w:drawing>
          <wp:inline distT="0" distB="0" distL="114300" distR="114300">
            <wp:extent cx="8147685" cy="5363845"/>
            <wp:effectExtent l="0" t="0" r="0" b="0"/>
            <wp:docPr id="9" name="图片 9" descr="项目与一般湿地位置关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项目与一般湿地位置关系"/>
                    <pic:cNvPicPr>
                      <a:picLocks noChangeAspect="1"/>
                    </pic:cNvPicPr>
                  </pic:nvPicPr>
                  <pic:blipFill>
                    <a:blip r:embed="rId29"/>
                    <a:srcRect b="6879"/>
                    <a:stretch>
                      <a:fillRect/>
                    </a:stretch>
                  </pic:blipFill>
                  <pic:spPr>
                    <a:xfrm>
                      <a:off x="0" y="0"/>
                      <a:ext cx="8147685" cy="5363845"/>
                    </a:xfrm>
                    <a:prstGeom prst="rect">
                      <a:avLst/>
                    </a:prstGeom>
                  </pic:spPr>
                </pic:pic>
              </a:graphicData>
            </a:graphic>
          </wp:inline>
        </w:drawing>
      </w:r>
    </w:p>
    <w:p w14:paraId="293C8A0A">
      <w:pPr>
        <w:ind w:left="0" w:leftChars="0" w:firstLine="0" w:firstLineChars="0"/>
        <w:outlineLvl w:val="0"/>
        <w:rPr>
          <w:rFonts w:hint="eastAsia" w:ascii="Times New Roman" w:hAnsi="Times New Roman" w:eastAsia="仿宋_GB2312" w:cs="Times New Roman"/>
          <w:b/>
          <w:bCs/>
          <w:color w:val="000000"/>
          <w:lang w:val="en-US" w:eastAsia="zh-CN"/>
        </w:rPr>
      </w:pPr>
      <w:r>
        <w:rPr>
          <w:rFonts w:hint="eastAsia" w:ascii="Times New Roman" w:hAnsi="Times New Roman" w:eastAsia="仿宋_GB2312" w:cs="Times New Roman"/>
          <w:b/>
          <w:bCs/>
          <w:color w:val="000000"/>
          <w:lang w:eastAsia="zh-CN"/>
        </w:rPr>
        <w:t>附</w:t>
      </w:r>
      <w:r>
        <w:rPr>
          <w:rFonts w:hint="eastAsia" w:eastAsia="仿宋_GB2312" w:cs="Times New Roman"/>
          <w:b/>
          <w:bCs/>
          <w:color w:val="000000"/>
          <w:lang w:val="en-US" w:eastAsia="zh-CN"/>
        </w:rPr>
        <w:t>图7</w:t>
      </w:r>
      <w:r>
        <w:rPr>
          <w:rFonts w:hint="eastAsia" w:ascii="Times New Roman" w:hAnsi="Times New Roman" w:eastAsia="仿宋_GB2312" w:cs="Times New Roman"/>
          <w:b/>
          <w:bCs/>
          <w:color w:val="000000"/>
          <w:lang w:val="en-US" w:eastAsia="zh-CN"/>
        </w:rPr>
        <w:t>：项目与甘肃省管控单元位置关系示意图</w:t>
      </w:r>
    </w:p>
    <w:p w14:paraId="402087E0">
      <w:pPr>
        <w:bidi w:val="0"/>
        <w:rPr>
          <w:rFonts w:hint="default" w:ascii="Times New Roman" w:hAnsi="Times New Roman" w:eastAsia="仿宋_GB2312" w:cs="Times New Roman"/>
          <w:b/>
          <w:bCs/>
          <w:color w:val="000000"/>
          <w:lang w:val="en-US" w:eastAsia="zh-CN"/>
        </w:rPr>
      </w:pPr>
      <w:r>
        <w:rPr>
          <w:rFonts w:hint="default" w:ascii="Times New Roman" w:hAnsi="Times New Roman" w:eastAsia="仿宋_GB2312" w:cs="Times New Roman"/>
          <w:color w:val="000000"/>
          <w:sz w:val="20"/>
        </w:rPr>
        <mc:AlternateContent>
          <mc:Choice Requires="wps">
            <w:drawing>
              <wp:anchor distT="0" distB="0" distL="114300" distR="114300" simplePos="0" relativeHeight="251667456" behindDoc="0" locked="0" layoutInCell="1" allowOverlap="1">
                <wp:simplePos x="0" y="0"/>
                <wp:positionH relativeFrom="column">
                  <wp:posOffset>3482975</wp:posOffset>
                </wp:positionH>
                <wp:positionV relativeFrom="paragraph">
                  <wp:posOffset>1202055</wp:posOffset>
                </wp:positionV>
                <wp:extent cx="756920" cy="873760"/>
                <wp:effectExtent l="3810" t="3175" r="20320" b="18415"/>
                <wp:wrapNone/>
                <wp:docPr id="18" name="直接箭头连接符 18"/>
                <wp:cNvGraphicFramePr/>
                <a:graphic xmlns:a="http://schemas.openxmlformats.org/drawingml/2006/main">
                  <a:graphicData uri="http://schemas.microsoft.com/office/word/2010/wordprocessingShape">
                    <wps:wsp>
                      <wps:cNvCnPr>
                        <a:stCxn id="19" idx="2"/>
                      </wps:cNvCnPr>
                      <wps:spPr>
                        <a:xfrm flipH="1">
                          <a:off x="0" y="0"/>
                          <a:ext cx="756920" cy="87376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flip:x;margin-left:274.25pt;margin-top:94.65pt;height:68.8pt;width:59.6pt;z-index:251667456;mso-width-relative:page;mso-height-relative:page;" filled="f" stroked="t" coordsize="21600,21600" o:gfxdata="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52k9kA&#10;AAALAQAADwAAAAAAAAABACAAAAAiAAAAZHJzL2Rvd25yZXYueG1sUEsBAhQAFAAAAAgAh07iQIiI&#10;GWQeAgAALQQAAA4AAAAAAAAAAQAgAAAAKAEAAGRycy9lMm9Eb2MueG1sUEsFBgAAAAAGAAYAWQEA&#10;ALgFAAAAAA==&#10;">
                <v:fill on="f" focussize="0,0"/>
                <v:stroke color="#000000" joinstyle="round"/>
                <v:imagedata o:title=""/>
                <o:lock v:ext="edit" aspectratio="f"/>
              </v:shape>
            </w:pict>
          </mc:Fallback>
        </mc:AlternateContent>
      </w:r>
      <w:r>
        <w:rPr>
          <w:rFonts w:hint="default" w:ascii="Times New Roman" w:hAnsi="Times New Roman" w:eastAsia="仿宋_GB2312" w:cs="Times New Roman"/>
          <w:color w:val="000000"/>
          <w:sz w:val="20"/>
        </w:rPr>
        <mc:AlternateContent>
          <mc:Choice Requires="wps">
            <w:drawing>
              <wp:anchor distT="0" distB="0" distL="114300" distR="114300" simplePos="0" relativeHeight="251668480" behindDoc="0" locked="0" layoutInCell="1" allowOverlap="1">
                <wp:simplePos x="0" y="0"/>
                <wp:positionH relativeFrom="column">
                  <wp:posOffset>3745230</wp:posOffset>
                </wp:positionH>
                <wp:positionV relativeFrom="paragraph">
                  <wp:posOffset>869950</wp:posOffset>
                </wp:positionV>
                <wp:extent cx="989330" cy="332105"/>
                <wp:effectExtent l="4445" t="4445" r="15875" b="6350"/>
                <wp:wrapNone/>
                <wp:docPr id="19" name="流程图: 可选过程 19"/>
                <wp:cNvGraphicFramePr/>
                <a:graphic xmlns:a="http://schemas.openxmlformats.org/drawingml/2006/main">
                  <a:graphicData uri="http://schemas.microsoft.com/office/word/2010/wordprocessingShape">
                    <wps:wsp>
                      <wps:cNvSpPr/>
                      <wps:spPr>
                        <a:xfrm>
                          <a:off x="0" y="0"/>
                          <a:ext cx="989330" cy="332105"/>
                        </a:xfrm>
                        <a:prstGeom prst="flowChartAlternateProcess">
                          <a:avLst/>
                        </a:prstGeom>
                        <a:solidFill>
                          <a:srgbClr val="FFFFFF"/>
                        </a:solidFill>
                        <a:ln w="9525" cap="flat" cmpd="sng" algn="ctr">
                          <a:solidFill>
                            <a:srgbClr val="000000"/>
                          </a:solidFill>
                          <a:prstDash val="solid"/>
                        </a:ln>
                        <a:effectLst/>
                      </wps:spPr>
                      <wps:txbx>
                        <w:txbxContent>
                          <w:p w14:paraId="0F48F4D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color w:val="000000"/>
                                <w:lang w:eastAsia="zh-CN"/>
                              </w:rPr>
                            </w:pPr>
                            <w:r>
                              <w:rPr>
                                <w:rFonts w:hint="eastAsia"/>
                                <w:color w:val="000000"/>
                                <w:lang w:eastAsia="zh-CN"/>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294.9pt;margin-top:68.5pt;height:26.15pt;width:77.9pt;z-index:251668480;v-text-anchor:middle;mso-width-relative:page;mso-height-relative:page;" fillcolor="#FFFFFF" filled="t" stroked="t" coordsize="21600,21600" o:gfxdata="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YFffnbAAAACwEAAA8AAAAAAAAAAQAgAAAAIgAAAGRycy9kb3ducmV2LnhtbFBLAQIUABQAAAAI&#10;AIdO4kBEyxk2lQIAABwFAAAOAAAAAAAAAAEAIAAAACoBAABkcnMvZTJvRG9jLnhtbFBLBQYAAAAA&#10;BgAGAFkBAAAxBgAAAAA=&#10;">
                <v:fill on="t" focussize="0,0"/>
                <v:stroke color="#000000" joinstyle="round"/>
                <v:imagedata o:title=""/>
                <o:lock v:ext="edit" aspectratio="f"/>
                <v:textbox>
                  <w:txbxContent>
                    <w:p w14:paraId="0F48F4D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color w:val="000000"/>
                          <w:lang w:eastAsia="zh-CN"/>
                        </w:rPr>
                      </w:pPr>
                      <w:r>
                        <w:rPr>
                          <w:rFonts w:hint="eastAsia"/>
                          <w:color w:val="000000"/>
                          <w:lang w:eastAsia="zh-CN"/>
                        </w:rPr>
                        <w:t>本项目</w:t>
                      </w:r>
                    </w:p>
                  </w:txbxContent>
                </v:textbox>
              </v:shape>
            </w:pict>
          </mc:Fallback>
        </mc:AlternateContent>
      </w:r>
      <w:r>
        <w:drawing>
          <wp:inline distT="0" distB="0" distL="114300" distR="114300">
            <wp:extent cx="8528050" cy="5128895"/>
            <wp:effectExtent l="0" t="0" r="6350" b="1460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30"/>
                    <a:stretch>
                      <a:fillRect/>
                    </a:stretch>
                  </pic:blipFill>
                  <pic:spPr>
                    <a:xfrm>
                      <a:off x="0" y="0"/>
                      <a:ext cx="8528050" cy="5128895"/>
                    </a:xfrm>
                    <a:prstGeom prst="rect">
                      <a:avLst/>
                    </a:prstGeom>
                    <a:noFill/>
                    <a:ln>
                      <a:noFill/>
                    </a:ln>
                  </pic:spPr>
                </pic:pic>
              </a:graphicData>
            </a:graphic>
          </wp:inline>
        </w:drawing>
      </w:r>
    </w:p>
    <w:p w14:paraId="1BF2ED82">
      <w:pPr>
        <w:bidi w:val="0"/>
        <w:rPr>
          <w:rFonts w:hint="default"/>
          <w:lang w:val="en-US" w:eastAsia="zh-CN"/>
        </w:rPr>
      </w:pPr>
    </w:p>
    <w:p w14:paraId="3FBB7D36">
      <w:pPr>
        <w:ind w:left="0" w:leftChars="0" w:firstLine="0" w:firstLineChars="0"/>
        <w:outlineLvl w:val="0"/>
        <w:rPr>
          <w:rFonts w:hint="default" w:ascii="Times New Roman" w:hAnsi="Times New Roman" w:eastAsia="仿宋_GB2312" w:cs="Times New Roman"/>
          <w:b/>
          <w:bCs/>
          <w:color w:val="000000"/>
          <w:lang w:val="en-US" w:eastAsia="zh-CN"/>
        </w:rPr>
      </w:pPr>
      <w:r>
        <w:rPr>
          <w:rFonts w:hint="default" w:ascii="Times New Roman" w:hAnsi="Times New Roman" w:eastAsia="仿宋_GB2312" w:cs="Times New Roman"/>
          <w:b/>
          <w:bCs/>
          <w:color w:val="000000"/>
          <w:lang w:val="en-US" w:eastAsia="zh-CN"/>
        </w:rPr>
        <w:t>附图</w:t>
      </w:r>
      <w:r>
        <w:rPr>
          <w:rFonts w:hint="eastAsia" w:eastAsia="仿宋_GB2312" w:cs="Times New Roman"/>
          <w:b/>
          <w:bCs/>
          <w:color w:val="000000"/>
          <w:lang w:val="en-US" w:eastAsia="zh-CN"/>
        </w:rPr>
        <w:t>8</w:t>
      </w:r>
      <w:r>
        <w:rPr>
          <w:rFonts w:hint="default" w:ascii="Times New Roman" w:hAnsi="Times New Roman" w:eastAsia="仿宋_GB2312" w:cs="Times New Roman"/>
          <w:b/>
          <w:bCs/>
          <w:color w:val="000000"/>
          <w:lang w:val="en-US" w:eastAsia="zh-CN"/>
        </w:rPr>
        <w:t>：本项目与张掖市管控单元位置关系示意</w:t>
      </w:r>
    </w:p>
    <w:p w14:paraId="1A5D5579">
      <w:pPr>
        <w:pStyle w:val="71"/>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outlineLvl w:val="9"/>
        <w:rPr>
          <w:rFonts w:hint="default" w:ascii="Times New Roman" w:hAnsi="Times New Roman" w:eastAsia="仿宋" w:cs="Times New Roman"/>
          <w:b/>
          <w:bCs/>
          <w:color w:val="000000"/>
          <w:kern w:val="2"/>
          <w:sz w:val="24"/>
          <w:szCs w:val="24"/>
          <w:lang w:val="en-US"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4601845</wp:posOffset>
                </wp:positionH>
                <wp:positionV relativeFrom="paragraph">
                  <wp:posOffset>1674495</wp:posOffset>
                </wp:positionV>
                <wp:extent cx="660400" cy="259715"/>
                <wp:effectExtent l="426085" t="4445" r="18415" b="173990"/>
                <wp:wrapNone/>
                <wp:docPr id="60" name="矩形标注 60"/>
                <wp:cNvGraphicFramePr/>
                <a:graphic xmlns:a="http://schemas.openxmlformats.org/drawingml/2006/main">
                  <a:graphicData uri="http://schemas.microsoft.com/office/word/2010/wordprocessingShape">
                    <wps:wsp>
                      <wps:cNvSpPr/>
                      <wps:spPr>
                        <a:xfrm>
                          <a:off x="0" y="0"/>
                          <a:ext cx="660400" cy="259715"/>
                        </a:xfrm>
                        <a:prstGeom prst="wedgeRectCallout">
                          <a:avLst>
                            <a:gd name="adj1" fmla="val -108846"/>
                            <a:gd name="adj2" fmla="val 110146"/>
                          </a:avLst>
                        </a:prstGeom>
                        <a:solidFill>
                          <a:srgbClr val="FFFFFF"/>
                        </a:solidFill>
                        <a:ln w="9525" cap="flat" cmpd="sng">
                          <a:solidFill>
                            <a:srgbClr val="000000"/>
                          </a:solidFill>
                          <a:prstDash val="solid"/>
                          <a:miter/>
                          <a:headEnd type="none" w="med" len="med"/>
                          <a:tailEnd type="none" w="med" len="med"/>
                        </a:ln>
                        <a:effectLst/>
                      </wps:spPr>
                      <wps:txbx>
                        <w:txbxContent>
                          <w:p w14:paraId="6224D43B">
                            <w:pPr>
                              <w:ind w:left="0" w:leftChars="0" w:firstLine="0" w:firstLineChars="0"/>
                              <w:rPr>
                                <w:rFonts w:hint="eastAsia" w:eastAsia="宋体"/>
                                <w:lang w:eastAsia="zh-CN"/>
                              </w:rPr>
                            </w:pPr>
                            <w:r>
                              <w:rPr>
                                <w:rFonts w:hint="eastAsia"/>
                                <w:lang w:eastAsia="zh-CN"/>
                              </w:rPr>
                              <w:t>本项目</w:t>
                            </w:r>
                          </w:p>
                        </w:txbxContent>
                      </wps:txbx>
                      <wps:bodyPr upright="1"/>
                    </wps:wsp>
                  </a:graphicData>
                </a:graphic>
              </wp:anchor>
            </w:drawing>
          </mc:Choice>
          <mc:Fallback>
            <w:pict>
              <v:shape id="_x0000_s1026" o:spid="_x0000_s1026" o:spt="61" type="#_x0000_t61" style="position:absolute;left:0pt;margin-left:362.35pt;margin-top:131.85pt;height:20.45pt;width:52pt;z-index:251662336;mso-width-relative:page;mso-height-relative:page;" fillcolor="#FFFFFF" filled="t" stroked="t" coordsize="21600,21600" o:gfxdata="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8wvwjZAAAACwEAAA8AAAAAAAAAAQAgAAAAIgAA&#10;AGRycy9kb3ducmV2LnhtbFBLAQIUABQAAAAIAIdO4kDv9LRZQAIAAJ4EAAAOAAAAAAAAAAEAIAAA&#10;ACgBAABkcnMvZTJvRG9jLnhtbFBLBQYAAAAABgAGAFkBAADaBQAAAAA=&#10;" adj="-12711,34592">
                <v:fill on="t" focussize="0,0"/>
                <v:stroke color="#000000" joinstyle="miter"/>
                <v:imagedata o:title=""/>
                <o:lock v:ext="edit" aspectratio="f"/>
                <v:textbox>
                  <w:txbxContent>
                    <w:p w14:paraId="6224D43B">
                      <w:pPr>
                        <w:ind w:left="0" w:leftChars="0" w:firstLine="0" w:firstLineChars="0"/>
                        <w:rPr>
                          <w:rFonts w:hint="eastAsia" w:eastAsia="宋体"/>
                          <w:lang w:eastAsia="zh-CN"/>
                        </w:rPr>
                      </w:pPr>
                      <w:r>
                        <w:rPr>
                          <w:rFonts w:hint="eastAsia"/>
                          <w:lang w:eastAsia="zh-CN"/>
                        </w:rPr>
                        <w:t>本项目</w:t>
                      </w:r>
                    </w:p>
                  </w:txbxContent>
                </v:textbox>
              </v:shape>
            </w:pict>
          </mc:Fallback>
        </mc:AlternateContent>
      </w:r>
      <w:r>
        <w:rPr>
          <w:rFonts w:hint="default" w:ascii="Times New Roman" w:hAnsi="Times New Roman" w:eastAsia="黑体" w:cs="Times New Roman"/>
          <w:color w:val="auto"/>
          <w:sz w:val="32"/>
          <w:szCs w:val="32"/>
          <w:lang w:val="en-US" w:eastAsia="zh-CN"/>
        </w:rPr>
        <w:drawing>
          <wp:inline distT="0" distB="0" distL="114300" distR="114300">
            <wp:extent cx="8712835" cy="5320665"/>
            <wp:effectExtent l="0" t="0" r="12065" b="13335"/>
            <wp:docPr id="20" name="图片 20" descr="张掖市环境管控单元图-含山丹马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张掖市环境管控单元图-含山丹马场"/>
                    <pic:cNvPicPr>
                      <a:picLocks noChangeAspect="1"/>
                    </pic:cNvPicPr>
                  </pic:nvPicPr>
                  <pic:blipFill>
                    <a:blip r:embed="rId31"/>
                    <a:srcRect t="7887"/>
                    <a:stretch>
                      <a:fillRect/>
                    </a:stretch>
                  </pic:blipFill>
                  <pic:spPr>
                    <a:xfrm>
                      <a:off x="0" y="0"/>
                      <a:ext cx="8712835" cy="5320665"/>
                    </a:xfrm>
                    <a:prstGeom prst="rect">
                      <a:avLst/>
                    </a:prstGeom>
                  </pic:spPr>
                </pic:pic>
              </a:graphicData>
            </a:graphic>
          </wp:inline>
        </w:drawing>
      </w:r>
    </w:p>
    <w:p w14:paraId="154B4B6E">
      <w:pPr>
        <w:pStyle w:val="71"/>
        <w:adjustRightInd w:val="0"/>
        <w:snapToGrid w:val="0"/>
        <w:ind w:left="0" w:leftChars="0" w:firstLine="0" w:firstLineChars="0"/>
        <w:jc w:val="center"/>
        <w:outlineLvl w:val="0"/>
        <w:sectPr>
          <w:pgSz w:w="16838" w:h="11906" w:orient="landscape"/>
          <w:pgMar w:top="1417" w:right="1440" w:bottom="1417" w:left="1440" w:header="851" w:footer="1077" w:gutter="0"/>
          <w:pgNumType w:fmt="decimal"/>
          <w:cols w:space="0" w:num="1"/>
          <w:rtlGutter w:val="0"/>
          <w:docGrid w:linePitch="312" w:charSpace="0"/>
        </w:sectPr>
      </w:pPr>
    </w:p>
    <w:p w14:paraId="030A910C">
      <w:pPr>
        <w:pStyle w:val="71"/>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outlineLvl w:val="0"/>
        <w:rPr>
          <w:rFonts w:hint="eastAsia"/>
          <w:b/>
          <w:bCs/>
          <w:sz w:val="24"/>
          <w:szCs w:val="32"/>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5508625</wp:posOffset>
                </wp:positionH>
                <wp:positionV relativeFrom="paragraph">
                  <wp:posOffset>1296670</wp:posOffset>
                </wp:positionV>
                <wp:extent cx="1009650" cy="320675"/>
                <wp:effectExtent l="283845" t="12700" r="20955" b="523875"/>
                <wp:wrapNone/>
                <wp:docPr id="32" name="矩形标注 32"/>
                <wp:cNvGraphicFramePr/>
                <a:graphic xmlns:a="http://schemas.openxmlformats.org/drawingml/2006/main">
                  <a:graphicData uri="http://schemas.microsoft.com/office/word/2010/wordprocessingShape">
                    <wps:wsp>
                      <wps:cNvSpPr/>
                      <wps:spPr>
                        <a:xfrm>
                          <a:off x="0" y="0"/>
                          <a:ext cx="1009650" cy="320675"/>
                        </a:xfrm>
                        <a:prstGeom prst="wedgeRectCallout">
                          <a:avLst>
                            <a:gd name="adj1" fmla="val -76855"/>
                            <a:gd name="adj2" fmla="val 20841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395870">
                            <w:pPr>
                              <w:ind w:left="0" w:leftChars="0" w:firstLine="0" w:firstLineChars="0"/>
                              <w:jc w:val="both"/>
                              <w:rPr>
                                <w:rFonts w:hint="default" w:eastAsia="宋体"/>
                                <w:lang w:val="en-US" w:eastAsia="zh-CN"/>
                              </w:rPr>
                            </w:pPr>
                            <w:r>
                              <w:rPr>
                                <w:rFonts w:hint="eastAsia"/>
                                <w:lang w:val="en-US" w:eastAsia="zh-CN"/>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33.75pt;margin-top:102.1pt;height:25.25pt;width:79.5pt;z-index:251663360;v-text-anchor:middle;mso-width-relative:page;mso-height-relative:page;" fillcolor="#4F81BD [3204]" filled="t" stroked="t" coordsize="21600,21600" o:gfxdata="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ayXkL2QAAAAwBAAAPAAAAAAAAAAEA&#10;IAAAACIAAABkcnMvZG93bnJldi54bWxQSwECFAAUAAAACACHTuJAyA/sbLkCAABwBQAADgAAAAAA&#10;AAABACAAAAAoAQAAZHJzL2Uyb0RvYy54bWxQSwUGAAAAAAYABgBZAQAAUwYAAAAA&#10;" adj="-5801,55818">
                <v:fill on="t" focussize="0,0"/>
                <v:stroke weight="2pt" color="#385D8A [3204]" joinstyle="round"/>
                <v:imagedata o:title=""/>
                <o:lock v:ext="edit" aspectratio="f"/>
                <v:textbox>
                  <w:txbxContent>
                    <w:p w14:paraId="1B395870">
                      <w:pPr>
                        <w:ind w:left="0" w:leftChars="0" w:firstLine="0" w:firstLineChars="0"/>
                        <w:jc w:val="both"/>
                        <w:rPr>
                          <w:rFonts w:hint="default" w:eastAsia="宋体"/>
                          <w:lang w:val="en-US" w:eastAsia="zh-CN"/>
                        </w:rPr>
                      </w:pPr>
                      <w:r>
                        <w:rPr>
                          <w:rFonts w:hint="eastAsia"/>
                          <w:lang w:val="en-US" w:eastAsia="zh-CN"/>
                        </w:rPr>
                        <w:t>本项目位置</w:t>
                      </w:r>
                    </w:p>
                  </w:txbxContent>
                </v:textbox>
              </v:shape>
            </w:pict>
          </mc:Fallback>
        </mc:AlternateContent>
      </w:r>
      <w:r>
        <w:rPr>
          <w:rFonts w:hint="eastAsia"/>
          <w:b/>
          <w:bCs/>
          <w:sz w:val="28"/>
          <w:szCs w:val="36"/>
          <w:lang w:val="en-US" w:eastAsia="zh-CN"/>
        </w:rPr>
        <w:t>附图9：项目与甘肃省生态功能区划位置关系图</w:t>
      </w:r>
      <w:r>
        <w:rPr>
          <w:rFonts w:hint="default" w:ascii="Times New Roman" w:hAnsi="Times New Roman" w:eastAsia="仿宋" w:cs="Times New Roman"/>
          <w:color w:val="000000"/>
        </w:rPr>
        <w:drawing>
          <wp:inline distT="0" distB="0" distL="114300" distR="114300">
            <wp:extent cx="9065260" cy="5292090"/>
            <wp:effectExtent l="9525" t="9525" r="12065" b="13335"/>
            <wp:docPr id="28" name="图片 13" descr="甘肃省生态功能区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 descr="甘肃省生态功能区划图"/>
                    <pic:cNvPicPr>
                      <a:picLocks noChangeAspect="1"/>
                    </pic:cNvPicPr>
                  </pic:nvPicPr>
                  <pic:blipFill>
                    <a:blip r:embed="rId32"/>
                    <a:stretch>
                      <a:fillRect/>
                    </a:stretch>
                  </pic:blipFill>
                  <pic:spPr>
                    <a:xfrm>
                      <a:off x="0" y="0"/>
                      <a:ext cx="9065260" cy="5292090"/>
                    </a:xfrm>
                    <a:prstGeom prst="rect">
                      <a:avLst/>
                    </a:prstGeom>
                    <a:noFill/>
                    <a:ln>
                      <a:solidFill>
                        <a:schemeClr val="tx1"/>
                      </a:solidFill>
                    </a:ln>
                  </pic:spPr>
                </pic:pic>
              </a:graphicData>
            </a:graphic>
          </wp:inline>
        </w:drawing>
      </w:r>
    </w:p>
    <w:p w14:paraId="1416753B">
      <w:pPr>
        <w:pStyle w:val="71"/>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outlineLvl w:val="9"/>
        <w:rPr>
          <w:rFonts w:hint="default"/>
          <w:b/>
          <w:bCs/>
          <w:sz w:val="24"/>
          <w:szCs w:val="32"/>
          <w:lang w:val="en-US" w:eastAsia="zh-CN"/>
        </w:rPr>
        <w:sectPr>
          <w:pgSz w:w="16838" w:h="11905" w:orient="landscape"/>
          <w:pgMar w:top="1417" w:right="1440" w:bottom="1417" w:left="1440" w:header="851" w:footer="1077" w:gutter="0"/>
          <w:pgNumType w:fmt="decimal"/>
          <w:cols w:space="0" w:num="1"/>
          <w:rtlGutter w:val="0"/>
          <w:docGrid w:linePitch="312" w:charSpace="0"/>
        </w:sectPr>
      </w:pPr>
    </w:p>
    <w:p w14:paraId="17A3792D">
      <w:pPr>
        <w:pStyle w:val="71"/>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outlineLvl w:val="0"/>
        <w:rPr>
          <w:rFonts w:hint="eastAsia"/>
          <w:b/>
          <w:bCs/>
          <w:sz w:val="28"/>
          <w:szCs w:val="36"/>
          <w:lang w:val="en-US" w:eastAsia="zh-CN"/>
        </w:rPr>
      </w:pPr>
      <w:r>
        <w:rPr>
          <w:rFonts w:hint="eastAsia"/>
          <w:b/>
          <w:bCs/>
          <w:sz w:val="28"/>
          <w:szCs w:val="36"/>
          <w:lang w:val="en-US" w:eastAsia="zh-CN"/>
        </w:rPr>
        <w:t>附图10：项目与张掖市生态功能区划位置关系图</w:t>
      </w:r>
    </w:p>
    <w:p w14:paraId="2AE3020D">
      <w:pPr>
        <w:pStyle w:val="71"/>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outlineLvl w:val="9"/>
        <w:rPr>
          <w:rFonts w:hint="default"/>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5473065</wp:posOffset>
                </wp:positionH>
                <wp:positionV relativeFrom="paragraph">
                  <wp:posOffset>1293495</wp:posOffset>
                </wp:positionV>
                <wp:extent cx="1009650" cy="320675"/>
                <wp:effectExtent l="692150" t="12700" r="12700" b="523875"/>
                <wp:wrapNone/>
                <wp:docPr id="34" name="矩形标注 34"/>
                <wp:cNvGraphicFramePr/>
                <a:graphic xmlns:a="http://schemas.openxmlformats.org/drawingml/2006/main">
                  <a:graphicData uri="http://schemas.microsoft.com/office/word/2010/wordprocessingShape">
                    <wps:wsp>
                      <wps:cNvSpPr/>
                      <wps:spPr>
                        <a:xfrm>
                          <a:off x="0" y="0"/>
                          <a:ext cx="1009650" cy="320675"/>
                        </a:xfrm>
                        <a:prstGeom prst="wedgeRectCallout">
                          <a:avLst>
                            <a:gd name="adj1" fmla="val -117295"/>
                            <a:gd name="adj2" fmla="val 20366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6B3A3F">
                            <w:pPr>
                              <w:ind w:left="0" w:leftChars="0" w:firstLine="0" w:firstLineChars="0"/>
                              <w:jc w:val="both"/>
                              <w:rPr>
                                <w:rFonts w:hint="default" w:eastAsia="宋体"/>
                                <w:lang w:val="en-US" w:eastAsia="zh-CN"/>
                              </w:rPr>
                            </w:pPr>
                            <w:r>
                              <w:rPr>
                                <w:rFonts w:hint="eastAsia"/>
                                <w:lang w:val="en-US" w:eastAsia="zh-CN"/>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30.95pt;margin-top:101.85pt;height:25.25pt;width:79.5pt;z-index:251664384;v-text-anchor:middle;mso-width-relative:page;mso-height-relative:page;" fillcolor="#4F81BD [3204]" filled="t" stroked="t" coordsize="21600,21600" o:gfxdata="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GMllbfaAAAADAEAAA8AAAAAAAAA&#10;AQAgAAAAIgAAAGRycy9kb3ducmV2LnhtbFBLAQIUABQAAAAIAIdO4kCnyy6wugIAAHEFAAAOAAAA&#10;AAAAAAEAIAAAACkBAABkcnMvZTJvRG9jLnhtbFBLBQYAAAAABgAGAFkBAABVBgAAAAA=&#10;" adj="-14536,54791">
                <v:fill on="t" focussize="0,0"/>
                <v:stroke weight="2pt" color="#385D8A [3204]" joinstyle="round"/>
                <v:imagedata o:title=""/>
                <o:lock v:ext="edit" aspectratio="f"/>
                <v:textbox>
                  <w:txbxContent>
                    <w:p w14:paraId="796B3A3F">
                      <w:pPr>
                        <w:ind w:left="0" w:leftChars="0" w:firstLine="0" w:firstLineChars="0"/>
                        <w:jc w:val="both"/>
                        <w:rPr>
                          <w:rFonts w:hint="default" w:eastAsia="宋体"/>
                          <w:lang w:val="en-US" w:eastAsia="zh-CN"/>
                        </w:rPr>
                      </w:pPr>
                      <w:r>
                        <w:rPr>
                          <w:rFonts w:hint="eastAsia"/>
                          <w:lang w:val="en-US" w:eastAsia="zh-CN"/>
                        </w:rPr>
                        <w:t>本项目位置</w:t>
                      </w:r>
                    </w:p>
                  </w:txbxContent>
                </v:textbox>
              </v:shape>
            </w:pict>
          </mc:Fallback>
        </mc:AlternateContent>
      </w:r>
      <w:r>
        <w:rPr>
          <w:rFonts w:hint="default" w:ascii="Times New Roman" w:hAnsi="Times New Roman" w:eastAsia="仿宋" w:cs="Times New Roman"/>
          <w:color w:val="000000"/>
        </w:rPr>
        <w:drawing>
          <wp:inline distT="0" distB="0" distL="114300" distR="114300">
            <wp:extent cx="8921115" cy="5243195"/>
            <wp:effectExtent l="0" t="0" r="13335" b="14605"/>
            <wp:docPr id="33" name="图片 14" descr="张掖市生态功能区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4" descr="张掖市生态功能区划图"/>
                    <pic:cNvPicPr>
                      <a:picLocks noChangeAspect="1"/>
                    </pic:cNvPicPr>
                  </pic:nvPicPr>
                  <pic:blipFill>
                    <a:blip r:embed="rId33"/>
                    <a:srcRect b="9605"/>
                    <a:stretch>
                      <a:fillRect/>
                    </a:stretch>
                  </pic:blipFill>
                  <pic:spPr>
                    <a:xfrm>
                      <a:off x="0" y="0"/>
                      <a:ext cx="8921115" cy="5243195"/>
                    </a:xfrm>
                    <a:prstGeom prst="rect">
                      <a:avLst/>
                    </a:prstGeom>
                    <a:noFill/>
                    <a:ln>
                      <a:noFill/>
                    </a:ln>
                  </pic:spPr>
                </pic:pic>
              </a:graphicData>
            </a:graphic>
          </wp:inline>
        </w:drawing>
      </w:r>
    </w:p>
    <w:sectPr>
      <w:pgSz w:w="16838" w:h="11905" w:orient="landscape"/>
      <w:pgMar w:top="1519" w:right="1440" w:bottom="1519" w:left="1440" w:header="851" w:footer="1077" w:gutter="0"/>
      <w:pgNumType w:fmt="decimal"/>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B012C">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566BE">
    <w:pPr>
      <w:pStyle w:val="1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B5C3C">
                          <w:pPr>
                            <w:pStyle w:val="1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25B5C3C">
                    <w:pPr>
                      <w:pStyle w:val="1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D74E78"/>
    <w:multiLevelType w:val="singleLevel"/>
    <w:tmpl w:val="B0D74E78"/>
    <w:lvl w:ilvl="0" w:tentative="0">
      <w:start w:val="6"/>
      <w:numFmt w:val="chineseCounting"/>
      <w:suff w:val="nothing"/>
      <w:lvlText w:val="%1、"/>
      <w:lvlJc w:val="left"/>
      <w:rPr>
        <w:rFonts w:hint="eastAsia"/>
      </w:rPr>
    </w:lvl>
  </w:abstractNum>
  <w:abstractNum w:abstractNumId="1">
    <w:nsid w:val="BB6249A5"/>
    <w:multiLevelType w:val="singleLevel"/>
    <w:tmpl w:val="BB6249A5"/>
    <w:lvl w:ilvl="0" w:tentative="0">
      <w:start w:val="3"/>
      <w:numFmt w:val="decimal"/>
      <w:suff w:val="nothing"/>
      <w:lvlText w:val="%1、"/>
      <w:lvlJc w:val="left"/>
    </w:lvl>
  </w:abstractNum>
  <w:abstractNum w:abstractNumId="2">
    <w:nsid w:val="EE90351B"/>
    <w:multiLevelType w:val="singleLevel"/>
    <w:tmpl w:val="EE90351B"/>
    <w:lvl w:ilvl="0" w:tentative="0">
      <w:start w:val="3"/>
      <w:numFmt w:val="decimal"/>
      <w:suff w:val="nothing"/>
      <w:lvlText w:val="（%1）"/>
      <w:lvlJc w:val="left"/>
    </w:lvl>
  </w:abstractNum>
  <w:abstractNum w:abstractNumId="3">
    <w:nsid w:val="489D6C6E"/>
    <w:multiLevelType w:val="singleLevel"/>
    <w:tmpl w:val="489D6C6E"/>
    <w:lvl w:ilvl="0" w:tentative="0">
      <w:start w:val="2"/>
      <w:numFmt w:val="decimal"/>
      <w:suff w:val="nothing"/>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hMjhhMzc4OTFmZmEyYWE4NTVjNDU2ZjZjMDA4YmYifQ=="/>
  </w:docVars>
  <w:rsids>
    <w:rsidRoot w:val="00172A2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37638"/>
    <w:rsid w:val="0025679E"/>
    <w:rsid w:val="00260C68"/>
    <w:rsid w:val="002648B0"/>
    <w:rsid w:val="00275271"/>
    <w:rsid w:val="0027535E"/>
    <w:rsid w:val="00275AA6"/>
    <w:rsid w:val="002807D5"/>
    <w:rsid w:val="00282CCD"/>
    <w:rsid w:val="00287B4D"/>
    <w:rsid w:val="002A168C"/>
    <w:rsid w:val="002A2C48"/>
    <w:rsid w:val="002A3EED"/>
    <w:rsid w:val="002A4A39"/>
    <w:rsid w:val="002A5A17"/>
    <w:rsid w:val="002A6425"/>
    <w:rsid w:val="002B49E2"/>
    <w:rsid w:val="002B6923"/>
    <w:rsid w:val="002B7B00"/>
    <w:rsid w:val="002B7C44"/>
    <w:rsid w:val="002C1388"/>
    <w:rsid w:val="002C3C6A"/>
    <w:rsid w:val="002D42DB"/>
    <w:rsid w:val="002E1F3A"/>
    <w:rsid w:val="002E298A"/>
    <w:rsid w:val="002F02A4"/>
    <w:rsid w:val="002F272B"/>
    <w:rsid w:val="002F2919"/>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0138"/>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476B"/>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024FB"/>
    <w:rsid w:val="00D15727"/>
    <w:rsid w:val="00D16332"/>
    <w:rsid w:val="00D24972"/>
    <w:rsid w:val="00D2515E"/>
    <w:rsid w:val="00D308ED"/>
    <w:rsid w:val="00D56178"/>
    <w:rsid w:val="00D56CF0"/>
    <w:rsid w:val="00D56F5C"/>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129E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D36B1"/>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3E1B"/>
    <w:rsid w:val="00FC66AC"/>
    <w:rsid w:val="00FD18F4"/>
    <w:rsid w:val="00FD74B4"/>
    <w:rsid w:val="00FF56BA"/>
    <w:rsid w:val="00FF6FCE"/>
    <w:rsid w:val="00FF7518"/>
    <w:rsid w:val="00FF7FD8"/>
    <w:rsid w:val="015024C4"/>
    <w:rsid w:val="020016E9"/>
    <w:rsid w:val="020E6328"/>
    <w:rsid w:val="025432CF"/>
    <w:rsid w:val="03455F4E"/>
    <w:rsid w:val="03773C2D"/>
    <w:rsid w:val="038D16A3"/>
    <w:rsid w:val="03936CB9"/>
    <w:rsid w:val="03B13985"/>
    <w:rsid w:val="03F82FC0"/>
    <w:rsid w:val="04510922"/>
    <w:rsid w:val="045126D0"/>
    <w:rsid w:val="04863229"/>
    <w:rsid w:val="048A16CA"/>
    <w:rsid w:val="04BC3FEE"/>
    <w:rsid w:val="053F077B"/>
    <w:rsid w:val="05742AC8"/>
    <w:rsid w:val="05845DEC"/>
    <w:rsid w:val="058645FB"/>
    <w:rsid w:val="059565ED"/>
    <w:rsid w:val="05CF5FA2"/>
    <w:rsid w:val="0617364B"/>
    <w:rsid w:val="061B3687"/>
    <w:rsid w:val="06352F05"/>
    <w:rsid w:val="063D3F02"/>
    <w:rsid w:val="063E7D85"/>
    <w:rsid w:val="06492471"/>
    <w:rsid w:val="064E336B"/>
    <w:rsid w:val="06645976"/>
    <w:rsid w:val="06677F89"/>
    <w:rsid w:val="06691F53"/>
    <w:rsid w:val="06856661"/>
    <w:rsid w:val="068E6B96"/>
    <w:rsid w:val="06CE625A"/>
    <w:rsid w:val="06E56173"/>
    <w:rsid w:val="070875E0"/>
    <w:rsid w:val="070934ED"/>
    <w:rsid w:val="07293586"/>
    <w:rsid w:val="07295285"/>
    <w:rsid w:val="0759487F"/>
    <w:rsid w:val="07770C56"/>
    <w:rsid w:val="07953BC3"/>
    <w:rsid w:val="07BE63EA"/>
    <w:rsid w:val="07CC1CAE"/>
    <w:rsid w:val="07FC0BA5"/>
    <w:rsid w:val="08297BEC"/>
    <w:rsid w:val="08A54D99"/>
    <w:rsid w:val="08D4797F"/>
    <w:rsid w:val="08DB07BA"/>
    <w:rsid w:val="08F25CFF"/>
    <w:rsid w:val="092217DD"/>
    <w:rsid w:val="093A7294"/>
    <w:rsid w:val="09421FE2"/>
    <w:rsid w:val="094E3098"/>
    <w:rsid w:val="09880F3D"/>
    <w:rsid w:val="098E25E9"/>
    <w:rsid w:val="0A0D7099"/>
    <w:rsid w:val="0A0F4BBF"/>
    <w:rsid w:val="0A2F7010"/>
    <w:rsid w:val="0A5B1BB3"/>
    <w:rsid w:val="0AA55524"/>
    <w:rsid w:val="0B4C599F"/>
    <w:rsid w:val="0B534F80"/>
    <w:rsid w:val="0B875E19"/>
    <w:rsid w:val="0BAF5E07"/>
    <w:rsid w:val="0BAF665A"/>
    <w:rsid w:val="0BD27BF6"/>
    <w:rsid w:val="0BEA7D81"/>
    <w:rsid w:val="0C201306"/>
    <w:rsid w:val="0C656D19"/>
    <w:rsid w:val="0C6B0EB4"/>
    <w:rsid w:val="0CB101B0"/>
    <w:rsid w:val="0CFD3E41"/>
    <w:rsid w:val="0D29727C"/>
    <w:rsid w:val="0D411534"/>
    <w:rsid w:val="0DAF6B00"/>
    <w:rsid w:val="0DB60E48"/>
    <w:rsid w:val="0DC22E6D"/>
    <w:rsid w:val="0E110D06"/>
    <w:rsid w:val="0E151DFF"/>
    <w:rsid w:val="0E27335E"/>
    <w:rsid w:val="0E440BB0"/>
    <w:rsid w:val="0E577C5F"/>
    <w:rsid w:val="0E645822"/>
    <w:rsid w:val="0E940F81"/>
    <w:rsid w:val="0E9D6E5F"/>
    <w:rsid w:val="0EA97268"/>
    <w:rsid w:val="0EC7376D"/>
    <w:rsid w:val="0EFB5712"/>
    <w:rsid w:val="0F096081"/>
    <w:rsid w:val="0F13775A"/>
    <w:rsid w:val="0F242EBB"/>
    <w:rsid w:val="0F3B1FB3"/>
    <w:rsid w:val="0F8B118C"/>
    <w:rsid w:val="0F9829D6"/>
    <w:rsid w:val="0F9A112B"/>
    <w:rsid w:val="0FCE5F07"/>
    <w:rsid w:val="0FE97C61"/>
    <w:rsid w:val="0FF87EA4"/>
    <w:rsid w:val="10676388"/>
    <w:rsid w:val="106D2F64"/>
    <w:rsid w:val="107676F9"/>
    <w:rsid w:val="108C63A9"/>
    <w:rsid w:val="109951E3"/>
    <w:rsid w:val="10AF54E6"/>
    <w:rsid w:val="10B63710"/>
    <w:rsid w:val="10D821AF"/>
    <w:rsid w:val="1104705B"/>
    <w:rsid w:val="111C2F7A"/>
    <w:rsid w:val="111E1B8C"/>
    <w:rsid w:val="113013DE"/>
    <w:rsid w:val="117C4118"/>
    <w:rsid w:val="11965BC6"/>
    <w:rsid w:val="11A11E84"/>
    <w:rsid w:val="11B04EDA"/>
    <w:rsid w:val="120668A8"/>
    <w:rsid w:val="12086AC4"/>
    <w:rsid w:val="120D5E88"/>
    <w:rsid w:val="121D078E"/>
    <w:rsid w:val="122B06C2"/>
    <w:rsid w:val="12483364"/>
    <w:rsid w:val="12686083"/>
    <w:rsid w:val="12BF15E3"/>
    <w:rsid w:val="12C64289"/>
    <w:rsid w:val="133B4C77"/>
    <w:rsid w:val="13951726"/>
    <w:rsid w:val="13963DBB"/>
    <w:rsid w:val="139F5206"/>
    <w:rsid w:val="13B26FBE"/>
    <w:rsid w:val="13B52E29"/>
    <w:rsid w:val="13C44C6D"/>
    <w:rsid w:val="14270E1E"/>
    <w:rsid w:val="14381006"/>
    <w:rsid w:val="14396509"/>
    <w:rsid w:val="1447165C"/>
    <w:rsid w:val="144B713C"/>
    <w:rsid w:val="14C34F24"/>
    <w:rsid w:val="14E07884"/>
    <w:rsid w:val="14EA425F"/>
    <w:rsid w:val="154C6CC8"/>
    <w:rsid w:val="15B42ABF"/>
    <w:rsid w:val="15F66C34"/>
    <w:rsid w:val="16104199"/>
    <w:rsid w:val="167C35DD"/>
    <w:rsid w:val="16AE6731"/>
    <w:rsid w:val="16C12A18"/>
    <w:rsid w:val="16D72E3C"/>
    <w:rsid w:val="16E76CB8"/>
    <w:rsid w:val="170867EA"/>
    <w:rsid w:val="171650C0"/>
    <w:rsid w:val="173D2DAA"/>
    <w:rsid w:val="176F3141"/>
    <w:rsid w:val="17735226"/>
    <w:rsid w:val="178F7340"/>
    <w:rsid w:val="17C63C83"/>
    <w:rsid w:val="17CF598E"/>
    <w:rsid w:val="18026A60"/>
    <w:rsid w:val="18AB1F9A"/>
    <w:rsid w:val="190B0C48"/>
    <w:rsid w:val="19610E0A"/>
    <w:rsid w:val="19CE05F3"/>
    <w:rsid w:val="1A102EB7"/>
    <w:rsid w:val="1A1C66C0"/>
    <w:rsid w:val="1A3B555D"/>
    <w:rsid w:val="1A42393B"/>
    <w:rsid w:val="1A903AFB"/>
    <w:rsid w:val="1AA032BC"/>
    <w:rsid w:val="1ADD6614"/>
    <w:rsid w:val="1AF45B05"/>
    <w:rsid w:val="1B046F80"/>
    <w:rsid w:val="1B3267B5"/>
    <w:rsid w:val="1BAB04C0"/>
    <w:rsid w:val="1BB6593A"/>
    <w:rsid w:val="1BC25DC8"/>
    <w:rsid w:val="1BD6378F"/>
    <w:rsid w:val="1BE7181A"/>
    <w:rsid w:val="1C1D13BE"/>
    <w:rsid w:val="1C5D5C5E"/>
    <w:rsid w:val="1C5E7925"/>
    <w:rsid w:val="1C7F170D"/>
    <w:rsid w:val="1C887FC8"/>
    <w:rsid w:val="1CAC25F6"/>
    <w:rsid w:val="1CD06430"/>
    <w:rsid w:val="1D04432C"/>
    <w:rsid w:val="1D206D8E"/>
    <w:rsid w:val="1D596426"/>
    <w:rsid w:val="1D5F6196"/>
    <w:rsid w:val="1D6132A5"/>
    <w:rsid w:val="1D786333"/>
    <w:rsid w:val="1D8E56D5"/>
    <w:rsid w:val="1DAB47A7"/>
    <w:rsid w:val="1DD737EE"/>
    <w:rsid w:val="1E524D56"/>
    <w:rsid w:val="1E605592"/>
    <w:rsid w:val="1E7A43DA"/>
    <w:rsid w:val="1E7D6115"/>
    <w:rsid w:val="1E8E143A"/>
    <w:rsid w:val="1E9F255E"/>
    <w:rsid w:val="1EA00084"/>
    <w:rsid w:val="1EAD1372"/>
    <w:rsid w:val="1EB277FE"/>
    <w:rsid w:val="1F1D058B"/>
    <w:rsid w:val="1F2F5394"/>
    <w:rsid w:val="1F3F789D"/>
    <w:rsid w:val="1FA31BDA"/>
    <w:rsid w:val="1FA871F0"/>
    <w:rsid w:val="1FC820F5"/>
    <w:rsid w:val="1FCB7383"/>
    <w:rsid w:val="1FE7539E"/>
    <w:rsid w:val="1FF17CEA"/>
    <w:rsid w:val="20050B66"/>
    <w:rsid w:val="20406B4E"/>
    <w:rsid w:val="20605D1D"/>
    <w:rsid w:val="206550E2"/>
    <w:rsid w:val="207D7B21"/>
    <w:rsid w:val="2089011D"/>
    <w:rsid w:val="20963CB8"/>
    <w:rsid w:val="20AB6F83"/>
    <w:rsid w:val="20B07FB6"/>
    <w:rsid w:val="20CF3766"/>
    <w:rsid w:val="21185B98"/>
    <w:rsid w:val="211F1258"/>
    <w:rsid w:val="213B74B1"/>
    <w:rsid w:val="215A2310"/>
    <w:rsid w:val="215D400B"/>
    <w:rsid w:val="21723F5A"/>
    <w:rsid w:val="21827F08"/>
    <w:rsid w:val="21892A9C"/>
    <w:rsid w:val="21C85928"/>
    <w:rsid w:val="21DE318A"/>
    <w:rsid w:val="21EF5B80"/>
    <w:rsid w:val="22032E04"/>
    <w:rsid w:val="22576990"/>
    <w:rsid w:val="22680EB9"/>
    <w:rsid w:val="22901327"/>
    <w:rsid w:val="229C4EAB"/>
    <w:rsid w:val="229D6DB5"/>
    <w:rsid w:val="22B365D8"/>
    <w:rsid w:val="22EE5862"/>
    <w:rsid w:val="22FA4207"/>
    <w:rsid w:val="22FE2E67"/>
    <w:rsid w:val="230B7125"/>
    <w:rsid w:val="23447230"/>
    <w:rsid w:val="238E494F"/>
    <w:rsid w:val="239D2DE4"/>
    <w:rsid w:val="23A924A0"/>
    <w:rsid w:val="23D076FB"/>
    <w:rsid w:val="23DA7B95"/>
    <w:rsid w:val="23F30C56"/>
    <w:rsid w:val="240F3CE2"/>
    <w:rsid w:val="241D17E7"/>
    <w:rsid w:val="242728B0"/>
    <w:rsid w:val="24A107A0"/>
    <w:rsid w:val="24D34D10"/>
    <w:rsid w:val="24D665AE"/>
    <w:rsid w:val="24FD2B40"/>
    <w:rsid w:val="25070E5D"/>
    <w:rsid w:val="25115342"/>
    <w:rsid w:val="25167DE7"/>
    <w:rsid w:val="252A5D24"/>
    <w:rsid w:val="252D53FE"/>
    <w:rsid w:val="253B3408"/>
    <w:rsid w:val="25496D80"/>
    <w:rsid w:val="254F6640"/>
    <w:rsid w:val="25697422"/>
    <w:rsid w:val="256E67E6"/>
    <w:rsid w:val="25D767B2"/>
    <w:rsid w:val="25DE3772"/>
    <w:rsid w:val="25EC2D81"/>
    <w:rsid w:val="260A429C"/>
    <w:rsid w:val="262A4E03"/>
    <w:rsid w:val="263D2C54"/>
    <w:rsid w:val="264528BD"/>
    <w:rsid w:val="26464DDB"/>
    <w:rsid w:val="26484728"/>
    <w:rsid w:val="2685584E"/>
    <w:rsid w:val="26914E82"/>
    <w:rsid w:val="26BE5BA3"/>
    <w:rsid w:val="26C37006"/>
    <w:rsid w:val="26D32E9B"/>
    <w:rsid w:val="26E36D60"/>
    <w:rsid w:val="26ED7BDF"/>
    <w:rsid w:val="270C4509"/>
    <w:rsid w:val="27165388"/>
    <w:rsid w:val="272D447F"/>
    <w:rsid w:val="27595274"/>
    <w:rsid w:val="277420AE"/>
    <w:rsid w:val="278E0E5A"/>
    <w:rsid w:val="279F537D"/>
    <w:rsid w:val="27D15DD1"/>
    <w:rsid w:val="27DC037F"/>
    <w:rsid w:val="280C0513"/>
    <w:rsid w:val="281713B7"/>
    <w:rsid w:val="282B4E63"/>
    <w:rsid w:val="286A598B"/>
    <w:rsid w:val="287814FA"/>
    <w:rsid w:val="28A76295"/>
    <w:rsid w:val="28E079FB"/>
    <w:rsid w:val="290C07F0"/>
    <w:rsid w:val="29206EB8"/>
    <w:rsid w:val="29475CCC"/>
    <w:rsid w:val="29673862"/>
    <w:rsid w:val="297E7214"/>
    <w:rsid w:val="298E56A9"/>
    <w:rsid w:val="29D86924"/>
    <w:rsid w:val="29E325E0"/>
    <w:rsid w:val="2A452503"/>
    <w:rsid w:val="2A8D3BB3"/>
    <w:rsid w:val="2A9B1A2D"/>
    <w:rsid w:val="2ACF5F79"/>
    <w:rsid w:val="2AF05EF0"/>
    <w:rsid w:val="2B0C79D3"/>
    <w:rsid w:val="2B5106E3"/>
    <w:rsid w:val="2B5B5A5F"/>
    <w:rsid w:val="2B887681"/>
    <w:rsid w:val="2B946D50"/>
    <w:rsid w:val="2BA936A8"/>
    <w:rsid w:val="2BF0264B"/>
    <w:rsid w:val="2BF44505"/>
    <w:rsid w:val="2C315A5A"/>
    <w:rsid w:val="2C630576"/>
    <w:rsid w:val="2C9D5C03"/>
    <w:rsid w:val="2D2F3BCB"/>
    <w:rsid w:val="2D447E17"/>
    <w:rsid w:val="2D501A7C"/>
    <w:rsid w:val="2D940B3D"/>
    <w:rsid w:val="2D9E56F5"/>
    <w:rsid w:val="2DB86D87"/>
    <w:rsid w:val="2DEC09F4"/>
    <w:rsid w:val="2E667F96"/>
    <w:rsid w:val="2E8226AB"/>
    <w:rsid w:val="2E8F3DE9"/>
    <w:rsid w:val="2EBC4A66"/>
    <w:rsid w:val="2EBE1CC3"/>
    <w:rsid w:val="2ED31DB0"/>
    <w:rsid w:val="2EDC6EB7"/>
    <w:rsid w:val="2F114C3E"/>
    <w:rsid w:val="2F2A282C"/>
    <w:rsid w:val="2F6D7B0F"/>
    <w:rsid w:val="2F832C79"/>
    <w:rsid w:val="2F8C3303"/>
    <w:rsid w:val="2F9432ED"/>
    <w:rsid w:val="2FAC166C"/>
    <w:rsid w:val="2FC31E25"/>
    <w:rsid w:val="2FD91AFE"/>
    <w:rsid w:val="2FED29FE"/>
    <w:rsid w:val="2FEF2D58"/>
    <w:rsid w:val="30142680"/>
    <w:rsid w:val="30336FAA"/>
    <w:rsid w:val="30580BC9"/>
    <w:rsid w:val="30724DD6"/>
    <w:rsid w:val="308C14F7"/>
    <w:rsid w:val="30D4069D"/>
    <w:rsid w:val="30E6401D"/>
    <w:rsid w:val="311C17EC"/>
    <w:rsid w:val="311E2ED7"/>
    <w:rsid w:val="31466869"/>
    <w:rsid w:val="3148121E"/>
    <w:rsid w:val="315C449C"/>
    <w:rsid w:val="317D3743"/>
    <w:rsid w:val="31A22271"/>
    <w:rsid w:val="31B82709"/>
    <w:rsid w:val="31C37868"/>
    <w:rsid w:val="32024E86"/>
    <w:rsid w:val="32400B34"/>
    <w:rsid w:val="325154C6"/>
    <w:rsid w:val="327D2A18"/>
    <w:rsid w:val="32944669"/>
    <w:rsid w:val="329E6876"/>
    <w:rsid w:val="32A92417"/>
    <w:rsid w:val="32B51EF8"/>
    <w:rsid w:val="32B617CD"/>
    <w:rsid w:val="33092244"/>
    <w:rsid w:val="330E785B"/>
    <w:rsid w:val="33174961"/>
    <w:rsid w:val="3343544A"/>
    <w:rsid w:val="336C0F08"/>
    <w:rsid w:val="33A902AB"/>
    <w:rsid w:val="33D934D4"/>
    <w:rsid w:val="33FA1CBC"/>
    <w:rsid w:val="33FE2F6A"/>
    <w:rsid w:val="340D23F1"/>
    <w:rsid w:val="342015F4"/>
    <w:rsid w:val="342D5ABF"/>
    <w:rsid w:val="343930A9"/>
    <w:rsid w:val="343937CF"/>
    <w:rsid w:val="345843F9"/>
    <w:rsid w:val="34BE3646"/>
    <w:rsid w:val="34C603ED"/>
    <w:rsid w:val="34D94D83"/>
    <w:rsid w:val="34E56399"/>
    <w:rsid w:val="34E57D32"/>
    <w:rsid w:val="34F0546A"/>
    <w:rsid w:val="350068C1"/>
    <w:rsid w:val="35325A82"/>
    <w:rsid w:val="35410B17"/>
    <w:rsid w:val="35622EF4"/>
    <w:rsid w:val="35782F2F"/>
    <w:rsid w:val="35822C92"/>
    <w:rsid w:val="36074A7F"/>
    <w:rsid w:val="36486BE0"/>
    <w:rsid w:val="36856A32"/>
    <w:rsid w:val="36923549"/>
    <w:rsid w:val="36A302BA"/>
    <w:rsid w:val="36B75FBF"/>
    <w:rsid w:val="36FB4891"/>
    <w:rsid w:val="3749643F"/>
    <w:rsid w:val="37704640"/>
    <w:rsid w:val="3787280F"/>
    <w:rsid w:val="379F6CD3"/>
    <w:rsid w:val="37FA03AE"/>
    <w:rsid w:val="384C6E5B"/>
    <w:rsid w:val="386C12AB"/>
    <w:rsid w:val="386D6DD1"/>
    <w:rsid w:val="38A04AB1"/>
    <w:rsid w:val="38BE258B"/>
    <w:rsid w:val="38F12CD3"/>
    <w:rsid w:val="38F94775"/>
    <w:rsid w:val="39007C46"/>
    <w:rsid w:val="39202096"/>
    <w:rsid w:val="392971ED"/>
    <w:rsid w:val="396957EB"/>
    <w:rsid w:val="39785322"/>
    <w:rsid w:val="397D3044"/>
    <w:rsid w:val="397F3DCC"/>
    <w:rsid w:val="399E0E42"/>
    <w:rsid w:val="39A93E39"/>
    <w:rsid w:val="39B21AF3"/>
    <w:rsid w:val="39D215E2"/>
    <w:rsid w:val="39DF7FE0"/>
    <w:rsid w:val="39FA28E7"/>
    <w:rsid w:val="3A015A23"/>
    <w:rsid w:val="3A061C29"/>
    <w:rsid w:val="3A540249"/>
    <w:rsid w:val="3A970136"/>
    <w:rsid w:val="3B366B34"/>
    <w:rsid w:val="3B3763D1"/>
    <w:rsid w:val="3BB422D1"/>
    <w:rsid w:val="3BC431AC"/>
    <w:rsid w:val="3BF350F4"/>
    <w:rsid w:val="3BF45CFB"/>
    <w:rsid w:val="3BF74473"/>
    <w:rsid w:val="3C300842"/>
    <w:rsid w:val="3C53008C"/>
    <w:rsid w:val="3C597D99"/>
    <w:rsid w:val="3C74627D"/>
    <w:rsid w:val="3CDA245A"/>
    <w:rsid w:val="3CE04016"/>
    <w:rsid w:val="3CE415FB"/>
    <w:rsid w:val="3CEE0A37"/>
    <w:rsid w:val="3D6407A3"/>
    <w:rsid w:val="3DA908AC"/>
    <w:rsid w:val="3DD0408A"/>
    <w:rsid w:val="3DD11BB1"/>
    <w:rsid w:val="3DF00380"/>
    <w:rsid w:val="3E0C0E0B"/>
    <w:rsid w:val="3E1E3910"/>
    <w:rsid w:val="3E210BAB"/>
    <w:rsid w:val="3E2D4427"/>
    <w:rsid w:val="3E3005F1"/>
    <w:rsid w:val="3E6842C3"/>
    <w:rsid w:val="3EDF090D"/>
    <w:rsid w:val="3F204076"/>
    <w:rsid w:val="3F2D62A7"/>
    <w:rsid w:val="3F4563B2"/>
    <w:rsid w:val="3F660E74"/>
    <w:rsid w:val="3F6B5371"/>
    <w:rsid w:val="3F7029B8"/>
    <w:rsid w:val="3F740FC0"/>
    <w:rsid w:val="3FE91433"/>
    <w:rsid w:val="3FF650C6"/>
    <w:rsid w:val="4004626D"/>
    <w:rsid w:val="407A6407"/>
    <w:rsid w:val="407A6ADB"/>
    <w:rsid w:val="407F7D1D"/>
    <w:rsid w:val="40CA6E1D"/>
    <w:rsid w:val="40F942DC"/>
    <w:rsid w:val="40FB17FE"/>
    <w:rsid w:val="41377F7D"/>
    <w:rsid w:val="41AA2E44"/>
    <w:rsid w:val="41C23CEA"/>
    <w:rsid w:val="41F95431"/>
    <w:rsid w:val="420F374D"/>
    <w:rsid w:val="423A3BCC"/>
    <w:rsid w:val="428471F1"/>
    <w:rsid w:val="42AA0B87"/>
    <w:rsid w:val="433A6FE6"/>
    <w:rsid w:val="4350713C"/>
    <w:rsid w:val="436653E0"/>
    <w:rsid w:val="437B314A"/>
    <w:rsid w:val="43A538C3"/>
    <w:rsid w:val="443448FA"/>
    <w:rsid w:val="443A04B0"/>
    <w:rsid w:val="44552799"/>
    <w:rsid w:val="44CD14E0"/>
    <w:rsid w:val="44FC5765"/>
    <w:rsid w:val="45467ED6"/>
    <w:rsid w:val="458946E9"/>
    <w:rsid w:val="45C54C05"/>
    <w:rsid w:val="45D71DAF"/>
    <w:rsid w:val="45DB7111"/>
    <w:rsid w:val="45EE77A4"/>
    <w:rsid w:val="46004DE1"/>
    <w:rsid w:val="46302710"/>
    <w:rsid w:val="46364CA7"/>
    <w:rsid w:val="465313B5"/>
    <w:rsid w:val="4666071F"/>
    <w:rsid w:val="46A91E63"/>
    <w:rsid w:val="46C95B1B"/>
    <w:rsid w:val="46D955A7"/>
    <w:rsid w:val="46F32B98"/>
    <w:rsid w:val="470B7CDB"/>
    <w:rsid w:val="47133957"/>
    <w:rsid w:val="472F6522"/>
    <w:rsid w:val="47401F53"/>
    <w:rsid w:val="476219DB"/>
    <w:rsid w:val="4766336A"/>
    <w:rsid w:val="4779329E"/>
    <w:rsid w:val="47A07E0C"/>
    <w:rsid w:val="47B24801"/>
    <w:rsid w:val="47CB141F"/>
    <w:rsid w:val="48194678"/>
    <w:rsid w:val="4820514C"/>
    <w:rsid w:val="4836143B"/>
    <w:rsid w:val="485D476D"/>
    <w:rsid w:val="4870272E"/>
    <w:rsid w:val="48F03833"/>
    <w:rsid w:val="491C0184"/>
    <w:rsid w:val="49831FB1"/>
    <w:rsid w:val="49995C78"/>
    <w:rsid w:val="49B74350"/>
    <w:rsid w:val="49DC5046"/>
    <w:rsid w:val="49DC7715"/>
    <w:rsid w:val="49EA2030"/>
    <w:rsid w:val="49F6170B"/>
    <w:rsid w:val="4A023139"/>
    <w:rsid w:val="4A1B033C"/>
    <w:rsid w:val="4A246E93"/>
    <w:rsid w:val="4A286FFC"/>
    <w:rsid w:val="4A4200BE"/>
    <w:rsid w:val="4A431740"/>
    <w:rsid w:val="4A7B576F"/>
    <w:rsid w:val="4A82562F"/>
    <w:rsid w:val="4AC16767"/>
    <w:rsid w:val="4ADB460E"/>
    <w:rsid w:val="4AE64EED"/>
    <w:rsid w:val="4B0B3923"/>
    <w:rsid w:val="4BDE5BB5"/>
    <w:rsid w:val="4BEB02E1"/>
    <w:rsid w:val="4BF453E8"/>
    <w:rsid w:val="4C2F01CE"/>
    <w:rsid w:val="4C4A0649"/>
    <w:rsid w:val="4C5C5AA3"/>
    <w:rsid w:val="4C7C4B97"/>
    <w:rsid w:val="4C7D362F"/>
    <w:rsid w:val="4CE470D3"/>
    <w:rsid w:val="4CE83F1B"/>
    <w:rsid w:val="4CEA6032"/>
    <w:rsid w:val="4CF74DF1"/>
    <w:rsid w:val="4D2832EB"/>
    <w:rsid w:val="4D4128AF"/>
    <w:rsid w:val="4D8B55C5"/>
    <w:rsid w:val="4DA84A7C"/>
    <w:rsid w:val="4DAA385C"/>
    <w:rsid w:val="4DB71A01"/>
    <w:rsid w:val="4DBC3B87"/>
    <w:rsid w:val="4DE90850"/>
    <w:rsid w:val="4DEC4FB0"/>
    <w:rsid w:val="4DFE254E"/>
    <w:rsid w:val="4E042D50"/>
    <w:rsid w:val="4E075D8A"/>
    <w:rsid w:val="4E141D71"/>
    <w:rsid w:val="4E5C54C6"/>
    <w:rsid w:val="4E760336"/>
    <w:rsid w:val="4E8C4201"/>
    <w:rsid w:val="4E9B53A9"/>
    <w:rsid w:val="4ECC75F6"/>
    <w:rsid w:val="4F0C47F7"/>
    <w:rsid w:val="4F8C5FB5"/>
    <w:rsid w:val="4F9A62A6"/>
    <w:rsid w:val="4FC62A8C"/>
    <w:rsid w:val="4FE20F0D"/>
    <w:rsid w:val="4FEF6661"/>
    <w:rsid w:val="500B71A4"/>
    <w:rsid w:val="503069BE"/>
    <w:rsid w:val="503E6C32"/>
    <w:rsid w:val="50504C4B"/>
    <w:rsid w:val="50571C4F"/>
    <w:rsid w:val="505E1AF1"/>
    <w:rsid w:val="507E61ED"/>
    <w:rsid w:val="5085315D"/>
    <w:rsid w:val="509C6E7C"/>
    <w:rsid w:val="509E5922"/>
    <w:rsid w:val="50EC1001"/>
    <w:rsid w:val="50FD2299"/>
    <w:rsid w:val="5162104E"/>
    <w:rsid w:val="516E081B"/>
    <w:rsid w:val="516E1798"/>
    <w:rsid w:val="5179133B"/>
    <w:rsid w:val="518340B1"/>
    <w:rsid w:val="51956D25"/>
    <w:rsid w:val="52416EAD"/>
    <w:rsid w:val="525766D1"/>
    <w:rsid w:val="526037D7"/>
    <w:rsid w:val="528D5C4E"/>
    <w:rsid w:val="52921B52"/>
    <w:rsid w:val="52C501C0"/>
    <w:rsid w:val="52C51887"/>
    <w:rsid w:val="53071EA5"/>
    <w:rsid w:val="534B2BC4"/>
    <w:rsid w:val="534E1882"/>
    <w:rsid w:val="53A039CC"/>
    <w:rsid w:val="53A1505A"/>
    <w:rsid w:val="53B36EAB"/>
    <w:rsid w:val="53D11FA5"/>
    <w:rsid w:val="54063E08"/>
    <w:rsid w:val="543437E8"/>
    <w:rsid w:val="54574449"/>
    <w:rsid w:val="54585E25"/>
    <w:rsid w:val="54587ABB"/>
    <w:rsid w:val="54A379AB"/>
    <w:rsid w:val="54BE33F3"/>
    <w:rsid w:val="55384597"/>
    <w:rsid w:val="555869E7"/>
    <w:rsid w:val="55807CEC"/>
    <w:rsid w:val="55926EB7"/>
    <w:rsid w:val="559B174B"/>
    <w:rsid w:val="55BB6F76"/>
    <w:rsid w:val="55CE0CF4"/>
    <w:rsid w:val="55D25599"/>
    <w:rsid w:val="561B17C3"/>
    <w:rsid w:val="56236E36"/>
    <w:rsid w:val="56290384"/>
    <w:rsid w:val="56617B1E"/>
    <w:rsid w:val="567809C3"/>
    <w:rsid w:val="56933A4F"/>
    <w:rsid w:val="56B22A9C"/>
    <w:rsid w:val="56DF4B5A"/>
    <w:rsid w:val="56EB5E88"/>
    <w:rsid w:val="57126469"/>
    <w:rsid w:val="572957CB"/>
    <w:rsid w:val="573565F8"/>
    <w:rsid w:val="576C277E"/>
    <w:rsid w:val="577E200A"/>
    <w:rsid w:val="5788782C"/>
    <w:rsid w:val="579C2429"/>
    <w:rsid w:val="57B72A76"/>
    <w:rsid w:val="58006EC2"/>
    <w:rsid w:val="58082490"/>
    <w:rsid w:val="5870656C"/>
    <w:rsid w:val="58E42340"/>
    <w:rsid w:val="590C5701"/>
    <w:rsid w:val="59554530"/>
    <w:rsid w:val="595D1E4C"/>
    <w:rsid w:val="597E09E7"/>
    <w:rsid w:val="59822285"/>
    <w:rsid w:val="59B85CA7"/>
    <w:rsid w:val="5A0F46B5"/>
    <w:rsid w:val="5A201A9E"/>
    <w:rsid w:val="5A3C747D"/>
    <w:rsid w:val="5A4F5EDF"/>
    <w:rsid w:val="5A624DD5"/>
    <w:rsid w:val="5A690D4F"/>
    <w:rsid w:val="5A7B6CD4"/>
    <w:rsid w:val="5ABE2233"/>
    <w:rsid w:val="5AC52017"/>
    <w:rsid w:val="5ACE5056"/>
    <w:rsid w:val="5ACF0D81"/>
    <w:rsid w:val="5B276D18"/>
    <w:rsid w:val="5B5C6B06"/>
    <w:rsid w:val="5B800A46"/>
    <w:rsid w:val="5BDF5D95"/>
    <w:rsid w:val="5C62639E"/>
    <w:rsid w:val="5C8C6F77"/>
    <w:rsid w:val="5CBD46D2"/>
    <w:rsid w:val="5CEC21E5"/>
    <w:rsid w:val="5D324E2A"/>
    <w:rsid w:val="5D58416E"/>
    <w:rsid w:val="5D5A78D3"/>
    <w:rsid w:val="5D704AEA"/>
    <w:rsid w:val="5DC32738"/>
    <w:rsid w:val="5DF87A0F"/>
    <w:rsid w:val="5E47584B"/>
    <w:rsid w:val="5E4E6BDA"/>
    <w:rsid w:val="5E8E5228"/>
    <w:rsid w:val="5EE87BFC"/>
    <w:rsid w:val="5EFB03E4"/>
    <w:rsid w:val="5F1A2B43"/>
    <w:rsid w:val="5F334021"/>
    <w:rsid w:val="5FB837BB"/>
    <w:rsid w:val="5FDD709F"/>
    <w:rsid w:val="5FEC6107"/>
    <w:rsid w:val="5FF437B1"/>
    <w:rsid w:val="60194FC5"/>
    <w:rsid w:val="602D141C"/>
    <w:rsid w:val="609B3C2C"/>
    <w:rsid w:val="60B44CEE"/>
    <w:rsid w:val="610E7719"/>
    <w:rsid w:val="61330309"/>
    <w:rsid w:val="617930A2"/>
    <w:rsid w:val="617E0AA7"/>
    <w:rsid w:val="61A0655F"/>
    <w:rsid w:val="61BE5E24"/>
    <w:rsid w:val="61C55405"/>
    <w:rsid w:val="620B6B90"/>
    <w:rsid w:val="623426DB"/>
    <w:rsid w:val="62364782"/>
    <w:rsid w:val="623B74FE"/>
    <w:rsid w:val="62806636"/>
    <w:rsid w:val="62BF00A6"/>
    <w:rsid w:val="62CE02E9"/>
    <w:rsid w:val="62EF7724"/>
    <w:rsid w:val="6300635C"/>
    <w:rsid w:val="63071A4D"/>
    <w:rsid w:val="631F0609"/>
    <w:rsid w:val="63A21509"/>
    <w:rsid w:val="63D40BE9"/>
    <w:rsid w:val="63E0211F"/>
    <w:rsid w:val="64110B02"/>
    <w:rsid w:val="641C2867"/>
    <w:rsid w:val="64E42046"/>
    <w:rsid w:val="653463FD"/>
    <w:rsid w:val="65373578"/>
    <w:rsid w:val="653D1756"/>
    <w:rsid w:val="6547620E"/>
    <w:rsid w:val="6569254B"/>
    <w:rsid w:val="65975EE4"/>
    <w:rsid w:val="661029C7"/>
    <w:rsid w:val="663A5F3D"/>
    <w:rsid w:val="66405679"/>
    <w:rsid w:val="666210B2"/>
    <w:rsid w:val="666D7E19"/>
    <w:rsid w:val="66BF4CE5"/>
    <w:rsid w:val="66D734E4"/>
    <w:rsid w:val="66F978FF"/>
    <w:rsid w:val="670B7925"/>
    <w:rsid w:val="673F2C7A"/>
    <w:rsid w:val="676F7BC1"/>
    <w:rsid w:val="67B657F0"/>
    <w:rsid w:val="67EC74E7"/>
    <w:rsid w:val="681F6961"/>
    <w:rsid w:val="682E544C"/>
    <w:rsid w:val="6832596B"/>
    <w:rsid w:val="685E5C6B"/>
    <w:rsid w:val="68610A2F"/>
    <w:rsid w:val="68805514"/>
    <w:rsid w:val="68AB69D7"/>
    <w:rsid w:val="68C34233"/>
    <w:rsid w:val="68E7386F"/>
    <w:rsid w:val="68EE4BAC"/>
    <w:rsid w:val="69321A23"/>
    <w:rsid w:val="69361881"/>
    <w:rsid w:val="69362744"/>
    <w:rsid w:val="694E2071"/>
    <w:rsid w:val="69690D6B"/>
    <w:rsid w:val="697A3B33"/>
    <w:rsid w:val="69847953"/>
    <w:rsid w:val="69886D18"/>
    <w:rsid w:val="699E2456"/>
    <w:rsid w:val="69BE2739"/>
    <w:rsid w:val="69EC32FE"/>
    <w:rsid w:val="69F525FF"/>
    <w:rsid w:val="6A0C16F7"/>
    <w:rsid w:val="6AC10733"/>
    <w:rsid w:val="6AE76810"/>
    <w:rsid w:val="6B151DBC"/>
    <w:rsid w:val="6B221046"/>
    <w:rsid w:val="6B2A452A"/>
    <w:rsid w:val="6B322639"/>
    <w:rsid w:val="6B480E55"/>
    <w:rsid w:val="6BC56001"/>
    <w:rsid w:val="6BDF592F"/>
    <w:rsid w:val="6C060AF4"/>
    <w:rsid w:val="6C1256EA"/>
    <w:rsid w:val="6C44161C"/>
    <w:rsid w:val="6C636C38"/>
    <w:rsid w:val="6C643A6C"/>
    <w:rsid w:val="6CCD33BF"/>
    <w:rsid w:val="6CD209D6"/>
    <w:rsid w:val="6CEE3336"/>
    <w:rsid w:val="6D0858D0"/>
    <w:rsid w:val="6D1014FE"/>
    <w:rsid w:val="6D423264"/>
    <w:rsid w:val="6DB34098"/>
    <w:rsid w:val="6DB545B6"/>
    <w:rsid w:val="6DF1132F"/>
    <w:rsid w:val="6E0472B5"/>
    <w:rsid w:val="6E0D1AB3"/>
    <w:rsid w:val="6E3B220B"/>
    <w:rsid w:val="6E4375A0"/>
    <w:rsid w:val="6E514CED"/>
    <w:rsid w:val="6E731D44"/>
    <w:rsid w:val="6E74363E"/>
    <w:rsid w:val="6E79491A"/>
    <w:rsid w:val="6E8217EE"/>
    <w:rsid w:val="6E971ED7"/>
    <w:rsid w:val="6EB563D5"/>
    <w:rsid w:val="6EDD3662"/>
    <w:rsid w:val="6F225983"/>
    <w:rsid w:val="6F2B261F"/>
    <w:rsid w:val="6F5B1156"/>
    <w:rsid w:val="6F871F4B"/>
    <w:rsid w:val="6F9E1043"/>
    <w:rsid w:val="6FFC5590"/>
    <w:rsid w:val="700F2656"/>
    <w:rsid w:val="70301DA3"/>
    <w:rsid w:val="705100B5"/>
    <w:rsid w:val="705D0EFE"/>
    <w:rsid w:val="706D1DD0"/>
    <w:rsid w:val="707D1645"/>
    <w:rsid w:val="70856B87"/>
    <w:rsid w:val="70D527EE"/>
    <w:rsid w:val="70F03B20"/>
    <w:rsid w:val="710535D9"/>
    <w:rsid w:val="71235CA4"/>
    <w:rsid w:val="71297032"/>
    <w:rsid w:val="715045BF"/>
    <w:rsid w:val="715B5300"/>
    <w:rsid w:val="715D65DA"/>
    <w:rsid w:val="715F4BD7"/>
    <w:rsid w:val="717209D9"/>
    <w:rsid w:val="71800536"/>
    <w:rsid w:val="71BE7E74"/>
    <w:rsid w:val="71D27F8A"/>
    <w:rsid w:val="71F744C6"/>
    <w:rsid w:val="71F960CF"/>
    <w:rsid w:val="72220DAF"/>
    <w:rsid w:val="722515A8"/>
    <w:rsid w:val="722A4E10"/>
    <w:rsid w:val="728C5ACB"/>
    <w:rsid w:val="72D618BC"/>
    <w:rsid w:val="72F32B0E"/>
    <w:rsid w:val="72F40C55"/>
    <w:rsid w:val="72FA0C86"/>
    <w:rsid w:val="731F5D5E"/>
    <w:rsid w:val="73504D4A"/>
    <w:rsid w:val="73706993"/>
    <w:rsid w:val="73B6003A"/>
    <w:rsid w:val="73DE4104"/>
    <w:rsid w:val="73E55492"/>
    <w:rsid w:val="741E793C"/>
    <w:rsid w:val="74271402"/>
    <w:rsid w:val="74343D24"/>
    <w:rsid w:val="74A40EAA"/>
    <w:rsid w:val="74A82608"/>
    <w:rsid w:val="74DF0134"/>
    <w:rsid w:val="74F45F84"/>
    <w:rsid w:val="751F2C26"/>
    <w:rsid w:val="751F33E1"/>
    <w:rsid w:val="7521699E"/>
    <w:rsid w:val="75484ADB"/>
    <w:rsid w:val="758D75E2"/>
    <w:rsid w:val="75B618B0"/>
    <w:rsid w:val="75E8126A"/>
    <w:rsid w:val="75F53987"/>
    <w:rsid w:val="75FF0362"/>
    <w:rsid w:val="76404C02"/>
    <w:rsid w:val="7660341E"/>
    <w:rsid w:val="769F1D04"/>
    <w:rsid w:val="76A827A7"/>
    <w:rsid w:val="76C9059D"/>
    <w:rsid w:val="76CD6BFE"/>
    <w:rsid w:val="76D9077B"/>
    <w:rsid w:val="76DB2EF4"/>
    <w:rsid w:val="77404120"/>
    <w:rsid w:val="7760202A"/>
    <w:rsid w:val="776F6C67"/>
    <w:rsid w:val="77762421"/>
    <w:rsid w:val="778E5E41"/>
    <w:rsid w:val="77A2369A"/>
    <w:rsid w:val="77AE3DED"/>
    <w:rsid w:val="77AF2A16"/>
    <w:rsid w:val="77DA2A31"/>
    <w:rsid w:val="77F374F0"/>
    <w:rsid w:val="780F09F4"/>
    <w:rsid w:val="781C392B"/>
    <w:rsid w:val="789C4F47"/>
    <w:rsid w:val="78A82F32"/>
    <w:rsid w:val="78A90480"/>
    <w:rsid w:val="78B2182E"/>
    <w:rsid w:val="78E126B7"/>
    <w:rsid w:val="791A5BDE"/>
    <w:rsid w:val="79255A46"/>
    <w:rsid w:val="794E7636"/>
    <w:rsid w:val="795D5ACB"/>
    <w:rsid w:val="79811327"/>
    <w:rsid w:val="79841499"/>
    <w:rsid w:val="799D4109"/>
    <w:rsid w:val="799E680F"/>
    <w:rsid w:val="79D62ABF"/>
    <w:rsid w:val="79E63D12"/>
    <w:rsid w:val="79FA6A38"/>
    <w:rsid w:val="7A2F7467"/>
    <w:rsid w:val="7A340F15"/>
    <w:rsid w:val="7A364017"/>
    <w:rsid w:val="7A5275FA"/>
    <w:rsid w:val="7A635363"/>
    <w:rsid w:val="7A721A4A"/>
    <w:rsid w:val="7A8265E1"/>
    <w:rsid w:val="7B083DED"/>
    <w:rsid w:val="7B56407B"/>
    <w:rsid w:val="7B607AF4"/>
    <w:rsid w:val="7B686D42"/>
    <w:rsid w:val="7B841746"/>
    <w:rsid w:val="7BCE2CB0"/>
    <w:rsid w:val="7C0B180E"/>
    <w:rsid w:val="7C274566"/>
    <w:rsid w:val="7C815F74"/>
    <w:rsid w:val="7CBD0DB4"/>
    <w:rsid w:val="7CCD740C"/>
    <w:rsid w:val="7CE359F9"/>
    <w:rsid w:val="7D0239FF"/>
    <w:rsid w:val="7D427B7E"/>
    <w:rsid w:val="7D5B0573"/>
    <w:rsid w:val="7D5E40CD"/>
    <w:rsid w:val="7D693BED"/>
    <w:rsid w:val="7D6A6376"/>
    <w:rsid w:val="7D924422"/>
    <w:rsid w:val="7DC9372F"/>
    <w:rsid w:val="7DD92145"/>
    <w:rsid w:val="7DF033B2"/>
    <w:rsid w:val="7E3C7CE5"/>
    <w:rsid w:val="7E9050F8"/>
    <w:rsid w:val="7EC550D4"/>
    <w:rsid w:val="7EEB33F9"/>
    <w:rsid w:val="7F967F89"/>
    <w:rsid w:val="7FE47E50"/>
    <w:rsid w:val="7FFF78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qFormat="1" w:unhideWhenUsed="0" w:uiPriority="99"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87"/>
    <w:autoRedefine/>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autoRedefine/>
    <w:qFormat/>
    <w:uiPriority w:val="0"/>
    <w:pPr>
      <w:keepNext/>
      <w:keepLines/>
      <w:spacing w:before="50" w:beforeLines="50" w:after="50" w:afterLines="50" w:line="360" w:lineRule="auto"/>
      <w:jc w:val="center"/>
      <w:outlineLvl w:val="1"/>
    </w:pPr>
    <w:rPr>
      <w:rFonts w:ascii="Arial" w:hAnsi="Arial"/>
      <w:b/>
      <w:bCs/>
      <w:sz w:val="30"/>
      <w:szCs w:val="32"/>
    </w:rPr>
  </w:style>
  <w:style w:type="paragraph" w:styleId="4">
    <w:name w:val="heading 3"/>
    <w:basedOn w:val="1"/>
    <w:next w:val="5"/>
    <w:autoRedefine/>
    <w:qFormat/>
    <w:uiPriority w:val="0"/>
    <w:pPr>
      <w:keepNext/>
      <w:keepLines/>
      <w:spacing w:beforeLines="0" w:afterLines="0" w:line="360" w:lineRule="auto"/>
      <w:ind w:firstLine="0" w:firstLineChars="0"/>
      <w:outlineLvl w:val="2"/>
    </w:pPr>
    <w:rPr>
      <w:rFonts w:ascii="Times New Roman" w:hAnsi="Times New Roman" w:eastAsia="宋体" w:cs="宋体"/>
      <w:b/>
      <w:color w:val="000000"/>
      <w:sz w:val="24"/>
    </w:rPr>
  </w:style>
  <w:style w:type="paragraph" w:styleId="8">
    <w:name w:val="heading 4"/>
    <w:basedOn w:val="1"/>
    <w:next w:val="1"/>
    <w:autoRedefine/>
    <w:qFormat/>
    <w:uiPriority w:val="0"/>
    <w:pPr>
      <w:keepNext/>
      <w:keepLines/>
      <w:outlineLvl w:val="3"/>
    </w:pPr>
    <w:rPr>
      <w:rFonts w:ascii="宋体" w:hAnsi="Arial"/>
      <w:bCs/>
      <w:snapToGrid w:val="0"/>
      <w:kern w:val="0"/>
      <w:sz w:val="28"/>
      <w:szCs w:val="28"/>
    </w:rPr>
  </w:style>
  <w:style w:type="paragraph" w:styleId="9">
    <w:name w:val="heading 6"/>
    <w:basedOn w:val="1"/>
    <w:next w:val="1"/>
    <w:qFormat/>
    <w:uiPriority w:val="99"/>
    <w:pPr>
      <w:keepNext/>
      <w:keepLines/>
      <w:spacing w:before="240" w:after="64" w:line="320" w:lineRule="auto"/>
      <w:ind w:left="1151" w:hanging="1151"/>
      <w:outlineLvl w:val="5"/>
    </w:pPr>
    <w:rPr>
      <w:rFonts w:ascii="Cambria" w:hAnsi="Cambria"/>
      <w:b/>
      <w:bCs/>
    </w:rPr>
  </w:style>
  <w:style w:type="character" w:default="1" w:styleId="29">
    <w:name w:val="Default Paragraph Font"/>
    <w:autoRedefine/>
    <w:semiHidden/>
    <w:qFormat/>
    <w:uiPriority w:val="0"/>
  </w:style>
  <w:style w:type="table" w:default="1" w:styleId="27">
    <w:name w:val="Normal Table"/>
    <w:autoRedefine/>
    <w:semiHidden/>
    <w:qFormat/>
    <w:uiPriority w:val="0"/>
    <w:tblPr>
      <w:tblCellMar>
        <w:top w:w="0" w:type="dxa"/>
        <w:left w:w="108" w:type="dxa"/>
        <w:bottom w:w="0" w:type="dxa"/>
        <w:right w:w="108" w:type="dxa"/>
      </w:tblCellMar>
    </w:tblPr>
  </w:style>
  <w:style w:type="paragraph" w:styleId="5">
    <w:name w:val="Body Text First Indent"/>
    <w:basedOn w:val="6"/>
    <w:autoRedefine/>
    <w:qFormat/>
    <w:uiPriority w:val="0"/>
    <w:pPr>
      <w:spacing w:after="0" w:line="480" w:lineRule="exact"/>
      <w:ind w:firstLine="200" w:firstLineChars="200"/>
    </w:pPr>
    <w:rPr>
      <w:sz w:val="28"/>
    </w:rPr>
  </w:style>
  <w:style w:type="paragraph" w:styleId="6">
    <w:name w:val="Body Text"/>
    <w:basedOn w:val="1"/>
    <w:next w:val="7"/>
    <w:link w:val="39"/>
    <w:autoRedefine/>
    <w:qFormat/>
    <w:uiPriority w:val="0"/>
    <w:pPr>
      <w:widowControl/>
      <w:snapToGrid w:val="0"/>
      <w:spacing w:before="60" w:after="160" w:line="259" w:lineRule="auto"/>
      <w:ind w:right="113"/>
    </w:pPr>
    <w:rPr>
      <w:kern w:val="0"/>
      <w:sz w:val="18"/>
      <w:szCs w:val="18"/>
    </w:rPr>
  </w:style>
  <w:style w:type="paragraph" w:styleId="7">
    <w:name w:val="Body Text Indent 3"/>
    <w:basedOn w:val="1"/>
    <w:next w:val="1"/>
    <w:autoRedefine/>
    <w:qFormat/>
    <w:uiPriority w:val="0"/>
    <w:pPr>
      <w:spacing w:line="520" w:lineRule="exact"/>
      <w:ind w:firstLine="560" w:firstLineChars="200"/>
    </w:pPr>
    <w:rPr>
      <w:kern w:val="0"/>
      <w:sz w:val="28"/>
      <w:szCs w:val="24"/>
    </w:rPr>
  </w:style>
  <w:style w:type="paragraph" w:styleId="10">
    <w:name w:val="List 3"/>
    <w:basedOn w:val="1"/>
    <w:autoRedefine/>
    <w:qFormat/>
    <w:uiPriority w:val="0"/>
    <w:pPr>
      <w:ind w:left="100" w:leftChars="400" w:hanging="200" w:hangingChars="200"/>
    </w:pPr>
  </w:style>
  <w:style w:type="paragraph" w:styleId="11">
    <w:name w:val="Normal Indent"/>
    <w:basedOn w:val="1"/>
    <w:autoRedefine/>
    <w:qFormat/>
    <w:uiPriority w:val="0"/>
    <w:pPr>
      <w:ind w:firstLine="420"/>
    </w:pPr>
    <w:rPr>
      <w:rFonts w:ascii="宋体"/>
    </w:rPr>
  </w:style>
  <w:style w:type="paragraph" w:styleId="12">
    <w:name w:val="annotation text"/>
    <w:basedOn w:val="1"/>
    <w:link w:val="41"/>
    <w:autoRedefine/>
    <w:semiHidden/>
    <w:qFormat/>
    <w:uiPriority w:val="0"/>
    <w:pPr>
      <w:jc w:val="left"/>
    </w:pPr>
    <w:rPr>
      <w:kern w:val="0"/>
      <w:sz w:val="20"/>
    </w:rPr>
  </w:style>
  <w:style w:type="paragraph" w:styleId="13">
    <w:name w:val="index 6"/>
    <w:basedOn w:val="1"/>
    <w:next w:val="1"/>
    <w:autoRedefine/>
    <w:qFormat/>
    <w:uiPriority w:val="0"/>
    <w:pPr>
      <w:spacing w:line="560" w:lineRule="exact"/>
      <w:ind w:left="2100" w:firstLine="200"/>
      <w:jc w:val="left"/>
    </w:pPr>
  </w:style>
  <w:style w:type="paragraph" w:styleId="14">
    <w:name w:val="Body Text Indent"/>
    <w:basedOn w:val="1"/>
    <w:link w:val="40"/>
    <w:autoRedefine/>
    <w:semiHidden/>
    <w:qFormat/>
    <w:uiPriority w:val="0"/>
    <w:pPr>
      <w:spacing w:after="120"/>
      <w:ind w:left="420" w:leftChars="200"/>
    </w:pPr>
  </w:style>
  <w:style w:type="paragraph" w:styleId="15">
    <w:name w:val="Plain Text"/>
    <w:basedOn w:val="1"/>
    <w:autoRedefine/>
    <w:qFormat/>
    <w:uiPriority w:val="0"/>
    <w:rPr>
      <w:rFonts w:ascii="宋体" w:hAnsi="Courier New"/>
      <w:sz w:val="21"/>
    </w:rPr>
  </w:style>
  <w:style w:type="paragraph" w:styleId="16">
    <w:name w:val="Date"/>
    <w:basedOn w:val="1"/>
    <w:next w:val="1"/>
    <w:link w:val="42"/>
    <w:autoRedefine/>
    <w:qFormat/>
    <w:uiPriority w:val="0"/>
    <w:pPr>
      <w:ind w:left="100" w:leftChars="2500"/>
    </w:pPr>
    <w:rPr>
      <w:kern w:val="0"/>
      <w:sz w:val="20"/>
    </w:rPr>
  </w:style>
  <w:style w:type="paragraph" w:styleId="17">
    <w:name w:val="Body Text Indent 2"/>
    <w:basedOn w:val="1"/>
    <w:autoRedefine/>
    <w:qFormat/>
    <w:uiPriority w:val="0"/>
    <w:pPr>
      <w:ind w:firstLine="573"/>
    </w:pPr>
    <w:rPr>
      <w:sz w:val="28"/>
    </w:rPr>
  </w:style>
  <w:style w:type="paragraph" w:styleId="18">
    <w:name w:val="Balloon Text"/>
    <w:basedOn w:val="1"/>
    <w:link w:val="43"/>
    <w:autoRedefine/>
    <w:semiHidden/>
    <w:qFormat/>
    <w:uiPriority w:val="0"/>
    <w:rPr>
      <w:sz w:val="18"/>
      <w:szCs w:val="18"/>
    </w:rPr>
  </w:style>
  <w:style w:type="paragraph" w:styleId="19">
    <w:name w:val="footer"/>
    <w:basedOn w:val="1"/>
    <w:next w:val="1"/>
    <w:link w:val="44"/>
    <w:autoRedefine/>
    <w:qFormat/>
    <w:uiPriority w:val="0"/>
    <w:pPr>
      <w:tabs>
        <w:tab w:val="center" w:pos="4153"/>
        <w:tab w:val="right" w:pos="8306"/>
      </w:tabs>
      <w:snapToGrid w:val="0"/>
      <w:jc w:val="left"/>
    </w:pPr>
    <w:rPr>
      <w:sz w:val="18"/>
      <w:szCs w:val="18"/>
    </w:rPr>
  </w:style>
  <w:style w:type="paragraph" w:styleId="20">
    <w:name w:val="header"/>
    <w:basedOn w:val="1"/>
    <w:link w:val="45"/>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List"/>
    <w:basedOn w:val="1"/>
    <w:qFormat/>
    <w:uiPriority w:val="0"/>
    <w:pPr>
      <w:ind w:left="200" w:hanging="200" w:hangingChars="200"/>
    </w:pPr>
  </w:style>
  <w:style w:type="paragraph" w:styleId="22">
    <w:name w:val="table of figures"/>
    <w:basedOn w:val="1"/>
    <w:next w:val="1"/>
    <w:autoRedefine/>
    <w:qFormat/>
    <w:uiPriority w:val="99"/>
    <w:pPr>
      <w:spacing w:line="240" w:lineRule="auto"/>
      <w:jc w:val="center"/>
    </w:pPr>
    <w:rPr>
      <w:rFonts w:eastAsia="黑体"/>
      <w:b/>
    </w:rPr>
  </w:style>
  <w:style w:type="paragraph" w:styleId="23">
    <w:name w:val="toc 2"/>
    <w:basedOn w:val="1"/>
    <w:next w:val="1"/>
    <w:autoRedefine/>
    <w:qFormat/>
    <w:uiPriority w:val="0"/>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24">
    <w:name w:val="Normal (Web)"/>
    <w:basedOn w:val="1"/>
    <w:link w:val="46"/>
    <w:autoRedefine/>
    <w:qFormat/>
    <w:uiPriority w:val="0"/>
    <w:pPr>
      <w:widowControl/>
      <w:spacing w:before="100" w:beforeAutospacing="1" w:after="100" w:afterAutospacing="1"/>
      <w:jc w:val="left"/>
    </w:pPr>
    <w:rPr>
      <w:rFonts w:ascii="宋体" w:hAnsi="宋体"/>
      <w:kern w:val="0"/>
      <w:sz w:val="24"/>
    </w:rPr>
  </w:style>
  <w:style w:type="paragraph" w:styleId="25">
    <w:name w:val="annotation subject"/>
    <w:basedOn w:val="12"/>
    <w:next w:val="12"/>
    <w:link w:val="47"/>
    <w:autoRedefine/>
    <w:semiHidden/>
    <w:qFormat/>
    <w:uiPriority w:val="0"/>
    <w:rPr>
      <w:b/>
      <w:bCs/>
    </w:rPr>
  </w:style>
  <w:style w:type="paragraph" w:styleId="26">
    <w:name w:val="Body Text First Indent 2"/>
    <w:basedOn w:val="14"/>
    <w:autoRedefine/>
    <w:qFormat/>
    <w:uiPriority w:val="0"/>
    <w:pPr>
      <w:ind w:firstLine="420"/>
    </w:pPr>
  </w:style>
  <w:style w:type="table" w:styleId="28">
    <w:name w:val="Table Grid"/>
    <w:basedOn w:val="27"/>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autoRedefine/>
    <w:qFormat/>
    <w:uiPriority w:val="0"/>
    <w:rPr>
      <w:b/>
      <w:bCs/>
    </w:rPr>
  </w:style>
  <w:style w:type="character" w:styleId="31">
    <w:name w:val="page number"/>
    <w:basedOn w:val="29"/>
    <w:autoRedefine/>
    <w:qFormat/>
    <w:uiPriority w:val="0"/>
  </w:style>
  <w:style w:type="character" w:styleId="32">
    <w:name w:val="annotation reference"/>
    <w:basedOn w:val="29"/>
    <w:autoRedefine/>
    <w:semiHidden/>
    <w:qFormat/>
    <w:uiPriority w:val="0"/>
    <w:rPr>
      <w:sz w:val="21"/>
    </w:rPr>
  </w:style>
  <w:style w:type="paragraph" w:customStyle="1" w:styleId="33">
    <w:name w:val="样式 正文缩进正文缩进2正文缩进 Char Char正文缩进 Char Char Char Char正文缩进 Char ..."/>
    <w:basedOn w:val="11"/>
    <w:autoRedefine/>
    <w:qFormat/>
    <w:uiPriority w:val="0"/>
    <w:pPr>
      <w:ind w:firstLine="200" w:firstLineChars="200"/>
    </w:pPr>
    <w:rPr>
      <w:rFonts w:ascii="Times New Roman" w:hAnsi="Times New Roman" w:cs="宋体"/>
      <w:sz w:val="24"/>
    </w:rPr>
  </w:style>
  <w:style w:type="paragraph" w:customStyle="1" w:styleId="34">
    <w:name w:val="Default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Default"/>
    <w:basedOn w:val="36"/>
    <w:next w:val="1"/>
    <w:autoRedefine/>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6">
    <w:name w:val="纯文本1"/>
    <w:basedOn w:val="1"/>
    <w:autoRedefine/>
    <w:qFormat/>
    <w:uiPriority w:val="0"/>
    <w:pPr>
      <w:adjustRightInd w:val="0"/>
      <w:spacing w:line="336" w:lineRule="auto"/>
      <w:ind w:firstLine="510"/>
      <w:textAlignment w:val="baseline"/>
    </w:pPr>
    <w:rPr>
      <w:rFonts w:ascii="宋体" w:hAnsi="Courier New"/>
      <w:szCs w:val="20"/>
    </w:rPr>
  </w:style>
  <w:style w:type="paragraph" w:customStyle="1" w:styleId="37">
    <w:name w:val="默认段落"/>
    <w:basedOn w:val="1"/>
    <w:autoRedefine/>
    <w:qFormat/>
    <w:uiPriority w:val="99"/>
  </w:style>
  <w:style w:type="paragraph" w:customStyle="1" w:styleId="38">
    <w:name w:val="正文首行缩进二字符"/>
    <w:autoRedefine/>
    <w:qFormat/>
    <w:uiPriority w:val="0"/>
    <w:pPr>
      <w:widowControl w:val="0"/>
      <w:adjustRightInd w:val="0"/>
      <w:snapToGrid w:val="0"/>
      <w:spacing w:line="360" w:lineRule="auto"/>
      <w:ind w:firstLine="480" w:firstLineChars="200"/>
    </w:pPr>
    <w:rPr>
      <w:rFonts w:ascii="Times New Roman" w:hAnsi="Times New Roman" w:eastAsia="宋体" w:cs="Times New Roman"/>
      <w:color w:val="000000"/>
      <w:kern w:val="2"/>
      <w:sz w:val="24"/>
      <w:szCs w:val="24"/>
      <w:lang w:val="en-US" w:eastAsia="zh-CN" w:bidi="ar-SA"/>
    </w:rPr>
  </w:style>
  <w:style w:type="character" w:customStyle="1" w:styleId="39">
    <w:name w:val="Body Text Char"/>
    <w:link w:val="6"/>
    <w:autoRedefine/>
    <w:qFormat/>
    <w:uiPriority w:val="0"/>
    <w:rPr>
      <w:sz w:val="18"/>
    </w:rPr>
  </w:style>
  <w:style w:type="character" w:customStyle="1" w:styleId="40">
    <w:name w:val="Body Text Indent Char"/>
    <w:basedOn w:val="29"/>
    <w:link w:val="14"/>
    <w:autoRedefine/>
    <w:semiHidden/>
    <w:qFormat/>
    <w:uiPriority w:val="0"/>
    <w:rPr>
      <w:rFonts w:ascii="Times New Roman" w:hAnsi="Times New Roman" w:eastAsia="宋体" w:cs="Times New Roman"/>
      <w:sz w:val="24"/>
      <w:szCs w:val="24"/>
    </w:rPr>
  </w:style>
  <w:style w:type="character" w:customStyle="1" w:styleId="41">
    <w:name w:val="Comment Text Char"/>
    <w:link w:val="12"/>
    <w:autoRedefine/>
    <w:qFormat/>
    <w:uiPriority w:val="0"/>
    <w:rPr>
      <w:rFonts w:ascii="Times New Roman" w:hAnsi="Times New Roman" w:eastAsia="宋体"/>
      <w:sz w:val="24"/>
    </w:rPr>
  </w:style>
  <w:style w:type="character" w:customStyle="1" w:styleId="42">
    <w:name w:val="Date Char"/>
    <w:link w:val="16"/>
    <w:autoRedefine/>
    <w:qFormat/>
    <w:uiPriority w:val="0"/>
    <w:rPr>
      <w:rFonts w:ascii="Times New Roman" w:hAnsi="Times New Roman" w:eastAsia="宋体"/>
      <w:sz w:val="24"/>
    </w:rPr>
  </w:style>
  <w:style w:type="character" w:customStyle="1" w:styleId="43">
    <w:name w:val="Balloon Text Char"/>
    <w:basedOn w:val="29"/>
    <w:link w:val="18"/>
    <w:autoRedefine/>
    <w:semiHidden/>
    <w:qFormat/>
    <w:uiPriority w:val="0"/>
    <w:rPr>
      <w:rFonts w:ascii="Times New Roman" w:hAnsi="Times New Roman" w:eastAsia="宋体" w:cs="Times New Roman"/>
      <w:sz w:val="18"/>
      <w:szCs w:val="18"/>
    </w:rPr>
  </w:style>
  <w:style w:type="character" w:customStyle="1" w:styleId="44">
    <w:name w:val="Footer Char"/>
    <w:basedOn w:val="29"/>
    <w:link w:val="19"/>
    <w:autoRedefine/>
    <w:qFormat/>
    <w:uiPriority w:val="0"/>
    <w:rPr>
      <w:rFonts w:cs="Times New Roman"/>
      <w:sz w:val="18"/>
      <w:szCs w:val="18"/>
    </w:rPr>
  </w:style>
  <w:style w:type="character" w:customStyle="1" w:styleId="45">
    <w:name w:val="Header Char"/>
    <w:basedOn w:val="29"/>
    <w:link w:val="20"/>
    <w:autoRedefine/>
    <w:qFormat/>
    <w:uiPriority w:val="0"/>
    <w:rPr>
      <w:rFonts w:cs="Times New Roman"/>
      <w:sz w:val="18"/>
      <w:szCs w:val="18"/>
    </w:rPr>
  </w:style>
  <w:style w:type="character" w:customStyle="1" w:styleId="46">
    <w:name w:val="Normal (Web) Char"/>
    <w:link w:val="24"/>
    <w:autoRedefine/>
    <w:qFormat/>
    <w:uiPriority w:val="0"/>
    <w:rPr>
      <w:rFonts w:ascii="宋体" w:hAnsi="宋体" w:eastAsia="宋体"/>
      <w:sz w:val="24"/>
    </w:rPr>
  </w:style>
  <w:style w:type="character" w:customStyle="1" w:styleId="47">
    <w:name w:val="Comment Subject Char"/>
    <w:basedOn w:val="41"/>
    <w:link w:val="25"/>
    <w:autoRedefine/>
    <w:semiHidden/>
    <w:qFormat/>
    <w:uiPriority w:val="0"/>
    <w:rPr>
      <w:rFonts w:cs="Times New Roman"/>
      <w:b/>
      <w:bCs/>
      <w:kern w:val="2"/>
      <w:szCs w:val="24"/>
    </w:rPr>
  </w:style>
  <w:style w:type="paragraph" w:customStyle="1" w:styleId="48">
    <w:name w:val="表头"/>
    <w:basedOn w:val="49"/>
    <w:next w:val="1"/>
    <w:autoRedefine/>
    <w:qFormat/>
    <w:uiPriority w:val="0"/>
    <w:pPr>
      <w:spacing w:line="560" w:lineRule="exact"/>
      <w:ind w:firstLine="100" w:firstLineChars="100"/>
      <w:jc w:val="left"/>
      <w:outlineLvl w:val="3"/>
    </w:pPr>
    <w:rPr>
      <w:rFonts w:ascii="宋体" w:hAnsi="宋体" w:eastAsia="黑体"/>
      <w:sz w:val="24"/>
      <w:szCs w:val="28"/>
    </w:rPr>
  </w:style>
  <w:style w:type="paragraph" w:customStyle="1" w:styleId="49">
    <w:name w:val="A正文"/>
    <w:basedOn w:val="1"/>
    <w:autoRedefine/>
    <w:qFormat/>
    <w:uiPriority w:val="0"/>
    <w:pPr>
      <w:spacing w:before="100" w:beforeAutospacing="1"/>
      <w:ind w:firstLine="480"/>
      <w:jc w:val="left"/>
    </w:pPr>
    <w:rPr>
      <w:snapToGrid w:val="0"/>
      <w:kern w:val="0"/>
      <w:szCs w:val="20"/>
      <w:lang w:val="zh-CN"/>
    </w:rPr>
  </w:style>
  <w:style w:type="paragraph" w:customStyle="1" w:styleId="50">
    <w:name w:val="样式基础"/>
    <w:autoRedefine/>
    <w:qFormat/>
    <w:uiPriority w:val="0"/>
    <w:pPr>
      <w:widowControl w:val="0"/>
      <w:adjustRightInd w:val="0"/>
      <w:snapToGrid w:val="0"/>
      <w:spacing w:line="360" w:lineRule="auto"/>
    </w:pPr>
    <w:rPr>
      <w:rFonts w:ascii="宋体" w:hAnsi="宋体" w:eastAsia="宋体" w:cs="Times New Roman"/>
      <w:sz w:val="24"/>
      <w:szCs w:val="24"/>
      <w:lang w:val="en-US" w:eastAsia="zh-CN" w:bidi="ar-SA"/>
    </w:rPr>
  </w:style>
  <w:style w:type="paragraph" w:customStyle="1" w:styleId="51">
    <w:name w:val="表格"/>
    <w:basedOn w:val="11"/>
    <w:link w:val="52"/>
    <w:autoRedefine/>
    <w:qFormat/>
    <w:uiPriority w:val="0"/>
    <w:pPr>
      <w:adjustRightInd w:val="0"/>
      <w:snapToGrid w:val="0"/>
      <w:spacing w:line="240" w:lineRule="auto"/>
      <w:ind w:firstLine="0" w:firstLineChars="0"/>
      <w:jc w:val="center"/>
    </w:pPr>
    <w:rPr>
      <w:rFonts w:ascii="Times New Roman" w:hAnsi="Times New Roman" w:eastAsia="宋体"/>
      <w:kern w:val="0"/>
      <w:sz w:val="21"/>
      <w:szCs w:val="21"/>
    </w:rPr>
  </w:style>
  <w:style w:type="character" w:customStyle="1" w:styleId="52">
    <w:name w:val="表格 Char"/>
    <w:link w:val="51"/>
    <w:autoRedefine/>
    <w:qFormat/>
    <w:uiPriority w:val="0"/>
    <w:rPr>
      <w:rFonts w:ascii="Times New Roman" w:hAnsi="Times New Roman" w:eastAsia="宋体"/>
      <w:sz w:val="21"/>
    </w:rPr>
  </w:style>
  <w:style w:type="character" w:customStyle="1" w:styleId="53">
    <w:name w:val="正文文本 字符1"/>
    <w:basedOn w:val="29"/>
    <w:autoRedefine/>
    <w:semiHidden/>
    <w:qFormat/>
    <w:uiPriority w:val="0"/>
    <w:rPr>
      <w:rFonts w:ascii="Times New Roman" w:hAnsi="Times New Roman" w:eastAsia="宋体" w:cs="Times New Roman"/>
      <w:sz w:val="24"/>
      <w:szCs w:val="24"/>
    </w:rPr>
  </w:style>
  <w:style w:type="character" w:customStyle="1" w:styleId="54">
    <w:name w:val="普通(网站) Char"/>
    <w:autoRedefine/>
    <w:qFormat/>
    <w:uiPriority w:val="0"/>
    <w:rPr>
      <w:rFonts w:ascii="宋体" w:hAnsi="宋体" w:eastAsia="宋体"/>
      <w:sz w:val="24"/>
    </w:rPr>
  </w:style>
  <w:style w:type="character" w:customStyle="1" w:styleId="55">
    <w:name w:val="批注文字 字符1"/>
    <w:basedOn w:val="29"/>
    <w:autoRedefine/>
    <w:semiHidden/>
    <w:qFormat/>
    <w:uiPriority w:val="0"/>
    <w:rPr>
      <w:rFonts w:ascii="Times New Roman" w:hAnsi="Times New Roman" w:eastAsia="宋体" w:cs="Times New Roman"/>
      <w:sz w:val="24"/>
      <w:szCs w:val="24"/>
    </w:rPr>
  </w:style>
  <w:style w:type="character" w:customStyle="1" w:styleId="56">
    <w:name w:val="日期 字符"/>
    <w:basedOn w:val="29"/>
    <w:autoRedefine/>
    <w:semiHidden/>
    <w:qFormat/>
    <w:uiPriority w:val="0"/>
    <w:rPr>
      <w:rFonts w:ascii="Times New Roman" w:hAnsi="Times New Roman" w:eastAsia="宋体" w:cs="Times New Roman"/>
      <w:sz w:val="24"/>
      <w:szCs w:val="24"/>
    </w:rPr>
  </w:style>
  <w:style w:type="character" w:customStyle="1" w:styleId="57">
    <w:name w:val="无格式文本"/>
    <w:autoRedefine/>
    <w:qFormat/>
    <w:uiPriority w:val="0"/>
  </w:style>
  <w:style w:type="paragraph" w:customStyle="1" w:styleId="58">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59">
    <w:name w:val="表格内容"/>
    <w:basedOn w:val="11"/>
    <w:next w:val="1"/>
    <w:autoRedefine/>
    <w:qFormat/>
    <w:uiPriority w:val="0"/>
    <w:pPr>
      <w:spacing w:line="312" w:lineRule="auto"/>
      <w:ind w:firstLine="0"/>
      <w:jc w:val="center"/>
    </w:pPr>
    <w:rPr>
      <w:rFonts w:ascii="Times New Roman"/>
      <w:sz w:val="21"/>
    </w:rPr>
  </w:style>
  <w:style w:type="paragraph" w:customStyle="1" w:styleId="60">
    <w:name w:val="Table Paragraph"/>
    <w:basedOn w:val="1"/>
    <w:autoRedefine/>
    <w:qFormat/>
    <w:uiPriority w:val="1"/>
    <w:pPr>
      <w:jc w:val="center"/>
    </w:pPr>
    <w:rPr>
      <w:rFonts w:ascii="宋体" w:hAnsi="宋体" w:eastAsia="宋体" w:cs="宋体"/>
      <w:lang w:val="zh-CN" w:eastAsia="zh-CN" w:bidi="zh-CN"/>
    </w:rPr>
  </w:style>
  <w:style w:type="paragraph" w:customStyle="1" w:styleId="61">
    <w:name w:val="表内字"/>
    <w:basedOn w:val="1"/>
    <w:autoRedefine/>
    <w:qFormat/>
    <w:uiPriority w:val="0"/>
    <w:pPr>
      <w:spacing w:line="300" w:lineRule="atLeast"/>
      <w:ind w:firstLine="0" w:firstLineChars="0"/>
      <w:jc w:val="center"/>
    </w:pPr>
    <w:rPr>
      <w:kern w:val="0"/>
    </w:rPr>
  </w:style>
  <w:style w:type="paragraph" w:customStyle="1" w:styleId="62">
    <w:name w:val="纯 文本样式"/>
    <w:basedOn w:val="1"/>
    <w:autoRedefine/>
    <w:qFormat/>
    <w:uiPriority w:val="0"/>
    <w:pPr>
      <w:spacing w:line="460" w:lineRule="exact"/>
      <w:ind w:firstLine="480" w:firstLineChars="200"/>
    </w:pPr>
    <w:rPr>
      <w:rFonts w:ascii="宋体" w:hAnsi="宋体" w:cs="宋体"/>
      <w:color w:val="000000"/>
      <w:sz w:val="24"/>
      <w:szCs w:val="20"/>
    </w:rPr>
  </w:style>
  <w:style w:type="paragraph" w:customStyle="1" w:styleId="63">
    <w:name w:val="表、图标题"/>
    <w:basedOn w:val="1"/>
    <w:autoRedefine/>
    <w:qFormat/>
    <w:uiPriority w:val="0"/>
    <w:pPr>
      <w:spacing w:before="50" w:beforeLines="50" w:line="240" w:lineRule="auto"/>
      <w:jc w:val="center"/>
    </w:pPr>
    <w:rPr>
      <w:rFonts w:ascii="Times New Roman" w:hAnsi="Times New Roman" w:eastAsia="宋体"/>
      <w:color w:val="000000"/>
      <w:sz w:val="24"/>
    </w:rPr>
  </w:style>
  <w:style w:type="paragraph" w:customStyle="1" w:styleId="64">
    <w:name w:val="样式 首行缩进:  2 字符"/>
    <w:basedOn w:val="1"/>
    <w:autoRedefine/>
    <w:qFormat/>
    <w:uiPriority w:val="0"/>
    <w:pPr>
      <w:snapToGrid w:val="0"/>
      <w:spacing w:line="300" w:lineRule="auto"/>
    </w:pPr>
    <w:rPr>
      <w:sz w:val="28"/>
    </w:rPr>
  </w:style>
  <w:style w:type="paragraph" w:customStyle="1" w:styleId="65">
    <w:name w:val="样式5"/>
    <w:basedOn w:val="1"/>
    <w:autoRedefine/>
    <w:qFormat/>
    <w:uiPriority w:val="0"/>
    <w:pPr>
      <w:spacing w:line="480" w:lineRule="exact"/>
      <w:ind w:firstLine="520"/>
    </w:pPr>
  </w:style>
  <w:style w:type="paragraph" w:customStyle="1" w:styleId="66">
    <w:name w:val="A-表格"/>
    <w:basedOn w:val="1"/>
    <w:autoRedefine/>
    <w:qFormat/>
    <w:uiPriority w:val="0"/>
    <w:pPr>
      <w:spacing w:line="240" w:lineRule="auto"/>
      <w:ind w:firstLine="0" w:firstLineChars="0"/>
      <w:jc w:val="center"/>
    </w:pPr>
    <w:rPr>
      <w:sz w:val="21"/>
      <w:szCs w:val="18"/>
      <w:lang w:val="zh-CN"/>
    </w:rPr>
  </w:style>
  <w:style w:type="paragraph" w:styleId="67">
    <w:name w:val="List Paragraph"/>
    <w:basedOn w:val="1"/>
    <w:autoRedefine/>
    <w:qFormat/>
    <w:uiPriority w:val="1"/>
    <w:pPr>
      <w:ind w:left="1244" w:hanging="602"/>
    </w:pPr>
    <w:rPr>
      <w:rFonts w:ascii="宋体" w:hAnsi="宋体" w:eastAsia="宋体" w:cs="宋体"/>
      <w:lang w:val="zh-CN" w:eastAsia="zh-CN" w:bidi="zh-CN"/>
    </w:rPr>
  </w:style>
  <w:style w:type="paragraph" w:customStyle="1" w:styleId="68">
    <w:name w:val="表、图头"/>
    <w:basedOn w:val="1"/>
    <w:autoRedefine/>
    <w:qFormat/>
    <w:uiPriority w:val="0"/>
    <w:pPr>
      <w:spacing w:beforeLines="50"/>
      <w:jc w:val="center"/>
    </w:pPr>
    <w:rPr>
      <w:rFonts w:eastAsia="黑体"/>
    </w:rPr>
  </w:style>
  <w:style w:type="paragraph" w:customStyle="1" w:styleId="69">
    <w:name w:val="表格体"/>
    <w:basedOn w:val="1"/>
    <w:autoRedefine/>
    <w:qFormat/>
    <w:uiPriority w:val="0"/>
    <w:pPr>
      <w:adjustRightInd w:val="0"/>
      <w:snapToGrid w:val="0"/>
      <w:spacing w:line="360" w:lineRule="auto"/>
      <w:ind w:firstLine="200" w:firstLineChars="200"/>
      <w:jc w:val="center"/>
    </w:pPr>
    <w:rPr>
      <w:bCs/>
    </w:rPr>
  </w:style>
  <w:style w:type="paragraph" w:customStyle="1" w:styleId="70">
    <w:name w:val="表中"/>
    <w:basedOn w:val="1"/>
    <w:autoRedefine/>
    <w:qFormat/>
    <w:uiPriority w:val="0"/>
    <w:pPr>
      <w:spacing w:line="240" w:lineRule="atLeast"/>
      <w:ind w:firstLine="0" w:firstLineChars="0"/>
      <w:jc w:val="center"/>
    </w:pPr>
    <w:rPr>
      <w:rFonts w:ascii="Times New Roman" w:hAnsi="Times New Roman" w:eastAsia="宋体"/>
      <w:sz w:val="21"/>
    </w:rPr>
  </w:style>
  <w:style w:type="paragraph" w:customStyle="1" w:styleId="71">
    <w:name w:val="正文1"/>
    <w:basedOn w:val="1"/>
    <w:autoRedefine/>
    <w:qFormat/>
    <w:uiPriority w:val="0"/>
    <w:pPr>
      <w:spacing w:line="240" w:lineRule="auto"/>
      <w:ind w:firstLine="0" w:firstLineChars="0"/>
      <w:jc w:val="center"/>
    </w:pPr>
    <w:rPr>
      <w:spacing w:val="6"/>
      <w:sz w:val="21"/>
    </w:rPr>
  </w:style>
  <w:style w:type="paragraph" w:customStyle="1" w:styleId="72">
    <w:name w:val="Other|1"/>
    <w:basedOn w:val="1"/>
    <w:autoRedefine/>
    <w:qFormat/>
    <w:uiPriority w:val="0"/>
    <w:pPr>
      <w:widowControl w:val="0"/>
      <w:shd w:val="clear" w:color="auto" w:fill="auto"/>
      <w:spacing w:line="454" w:lineRule="auto"/>
      <w:ind w:firstLine="400"/>
    </w:pPr>
    <w:rPr>
      <w:rFonts w:ascii="宋体" w:hAnsi="宋体" w:eastAsia="宋体" w:cs="宋体"/>
      <w:sz w:val="20"/>
      <w:szCs w:val="20"/>
      <w:u w:val="none"/>
      <w:shd w:val="clear" w:color="auto" w:fill="auto"/>
      <w:lang w:val="zh-TW" w:eastAsia="zh-TW" w:bidi="zh-TW"/>
    </w:rPr>
  </w:style>
  <w:style w:type="character" w:customStyle="1" w:styleId="73">
    <w:name w:val="样式 正文文字 Char Char Char Char Char"/>
    <w:link w:val="74"/>
    <w:autoRedefine/>
    <w:qFormat/>
    <w:uiPriority w:val="0"/>
    <w:rPr>
      <w:rFonts w:ascii="宋体" w:hAnsi="宋体" w:cs="宋体"/>
      <w:szCs w:val="21"/>
    </w:rPr>
  </w:style>
  <w:style w:type="paragraph" w:customStyle="1" w:styleId="74">
    <w:name w:val="样式 正文文字 Char Char Char Char"/>
    <w:basedOn w:val="11"/>
    <w:link w:val="73"/>
    <w:autoRedefine/>
    <w:qFormat/>
    <w:uiPriority w:val="0"/>
    <w:pPr>
      <w:ind w:firstLine="397"/>
    </w:pPr>
    <w:rPr>
      <w:rFonts w:ascii="宋体" w:hAnsi="宋体" w:cs="宋体"/>
      <w:szCs w:val="21"/>
    </w:rPr>
  </w:style>
  <w:style w:type="paragraph" w:customStyle="1" w:styleId="75">
    <w:name w:val="Picture caption|1"/>
    <w:basedOn w:val="1"/>
    <w:autoRedefine/>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character" w:customStyle="1" w:styleId="76">
    <w:name w:val="font21"/>
    <w:basedOn w:val="29"/>
    <w:autoRedefine/>
    <w:qFormat/>
    <w:uiPriority w:val="0"/>
    <w:rPr>
      <w:rFonts w:hint="default" w:ascii="Times New Roman" w:hAnsi="Times New Roman" w:cs="Times New Roman"/>
      <w:color w:val="000000"/>
      <w:sz w:val="24"/>
      <w:szCs w:val="24"/>
      <w:u w:val="none"/>
    </w:rPr>
  </w:style>
  <w:style w:type="paragraph" w:customStyle="1" w:styleId="77">
    <w:name w:val="Other|2"/>
    <w:basedOn w:val="1"/>
    <w:autoRedefine/>
    <w:qFormat/>
    <w:uiPriority w:val="0"/>
    <w:pPr>
      <w:widowControl w:val="0"/>
      <w:shd w:val="clear" w:color="auto" w:fill="auto"/>
      <w:spacing w:before="50"/>
    </w:pPr>
    <w:rPr>
      <w:rFonts w:ascii="宋体" w:hAnsi="宋体" w:eastAsia="宋体" w:cs="宋体"/>
      <w:sz w:val="20"/>
      <w:szCs w:val="20"/>
      <w:u w:val="none"/>
      <w:shd w:val="clear" w:color="auto" w:fill="auto"/>
      <w:lang w:val="zh-TW" w:eastAsia="zh-TW" w:bidi="zh-TW"/>
    </w:rPr>
  </w:style>
  <w:style w:type="paragraph" w:customStyle="1" w:styleId="78">
    <w:name w:val="正文（自定义）"/>
    <w:basedOn w:val="1"/>
    <w:autoRedefine/>
    <w:qFormat/>
    <w:uiPriority w:val="0"/>
    <w:pPr>
      <w:spacing w:line="360" w:lineRule="auto"/>
      <w:ind w:firstLine="480" w:firstLineChars="200"/>
    </w:pPr>
    <w:rPr>
      <w:rFonts w:ascii="Times New Roman" w:hAnsi="Times New Roman" w:eastAsia="宋体"/>
      <w:sz w:val="24"/>
    </w:rPr>
  </w:style>
  <w:style w:type="table" w:customStyle="1" w:styleId="79">
    <w:name w:val="Table Normal"/>
    <w:autoRedefine/>
    <w:semiHidden/>
    <w:unhideWhenUsed/>
    <w:qFormat/>
    <w:uiPriority w:val="0"/>
    <w:tblPr>
      <w:tblCellMar>
        <w:top w:w="0" w:type="dxa"/>
        <w:left w:w="0" w:type="dxa"/>
        <w:bottom w:w="0" w:type="dxa"/>
        <w:right w:w="0" w:type="dxa"/>
      </w:tblCellMar>
    </w:tblPr>
  </w:style>
  <w:style w:type="paragraph" w:customStyle="1" w:styleId="80">
    <w:name w:val="Table Text"/>
    <w:basedOn w:val="1"/>
    <w:autoRedefine/>
    <w:semiHidden/>
    <w:qFormat/>
    <w:uiPriority w:val="0"/>
    <w:rPr>
      <w:rFonts w:ascii="仿宋" w:hAnsi="仿宋" w:eastAsia="仿宋" w:cs="仿宋"/>
      <w:sz w:val="24"/>
      <w:szCs w:val="24"/>
      <w:lang w:val="en-US" w:eastAsia="en-US" w:bidi="ar-SA"/>
    </w:rPr>
  </w:style>
  <w:style w:type="character" w:customStyle="1" w:styleId="81">
    <w:name w:val="font11"/>
    <w:basedOn w:val="29"/>
    <w:autoRedefine/>
    <w:qFormat/>
    <w:uiPriority w:val="0"/>
    <w:rPr>
      <w:rFonts w:hint="eastAsia" w:ascii="仿宋_GB2312" w:eastAsia="仿宋_GB2312" w:cs="仿宋_GB2312"/>
      <w:color w:val="000000"/>
      <w:sz w:val="24"/>
      <w:szCs w:val="24"/>
      <w:u w:val="none"/>
    </w:rPr>
  </w:style>
  <w:style w:type="character" w:customStyle="1" w:styleId="82">
    <w:name w:val="font31"/>
    <w:basedOn w:val="29"/>
    <w:autoRedefine/>
    <w:qFormat/>
    <w:uiPriority w:val="0"/>
    <w:rPr>
      <w:rFonts w:hint="eastAsia" w:ascii="宋体" w:hAnsi="宋体" w:eastAsia="宋体" w:cs="宋体"/>
      <w:color w:val="000000"/>
      <w:sz w:val="24"/>
      <w:szCs w:val="24"/>
      <w:u w:val="none"/>
    </w:rPr>
  </w:style>
  <w:style w:type="paragraph" w:customStyle="1" w:styleId="83">
    <w:name w:val="表文6"/>
    <w:basedOn w:val="1"/>
    <w:autoRedefine/>
    <w:qFormat/>
    <w:uiPriority w:val="0"/>
    <w:pPr>
      <w:ind w:firstLine="0" w:firstLineChars="0"/>
    </w:pPr>
    <w:rPr>
      <w:kern w:val="2"/>
      <w:sz w:val="21"/>
    </w:rPr>
  </w:style>
  <w:style w:type="paragraph" w:customStyle="1" w:styleId="84">
    <w:name w:val="5-表标题"/>
    <w:basedOn w:val="1"/>
    <w:autoRedefine/>
    <w:qFormat/>
    <w:uiPriority w:val="0"/>
    <w:pPr>
      <w:spacing w:line="240" w:lineRule="auto"/>
      <w:ind w:firstLine="0" w:firstLineChars="0"/>
      <w:jc w:val="center"/>
    </w:pPr>
    <w:rPr>
      <w:b/>
      <w:sz w:val="21"/>
    </w:rPr>
  </w:style>
  <w:style w:type="paragraph" w:customStyle="1" w:styleId="85">
    <w:name w:val="表中文字6"/>
    <w:basedOn w:val="1"/>
    <w:autoRedefine/>
    <w:qFormat/>
    <w:uiPriority w:val="0"/>
    <w:pPr>
      <w:adjustRightInd w:val="0"/>
      <w:snapToGrid w:val="0"/>
      <w:spacing w:line="240" w:lineRule="auto"/>
      <w:ind w:firstLine="0" w:firstLineChars="0"/>
      <w:jc w:val="center"/>
      <w:textAlignment w:val="center"/>
    </w:pPr>
    <w:rPr>
      <w:sz w:val="21"/>
      <w:szCs w:val="21"/>
    </w:rPr>
  </w:style>
  <w:style w:type="paragraph" w:customStyle="1" w:styleId="86">
    <w:name w:val="表格字"/>
    <w:basedOn w:val="21"/>
    <w:qFormat/>
    <w:uiPriority w:val="0"/>
    <w:pPr>
      <w:ind w:left="0" w:firstLine="0" w:firstLineChars="0"/>
      <w:jc w:val="center"/>
    </w:pPr>
    <w:rPr>
      <w:sz w:val="21"/>
      <w:szCs w:val="20"/>
    </w:rPr>
  </w:style>
  <w:style w:type="character" w:customStyle="1" w:styleId="87">
    <w:name w:val="标题 1 Char"/>
    <w:link w:val="2"/>
    <w:qFormat/>
    <w:uiPriority w:val="0"/>
    <w:rPr>
      <w:rFonts w:eastAsia="黑体"/>
      <w:b/>
      <w:bCs/>
      <w:color w:val="000000"/>
      <w:kern w:val="44"/>
      <w:sz w:val="30"/>
      <w:szCs w:val="30"/>
    </w:rPr>
  </w:style>
  <w:style w:type="paragraph" w:customStyle="1" w:styleId="88">
    <w:name w:val="Char"/>
    <w:basedOn w:val="1"/>
    <w:qFormat/>
    <w:uiPriority w:val="0"/>
    <w:rPr>
      <w:rFonts w:cs="宋体"/>
      <w:sz w:val="28"/>
    </w:rPr>
  </w:style>
  <w:style w:type="paragraph" w:customStyle="1" w:styleId="89">
    <w:name w:val="紧凑表格"/>
    <w:basedOn w:val="1"/>
    <w:qFormat/>
    <w:uiPriority w:val="0"/>
    <w:pPr>
      <w:jc w:val="center"/>
    </w:pPr>
    <w:rPr>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eE9UWWxNa01sTWpKemFHOTNSM0pwWkNVeU1pVXpRWFJ5ZFdVbE1rTWxNakp5YVdOb1ZHVjRkQ1V5TWlVelFYUnlkV1VsTWtNbE1qSm9aV2xuYUhRbE1qSWxNMEV4TURBd0pUZEVKVEpESlRJeVpXeGxiV1Z1ZEhNbE1qSWxNMEVsTjBJbE1qSjVaRTk0Ykc1eFltbHFNVGt4TkRZMUpUSXlKVE5CSlRkQ0pUSXlhV1FsTWpJbE0wRWxNako1WkU5NGJHNXhZbWxxTVRreE5EWTFKVEl5SlRKREpUSXlibUZ0WlNVeU1pVXpRU1V5TW5KdmRXNWtVbVZqZEdGdVoyeGxKVEl5SlRKREpUSXlkR2wwYkdVbE1qSWxNMEVsTWpJbFJUVWxPVU1sT0RZbFJUZ2xRVGNsT1R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1ZSNVNsTlNVR05xWXpZeU1ESXlOaVV5TWlVM1JDVXlReVUzUWlVeU1tNWhiV1VsTWpJbE0wRWxNaklsUlRVbE9UQWxPRVFsUlRjbFFUY2xRakFsTWpJbE1rTWxNakowZVhCbEpUSXlKVE5CSlRJeWMzUnlhVzVuSlRJeUpUSkRKVEl5ZG1Gc2RXVWxNaklsTTBFbE1qSWxNaklsTWtNbE1qSmpZWFJsWjI5eWVTVXlNaVV6UVNVeU1tUmxabUYxYkhRbE1qSWxNa01sTWpKcFpDVXlNaVV6UVNVeU1sVmtRVTFTVEVWcVJVNDJOek0yTURV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9TVTVPQ1ZDTkNWRk5pVkNNaVU1UmlWRk5pVkNNaVZDUWlWRk55VTVNQ1U0TmlVelEyUnBkaVV6UlNWRk5pVTRReVU1TmlWRk5pVTVOaVZDT1NWRlJpVkNReVU1UVRBdU9UVWxNME1sTWtaa2FYWWxNMF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ldlbTVFVjFSNlZVZDZNemcyTURrekpUSXlKVE5CSlRkQ0pUSXlhV1FsTWpJbE0wRWxNakpXZW01RVYxUjZWVWQ2TXpnMk1Ea3pKVEl5SlRKREpUSXlibUZ0WlNVeU1pVXpRU1V5TW5KdmRXNWtVbVZqZEdGdVoyeGxKVEl5SlRKREpUSXlkR2wwYkdVbE1qSWxNMEVsTWpJbFJUVWxPVU1sT0RZbFJUZ2xRVGNsT1R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UjNwd2RVeG9SR1pEZHpRNE9EVTNNQ1V5TWlVM1JDVXlReVUzUWlVeU1tNWhiV1VsTWpJbE0wRWxNaklsUlRVbE9UQWxPRVFsUlRjbFFUY2xRakFsTWpJbE1rTWxNakowZVhCbEpUSXlKVE5CSlRJeWMzUnlhVzVuSlRJeUpUSkRKVEl5ZG1Gc2RXVWxNaklsTTBFbE1qSWxNaklsTWtNbE1qSmpZWFJsWjI5eWVTVXlNaVV6UVNVeU1tUmxabUYxYkhRbE1qSWxNa01sTWpKcFpDVXlNaVV6UVNVeU1tUlZUR05DYm1Wa2RGRTJORFV4TXpr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9TVTVPQ1ZDTkNWRk5pVkNNaVU1UmlWRk5pVkNNaVZDUWlWRk55VTVNQ1U0TmlVelEySnlKVE5GSlVVMUpVRXhKVUZDSlVVMkpUazJKVUk1SlVWR0pVSkRKVGxCTUM0NU5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oyZDNKd1pVWkdSMUJ0T0RBNE16VXlKVEl5SlRkRUpUSkRKVGRDSlRJeWJtRnRaU1V5TWlVelFTVXlNaVZGTlNVNU1DVTRSQ1ZGTnlWQk55VkNNQ1V5TWlVeVF5VXlNblI1Y0dVbE1qSWxNMEVsTWpKemRISnBibWNsTWpJbE1rTWxNakoyWVd4MVpTVXlNaVV6UVNVeU1pVXlNaVV5UXlVeU1tTmhkR1ZuYjNKNUpUSXlKVE5CSlRJeVpHVm1ZWFZzZENVeU1pVXlReVV5TW1sa0pUSXlKVE5CSlRJeVpVOW5TR1J2YVVSc2NUVXlPREF5Tl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rbE9ERWxPVE1sUlRnbFFqY2xRVVlsUlRVbFFqY2xRVFVsUlRjbFFUZ2xPRUlsTTBOa2FYWWxNMFVsUlRZbE9FTWxPVFlsUlRZbE9UWWxRamtsUlVZbFFrTWxPVUV3TGpBMUpUTkRKVEpHWkdsMkpUTkZ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dWbHVXbEZSUm1ObFJqZ3lOVEF3TVNVeU1pVXpRU1UzUWlVeU1tbGtKVEl5SlROQkpUSXlXVmx1V2xGUlJtTmxSamd5TlRBd01TVXlNaVV5UXlVeU1tNWhiV1VsTWpJbE0wRWxNakp5YjNWdVpGSmxZM1JoYm1kc1pTVXlNaVV5UXlVeU1uUnBkR3hsSlRJeUpUTkJKVEl5SlVVMUpUbERKVGcySlVVNEpVRTNKVGt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WxCZGxoemJrTlpUMGd4T0RJNE9UY2xNaklsTjBRbE1rTWxOMElsTWpKdVlXMWxKVEl5SlROQkpUSXlKVVUxSlRrd0pUaEVKVVUzSlVFM0pVSXdKVEl5SlRKREpUSXlkSGx3WlNVeU1pVXpRU1V5TW5OMGNtbHVaeVV5TWlVeVF5VXlNblpoYkhWbEpUSXlKVE5CSlRJeUpUSXlKVEpESlRJeVkyRjBaV2R2Y25rbE1qSWxNMEVsTWpKa1pXWmhkV3gwSlRJeUpUSkRKVEl5YVdRbE1qSWxNMEVsTWpKWWEyeDNXV2RHUm1oMk1UTXdNRFF4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1NVNE1TVTVNeVZGT0NWQ055VkJSaVZGTlNWQ055VkJOU1ZGTnlWQk9DVTRRaVV6UTJKeUpUTkZKVVUxSlVFeEpVRkNKVVUySlRrMkpVSTVKVVZHSlVKREpUbEJNQzR5TU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Um0xQlkwVlBSbmRCVkRFMU5qUTVNQ1V5TWlVM1JDVXlReVUzUWlVeU1tNWhiV1VsTWpJbE0wRWxNaklsUlRVbE9UQWxPRVFsUlRjbFFUY2xRakFsTWpJbE1rTWxNakowZVhCbEpUSXlKVE5CSlRJeWMzUnlhVzVuSlRJeUpUSkRKVEl5ZG1Gc2RXVWxNaklsTTBFbE1qSWxNaklsTWtNbE1qSmpZWFJsWjI5eWVTVXlNaVV6UVNVeU1tUmxabUYxYkhRbE1qSWxNa01sTWpKcFpDVXlNaVV6UVNVeU1taDFibU54Wm5keVNVWTJNekU0TVR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UpUZ3dKVGxHSlVVMkpUazJKVUk1TUM0eE5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CVlduRjJXR1pEWjFJNE9UYzFPVFVsTWpJbE0wRWxOMElsTWpKcFpDVXlNaVV6UVNVeU1uQlZXbkYyV0daRFoxSTRPVGMxT1RVbE1qSWxNa01sTWpKdVlXMWxKVEl5SlROQkpUSXljbTkxYm1SU1pXTjBZVzVuYkdVbE1qSWxNa01sTWpKMGFYUnNaU1V5TWlVelFTVXlNaVZGTlNVNVF5VTROaVZGT0NWQk55VTV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mFjR0ZYY0dsV1UzTjVPRGMxTURJeEpUSXlKVGRFSlRKREpUZENKVEl5Ym1GdFpTVXlNaVV6UVNVeU1pVkZOU1U1TUNVNFJDVkZOeVZCTnlWQ01DVXlNaVV5UXlVeU1uUjVjR1VsTWpJbE0wRWxNakp6ZEhKcGJtY2xNaklsTWtNbE1qSjJZV3gxWlNVeU1pVXpRU1V5TWlVeU1pVXlReVV5TW1OaGRHVm5iM0o1SlRJeUpUTkJKVEl5WkdWbVlYVnNkQ1V5TWlVeVF5VXlNbWxrSlRJeUpUTkJKVEl5UzJWVFVWSnlja0ZJUlRRd01UUXlOa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ySlVJd0pVSTBKVVUwSlVKR0pUbEVKVVUySlRsRkpUazNKVE5EWkdsMkpUTkZKVVUySlRoREpUazJKVVUySlRrMkpVSTVKVVZHSlVKREpUbEJNQzR3TVNVelF5VXlSbVJwZGlVelJ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05UlozVm5UbkpXUVZjek5URTNPVFFsTWpJbE0wRWxOMElsTWpKcFpDVXlNaVV6UVNVeU1tOVJaM1ZuVG5KV1FWY3pOVEUzT1RRbE1qSWxNa01sTWpKdVlXMWxKVEl5SlROQkpUSXljbTkxYm1SU1pXTjBZVzVuYkdVbE1qSWxNa01sTWpKMGFYUnNaU1V5TWlVelFTVXlNaVZGTlNVNVF5VTROaVZGT0NWQk55VTV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dVbGhpZVhwVFdVTm5NVEEzTURNM0pUSXlKVGRFSlRKREpUZENKVEl5Ym1GdFpTVXlNaVV6UVNVeU1pVkZOU1U1TUNVNFJDVkZOeVZCTnlWQ01DVXlNaVV5UXlVeU1uUjVjR1VsTWpJbE0wRWxNakp6ZEhKcGJtY2xNaklsTWtNbE1qSjJZV3gxWlNVeU1pVXpRU1V5TWlVeU1pVXlReVV5TW1OaGRHVm5iM0o1SlRJeUpUTkJKVEl5WkdWbVlYVnNkQ1V5TWlVeVF5VXlNbWxrSlRJeUpUTkJKVEl5UkhsclkzaGpZVXRLU3pZeE1UZzBOQ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ySlVJd0pVSTBKVVUwSlVKR0pUbEVKVVUySlRsRkpUazNKVE5EWW5JbE0wVWxSVFVsUVRFbFFVSWxSVFlsT1RZbFFqa2xSVVlsUWtNbE9VRXdMakF4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sxYVFuUlFTVkJzVW04eU9EY3lOekFsTWpJbE4wUWxNa01sTjBJbE1qSnVZVzFsSlRJeUpUTkJKVEl5SlVVMUpUa3dKVGhFSlVVM0pVRTNKVUl3SlRJeUpUSkRKVEl5ZEhsd1pTVXlNaVV6UVNVeU1uTjBjbWx1WnlVeU1pVXlReVV5TW5aaGJIVmxKVEl5SlROQkpUSXlKVEl5SlRKREpUSXlZMkYwWldkdmNua2xNaklsTTBFbE1qSmtaV1poZFd4MEpUSXlKVEpESlRJeWFXUWxNaklsTTBFbE1qSnFUMGxqVEdsR1pHRmhNREl6TkRRM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FlsT1VNbFJUY2xPVFFsUWpBbFJUWWxRakFsUWpRbFJUWWxRamdsUVRBbE0wTmthWFlsTTBVbFJUWWxPRU1sT1RZbFJUWWxPVFlsUWprbFJVWWxRa01sT1VFd0xqQTRKVE5ESlRKR1pHbDJKVE5G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SWFI1VmtkeFVtdFJTelF4T0RneU1TVXlNaVV6UVNVM1FpVXlNbWxrSlRJeUpUTkJKVEl5UlhSNVZrZHhVbXRSU3pReE9EZ3lNU1V5TWlVeVF5VXlNbTVoYldVbE1qSWxNMEVsTWpKeWIzVnVaRkpsWTNSaGJtZHNaU1V5TWlVeVF5VXlNblJwZEd4bEpUSXlKVE5CSlRJeUpVVTFKVGxESlRnMkpVVTRKVUUzSlRr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wbFpWWnFZM1pMV1hjeE5qY3pOek1sTWpJbE4wUWxNa01sTjBJbE1qSnVZVzFsSlRJeUpUTkJKVEl5SlVVMUpUa3dKVGhFSlVVM0pVRTNKVUl3SlRJeUpUSkRKVEl5ZEhsd1pTVXlNaVV6UVNVeU1uTjBjbWx1WnlVeU1pVXlReVV5TW5aaGJIVmxKVEl5SlROQkpUSXlKVEl5SlRKREpUSXlZMkYwWldkdmNua2xNaklsTTBFbE1qSmtaV1poZFd4MEpUSXlKVEpESlRJeWFXUWxNaklsTTBFbE1qSnNZa3gzVTA5NGFVcHROakF3TnpBe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VWxPRFlsT1VNbFJUY2xPVFFsUWpBbFJUWWxRakFsUWpRbFJUWWxRamdsUVRBbE0wTmljaVV6UlNWRk5TVkJNU1ZCUWlWRk5pVTVOaVZDT1NWRlJpVkNReVU1UVRBdU1qZ2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S1ExRnZkMmwxYkVOWE5qTTVORFV6SlRJeUpUTkJKVGRDSlRJeWFXUWxNaklsTTBFbE1qSktRMUZ2ZDJsMWJFTlhOak01TkRVekpUSXlKVEpESlRJeWJtRnRaU1V5TWlVelFTVXlNbkp2ZFc1a1VtVmpkR0Z1WjJ4bEpUSXlKVEpESlRJeWRHbDBiR1VsTWpJbE0wRWxNaklsUlRVbE9VTWxPRFlsUlRnbFFUY2xPVE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hM2hwV2t0QmQydGhlalV5TURnMk5TVXlNaVUzUkNVeVF5VTNRaVV5TW01aGJXVWxNaklsTTBFbE1qSWxSVFVsT1RBbE9FUWxSVGNsUVRjbFFqQWxNaklsTWtNbE1qSjBlWEJsSlRJeUpUTkJKVEl5YzNSeWFXNW5KVEl5SlRKREpUSXlkbUZzZFdVbE1qSWxNMEVsTWpJbE1qSWxNa01sTWpKallYUmxaMjl5ZVNVeU1pVXpRU1V5TW1SbFptRjFiSFFsTWpJbE1rTWxNakpwWkNVeU1pVXpRU1V5TWtSaFIzWlRXVWxHWjFreE1ESTJPVGt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lNVNE1DVTVSaVZGTmlVNU5pVkNPU1ZGUmlWQ1F5VTVRVEF1TWpB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VXSk9WRVJSWlVORVN6WXdOVEEzTUNVeU1pVTNSQ1V5UXlVM1FpVXlNbTVoYldVbE1qSWxNMEVsTWpJbFJUVWxPVEFsT0VRbFJUY2xRVGNsUWpBbE1qSWxNa01sTWpKMGVYQmxKVEl5SlROQkpUSXljM1J5YVc1bkpUSXlKVEpESlRJeWRtRnNkV1VsTWpJbE0wRWxNaklsTWpJbE1rTWxNakpqWVhSbFoyOXllU1V5TWlVelFTVXlNbVJsWm1GMWJIUWxNaklsTWtNbE1qSnBaQ1V5TWlVelFTVXlNbFZwUlZOMWEzVmxkVTQxTnpBNU1UV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ZCUlNWQk15VkZOQ1ZDUXlWQk1DVkZOeVU0T1NVNFF5VXpRMlJwZGlVelJTVkZOaVU0UXlVNU5pVkZOaVU1TmlWQ09TVkZSaVZDUXlVNVFUQXVNREExSlROREpUSkdaR2wySlRO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WmtWaFowSm1kbmRKVWpNNU5qazBOU1V5TWlVelFTVTNRaVV5TW1sa0pUSXlKVE5CSlRJeVprVmhaMEptZG5kSlVqTTVOamswTlNVeU1pVXlReVV5TW01aGJXVWxNaklsTTBFbE1qSnliM1Z1WkZKbFkzUmhibWRzWlNVeU1pVXlReVV5TW5ScGRHeGxKVEl5SlROQkpUSXlKVVUxSlRsREpUZzJKVVU0SlVFM0pUa3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SndjWE54VkVGR1IwazJOemM0TXpjbE1qSWxOMFFsTWtNbE4wSWxNakp1WVcxbEpUSXlKVE5CSlRJeUpVVTFKVGt3SlRoRUpVVTNKVUUzSlVJd0pUSXlKVEpESlRJeWRIbHdaU1V5TWlVelFTVXlNbk4wY21sdVp5VXlNaVV5UXlVeU1uWmhiSFZsSlRJeUpUTkJKVEl5SlRJeUpUSkRKVEl5WTJGMFpXZHZjbmtsTWpJbE0wRWxNakprWldaaGRXeDBKVEl5SlRKREpUSXlhV1FsTWpJbE0wRWxNako2VjIxalUxbFdTbVZDTVRnMU9UZzR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xSlVGRkpVRXpKVVUwSlVKREpVRXdKVVUzSlRnNUpUaERKVE5EWW5JbE0wVWxSVFlsT0VNbE9UWWxSVFVsUVRFbFFVSWxSVFlsT1RZbFFqa2xSVVlsUWtNbE9VRXdMakF3Tl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75</Pages>
  <Words>4005</Words>
  <Characters>4181</Characters>
  <Lines>9</Lines>
  <Paragraphs>2</Paragraphs>
  <TotalTime>114</TotalTime>
  <ScaleCrop>false</ScaleCrop>
  <LinksUpToDate>false</LinksUpToDate>
  <CharactersWithSpaces>4184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奋进</cp:lastModifiedBy>
  <cp:lastPrinted>2023-03-03T02:52:00Z</cp:lastPrinted>
  <dcterms:modified xsi:type="dcterms:W3CDTF">2026-07-30T01:29:57Z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6187299F65604B89A78AE4474D65E3B6_13</vt:lpwstr>
  </property>
  <property fmtid="{D5CDD505-2E9C-101B-9397-08002B2CF9AE}" pid="4" name="KSOTemplateDocerSaveRecord">
    <vt:lpwstr>eyJoZGlkIjoiNzEyZTNlMzM1MWI0MTFjYjY3MGQ3ZjU2ZWI1YTdiYWUiLCJ1c2VySWQiOiIzOTQxMDg4MjUifQ==</vt:lpwstr>
  </property>
</Properties>
</file>