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9AA60">
      <w:pPr>
        <w:rPr>
          <w:rFonts w:hint="eastAsia" w:eastAsia="仿宋_GB2312"/>
          <w:color w:val="auto"/>
          <w:sz w:val="36"/>
          <w:szCs w:val="36"/>
          <w:highlight w:val="none"/>
          <w:lang w:eastAsia="zh-CN"/>
        </w:rPr>
      </w:pPr>
    </w:p>
    <w:p w14:paraId="086357D4">
      <w:pPr>
        <w:rPr>
          <w:rFonts w:eastAsia="仿宋_GB2312"/>
          <w:color w:val="auto"/>
          <w:sz w:val="36"/>
          <w:szCs w:val="36"/>
          <w:highlight w:val="none"/>
        </w:rPr>
      </w:pPr>
    </w:p>
    <w:p w14:paraId="25A19782">
      <w:pPr>
        <w:rPr>
          <w:rFonts w:eastAsia="仿宋_GB2312"/>
          <w:color w:val="auto"/>
          <w:sz w:val="36"/>
          <w:szCs w:val="36"/>
          <w:highlight w:val="none"/>
        </w:rPr>
      </w:pPr>
    </w:p>
    <w:p w14:paraId="6793CC4A">
      <w:pPr>
        <w:rPr>
          <w:rFonts w:eastAsia="仿宋_GB2312"/>
          <w:color w:val="auto"/>
          <w:sz w:val="36"/>
          <w:szCs w:val="36"/>
          <w:highlight w:val="none"/>
        </w:rPr>
      </w:pPr>
    </w:p>
    <w:p w14:paraId="2DD82AA4">
      <w:pPr>
        <w:keepNext w:val="0"/>
        <w:keepLines w:val="0"/>
        <w:pageBreakBefore w:val="0"/>
        <w:kinsoku/>
        <w:wordWrap/>
        <w:overflowPunct/>
        <w:topLinePunct w:val="0"/>
        <w:autoSpaceDE/>
        <w:autoSpaceDN/>
        <w:bidi w:val="0"/>
        <w:adjustRightInd w:val="0"/>
        <w:snapToGrid w:val="0"/>
        <w:spacing w:line="360" w:lineRule="auto"/>
        <w:jc w:val="center"/>
        <w:textAlignment w:val="auto"/>
        <w:outlineLvl w:val="0"/>
        <w:rPr>
          <w:rFonts w:hint="eastAsia" w:ascii="宋体" w:hAnsi="宋体" w:cs="宋体"/>
          <w:bCs/>
          <w:color w:val="auto"/>
          <w:sz w:val="72"/>
          <w:szCs w:val="72"/>
          <w:highlight w:val="none"/>
        </w:rPr>
      </w:pPr>
      <w:r>
        <w:rPr>
          <w:rFonts w:hint="eastAsia" w:ascii="宋体" w:hAnsi="宋体" w:cs="宋体"/>
          <w:bCs/>
          <w:color w:val="auto"/>
          <w:sz w:val="72"/>
          <w:szCs w:val="72"/>
          <w:highlight w:val="none"/>
        </w:rPr>
        <w:t>建设项目环境影响报告表</w:t>
      </w:r>
    </w:p>
    <w:p w14:paraId="23D1BA69">
      <w:pPr>
        <w:keepNext w:val="0"/>
        <w:keepLines w:val="0"/>
        <w:pageBreakBefore w:val="0"/>
        <w:kinsoku/>
        <w:wordWrap/>
        <w:overflowPunct/>
        <w:topLinePunct w:val="0"/>
        <w:autoSpaceDE/>
        <w:autoSpaceDN/>
        <w:bidi w:val="0"/>
        <w:adjustRightInd w:val="0"/>
        <w:snapToGrid w:val="0"/>
        <w:spacing w:line="360" w:lineRule="auto"/>
        <w:jc w:val="center"/>
        <w:textAlignment w:val="auto"/>
        <w:rPr>
          <w:rFonts w:eastAsia="楷体_GB2312"/>
          <w:bCs/>
          <w:color w:val="auto"/>
          <w:sz w:val="48"/>
          <w:szCs w:val="48"/>
          <w:highlight w:val="none"/>
        </w:rPr>
      </w:pPr>
      <w:r>
        <w:rPr>
          <w:rFonts w:eastAsia="楷体_GB2312"/>
          <w:bCs/>
          <w:color w:val="auto"/>
          <w:sz w:val="48"/>
          <w:szCs w:val="48"/>
          <w:highlight w:val="none"/>
        </w:rPr>
        <w:t>（</w:t>
      </w:r>
      <w:r>
        <w:rPr>
          <w:rFonts w:hint="eastAsia" w:eastAsia="楷体_GB2312"/>
          <w:bCs/>
          <w:color w:val="auto"/>
          <w:sz w:val="48"/>
          <w:szCs w:val="48"/>
          <w:highlight w:val="none"/>
          <w:lang w:val="en-US" w:eastAsia="zh-CN"/>
        </w:rPr>
        <w:t>生态</w:t>
      </w:r>
      <w:r>
        <w:rPr>
          <w:rFonts w:eastAsia="楷体_GB2312"/>
          <w:bCs/>
          <w:color w:val="auto"/>
          <w:sz w:val="48"/>
          <w:szCs w:val="48"/>
          <w:highlight w:val="none"/>
        </w:rPr>
        <w:t>影响类）</w:t>
      </w:r>
    </w:p>
    <w:p w14:paraId="3EB91FE9">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default" w:eastAsia="华文仿宋"/>
          <w:color w:val="auto"/>
          <w:kern w:val="44"/>
          <w:sz w:val="44"/>
          <w:szCs w:val="44"/>
          <w:highlight w:val="none"/>
          <w:lang w:val="en-US" w:eastAsia="zh-CN"/>
        </w:rPr>
      </w:pPr>
    </w:p>
    <w:p w14:paraId="019666CE">
      <w:pPr>
        <w:keepNext w:val="0"/>
        <w:keepLines w:val="0"/>
        <w:pageBreakBefore w:val="0"/>
        <w:kinsoku/>
        <w:wordWrap/>
        <w:overflowPunct/>
        <w:topLinePunct w:val="0"/>
        <w:autoSpaceDE/>
        <w:autoSpaceDN/>
        <w:bidi w:val="0"/>
        <w:adjustRightInd w:val="0"/>
        <w:snapToGrid w:val="0"/>
        <w:spacing w:line="360" w:lineRule="auto"/>
        <w:jc w:val="center"/>
        <w:textAlignment w:val="auto"/>
        <w:rPr>
          <w:rFonts w:eastAsia="仿宋"/>
          <w:color w:val="auto"/>
          <w:sz w:val="52"/>
          <w:szCs w:val="52"/>
          <w:highlight w:val="none"/>
        </w:rPr>
      </w:pPr>
    </w:p>
    <w:p w14:paraId="2AD9CEDF">
      <w:pPr>
        <w:keepNext w:val="0"/>
        <w:keepLines w:val="0"/>
        <w:pageBreakBefore w:val="0"/>
        <w:kinsoku/>
        <w:wordWrap/>
        <w:overflowPunct/>
        <w:topLinePunct w:val="0"/>
        <w:autoSpaceDE/>
        <w:autoSpaceDN/>
        <w:bidi w:val="0"/>
        <w:adjustRightInd w:val="0"/>
        <w:snapToGrid w:val="0"/>
        <w:spacing w:line="360" w:lineRule="auto"/>
        <w:textAlignment w:val="auto"/>
        <w:rPr>
          <w:rFonts w:eastAsia="仿宋"/>
          <w:color w:val="auto"/>
          <w:sz w:val="44"/>
          <w:szCs w:val="44"/>
          <w:highlight w:val="none"/>
        </w:rPr>
      </w:pPr>
    </w:p>
    <w:p w14:paraId="41E5735E">
      <w:pPr>
        <w:keepNext w:val="0"/>
        <w:keepLines w:val="0"/>
        <w:pageBreakBefore w:val="0"/>
        <w:kinsoku/>
        <w:wordWrap/>
        <w:overflowPunct/>
        <w:topLinePunct w:val="0"/>
        <w:autoSpaceDE/>
        <w:autoSpaceDN/>
        <w:bidi w:val="0"/>
        <w:adjustRightInd w:val="0"/>
        <w:snapToGrid w:val="0"/>
        <w:spacing w:line="360" w:lineRule="auto"/>
        <w:textAlignment w:val="auto"/>
        <w:rPr>
          <w:rFonts w:eastAsia="仿宋"/>
          <w:color w:val="auto"/>
          <w:sz w:val="44"/>
          <w:szCs w:val="44"/>
          <w:highlight w:val="none"/>
        </w:rPr>
      </w:pPr>
    </w:p>
    <w:p w14:paraId="336911BC">
      <w:pPr>
        <w:pStyle w:val="28"/>
        <w:keepNext w:val="0"/>
        <w:keepLines w:val="0"/>
        <w:pageBreakBefore w:val="0"/>
        <w:kinsoku/>
        <w:wordWrap/>
        <w:overflowPunct/>
        <w:topLinePunct w:val="0"/>
        <w:autoSpaceDE/>
        <w:autoSpaceDN/>
        <w:bidi w:val="0"/>
        <w:adjustRightInd w:val="0"/>
        <w:snapToGrid w:val="0"/>
        <w:spacing w:line="360" w:lineRule="auto"/>
        <w:textAlignment w:val="auto"/>
        <w:rPr>
          <w:rFonts w:ascii="Times New Roman" w:hAnsi="Times New Roman" w:eastAsia="仿宋_GB2312" w:cs="Times New Roman"/>
          <w:color w:val="auto"/>
          <w:kern w:val="2"/>
          <w:sz w:val="36"/>
          <w:szCs w:val="36"/>
          <w:highlight w:val="none"/>
          <w:u w:val="single"/>
          <w:lang w:val="en-US" w:eastAsia="zh-CN" w:bidi="ar-SA"/>
        </w:rPr>
      </w:pPr>
    </w:p>
    <w:p w14:paraId="2D4D3C9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ascii="Times New Roman" w:hAnsi="Times New Roman" w:eastAsia="仿宋_GB2312" w:cs="Times New Roman"/>
          <w:b/>
          <w:bCs/>
          <w:color w:val="auto"/>
          <w:kern w:val="2"/>
          <w:sz w:val="36"/>
          <w:szCs w:val="36"/>
          <w:highlight w:val="none"/>
          <w:u w:val="none"/>
          <w:lang w:val="en-US" w:eastAsia="zh-CN" w:bidi="ar-SA"/>
        </w:rPr>
      </w:pPr>
      <w:bookmarkStart w:id="0" w:name="_Hlk57884087"/>
    </w:p>
    <w:p w14:paraId="6251CB8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both"/>
        <w:textAlignment w:val="auto"/>
        <w:rPr>
          <w:rFonts w:ascii="Times New Roman" w:hAnsi="Times New Roman" w:eastAsia="仿宋_GB2312" w:cs="Times New Roman"/>
          <w:b/>
          <w:bCs/>
          <w:color w:val="auto"/>
          <w:kern w:val="2"/>
          <w:sz w:val="32"/>
          <w:szCs w:val="32"/>
          <w:highlight w:val="none"/>
          <w:u w:val="none"/>
          <w:lang w:val="en-US" w:eastAsia="zh-CN" w:bidi="ar-SA"/>
        </w:rPr>
      </w:pPr>
    </w:p>
    <w:p w14:paraId="06E3B298">
      <w:pPr>
        <w:keepNext w:val="0"/>
        <w:keepLines w:val="0"/>
        <w:pageBreakBefore w:val="0"/>
        <w:widowControl w:val="0"/>
        <w:kinsoku/>
        <w:wordWrap/>
        <w:overflowPunct/>
        <w:topLinePunct w:val="0"/>
        <w:autoSpaceDE/>
        <w:autoSpaceDN/>
        <w:bidi w:val="0"/>
        <w:adjustRightInd w:val="0"/>
        <w:snapToGrid w:val="0"/>
        <w:spacing w:line="360" w:lineRule="auto"/>
        <w:ind w:left="2883" w:leftChars="608" w:hanging="1606" w:hangingChars="500"/>
        <w:jc w:val="left"/>
        <w:textAlignment w:val="auto"/>
        <w:rPr>
          <w:rFonts w:hint="default" w:ascii="Times New Roman" w:hAnsi="Times New Roman" w:eastAsia="仿宋_GB2312" w:cs="Times New Roman"/>
          <w:b/>
          <w:bCs/>
          <w:color w:val="auto"/>
          <w:kern w:val="2"/>
          <w:sz w:val="32"/>
          <w:szCs w:val="32"/>
          <w:highlight w:val="none"/>
          <w:u w:val="single"/>
          <w:lang w:val="en-US" w:eastAsia="zh-CN" w:bidi="ar-SA"/>
        </w:rPr>
      </w:pPr>
      <w:r>
        <w:rPr>
          <w:rFonts w:ascii="Times New Roman" w:hAnsi="Times New Roman" w:eastAsia="仿宋_GB2312" w:cs="Times New Roman"/>
          <w:b/>
          <w:bCs/>
          <w:color w:val="auto"/>
          <w:kern w:val="2"/>
          <w:sz w:val="32"/>
          <w:szCs w:val="32"/>
          <w:highlight w:val="none"/>
          <w:u w:val="none"/>
          <w:lang w:val="en-US" w:eastAsia="zh-CN" w:bidi="ar-SA"/>
        </w:rPr>
        <w:t>项目名称</w:t>
      </w:r>
      <w:r>
        <w:rPr>
          <w:rFonts w:hint="eastAsia" w:ascii="Times New Roman" w:hAnsi="Times New Roman" w:eastAsia="仿宋_GB2312" w:cs="Times New Roman"/>
          <w:b/>
          <w:bCs/>
          <w:color w:val="auto"/>
          <w:kern w:val="2"/>
          <w:sz w:val="32"/>
          <w:szCs w:val="32"/>
          <w:highlight w:val="none"/>
          <w:u w:val="none"/>
          <w:lang w:val="en-US" w:eastAsia="zh-CN" w:bidi="ar-SA"/>
        </w:rPr>
        <w:t>：</w:t>
      </w:r>
      <w:r>
        <w:rPr>
          <w:rFonts w:hint="eastAsia" w:eastAsia="仿宋_GB2312" w:cs="Times New Roman"/>
          <w:b/>
          <w:bCs/>
          <w:color w:val="auto"/>
          <w:kern w:val="2"/>
          <w:sz w:val="32"/>
          <w:szCs w:val="32"/>
          <w:highlight w:val="none"/>
          <w:u w:val="single"/>
          <w:lang w:val="en-US" w:eastAsia="zh-CN" w:bidi="ar-SA"/>
        </w:rPr>
        <w:t>临泽县金源矿业有限责任公司平川镇羊圈湾冶金用石英岩矿及配套设施建设项目</w:t>
      </w:r>
    </w:p>
    <w:p w14:paraId="01AA79A6">
      <w:pPr>
        <w:keepNext w:val="0"/>
        <w:keepLines w:val="0"/>
        <w:pageBreakBefore w:val="0"/>
        <w:widowControl w:val="0"/>
        <w:kinsoku/>
        <w:wordWrap/>
        <w:overflowPunct/>
        <w:topLinePunct w:val="0"/>
        <w:autoSpaceDE/>
        <w:autoSpaceDN/>
        <w:bidi w:val="0"/>
        <w:adjustRightInd w:val="0"/>
        <w:snapToGrid w:val="0"/>
        <w:spacing w:line="360" w:lineRule="auto"/>
        <w:ind w:firstLine="1285" w:firstLineChars="400"/>
        <w:jc w:val="left"/>
        <w:textAlignment w:val="auto"/>
        <w:rPr>
          <w:rFonts w:hint="default" w:ascii="Times New Roman" w:hAnsi="Times New Roman" w:eastAsia="仿宋_GB2312" w:cs="Times New Roman"/>
          <w:b/>
          <w:bCs/>
          <w:color w:val="auto"/>
          <w:kern w:val="2"/>
          <w:sz w:val="32"/>
          <w:szCs w:val="32"/>
          <w:highlight w:val="none"/>
          <w:u w:val="single"/>
          <w:lang w:val="en-US" w:eastAsia="zh-CN" w:bidi="ar-SA"/>
        </w:rPr>
      </w:pPr>
      <w:r>
        <w:rPr>
          <w:rFonts w:ascii="Times New Roman" w:hAnsi="Times New Roman" w:eastAsia="仿宋_GB2312" w:cs="Times New Roman"/>
          <w:b/>
          <w:bCs/>
          <w:color w:val="auto"/>
          <w:kern w:val="2"/>
          <w:sz w:val="32"/>
          <w:szCs w:val="32"/>
          <w:highlight w:val="none"/>
          <w:u w:val="none"/>
          <w:lang w:val="en-US" w:eastAsia="zh-CN" w:bidi="ar-SA"/>
        </w:rPr>
        <w:t>建设单位（盖章）：</w:t>
      </w:r>
      <w:r>
        <w:rPr>
          <w:rFonts w:hint="eastAsia" w:eastAsia="仿宋_GB2312" w:cs="Times New Roman"/>
          <w:b/>
          <w:bCs/>
          <w:color w:val="auto"/>
          <w:kern w:val="2"/>
          <w:sz w:val="32"/>
          <w:szCs w:val="32"/>
          <w:highlight w:val="none"/>
          <w:u w:val="single"/>
          <w:lang w:val="en-US" w:eastAsia="zh-CN" w:bidi="ar-SA"/>
        </w:rPr>
        <w:t>临泽县金源矿业有限责任公司</w:t>
      </w:r>
    </w:p>
    <w:p w14:paraId="7BEAB960">
      <w:pPr>
        <w:keepNext w:val="0"/>
        <w:keepLines w:val="0"/>
        <w:pageBreakBefore w:val="0"/>
        <w:widowControl w:val="0"/>
        <w:kinsoku/>
        <w:wordWrap/>
        <w:overflowPunct/>
        <w:topLinePunct w:val="0"/>
        <w:autoSpaceDE/>
        <w:autoSpaceDN/>
        <w:bidi w:val="0"/>
        <w:adjustRightInd w:val="0"/>
        <w:snapToGrid w:val="0"/>
        <w:spacing w:line="360" w:lineRule="auto"/>
        <w:ind w:firstLine="1285" w:firstLineChars="400"/>
        <w:jc w:val="left"/>
        <w:textAlignment w:val="auto"/>
        <w:rPr>
          <w:rFonts w:hint="eastAsia" w:eastAsia="仿宋_GB2312"/>
          <w:b/>
          <w:bCs/>
          <w:color w:val="auto"/>
          <w:sz w:val="32"/>
          <w:szCs w:val="32"/>
          <w:highlight w:val="none"/>
          <w:u w:val="single"/>
          <w:lang w:eastAsia="zh-CN"/>
        </w:rPr>
      </w:pPr>
      <w:r>
        <w:rPr>
          <w:rFonts w:eastAsia="仿宋_GB2312"/>
          <w:b/>
          <w:bCs/>
          <w:color w:val="auto"/>
          <w:sz w:val="32"/>
          <w:szCs w:val="32"/>
          <w:highlight w:val="none"/>
        </w:rPr>
        <w:t>编制日期：</w:t>
      </w:r>
      <w:r>
        <w:rPr>
          <w:rFonts w:eastAsia="仿宋_GB2312"/>
          <w:b/>
          <w:bCs/>
          <w:color w:val="auto"/>
          <w:sz w:val="32"/>
          <w:szCs w:val="32"/>
          <w:highlight w:val="none"/>
          <w:u w:val="single"/>
        </w:rPr>
        <w:t>二〇二</w:t>
      </w:r>
      <w:r>
        <w:rPr>
          <w:rFonts w:hint="eastAsia" w:eastAsia="仿宋_GB2312"/>
          <w:b/>
          <w:bCs/>
          <w:color w:val="auto"/>
          <w:sz w:val="32"/>
          <w:szCs w:val="32"/>
          <w:highlight w:val="none"/>
          <w:u w:val="single"/>
          <w:lang w:val="en-US" w:eastAsia="zh-CN"/>
        </w:rPr>
        <w:t>六</w:t>
      </w:r>
      <w:r>
        <w:rPr>
          <w:rFonts w:eastAsia="仿宋_GB2312"/>
          <w:b/>
          <w:bCs/>
          <w:color w:val="auto"/>
          <w:sz w:val="32"/>
          <w:szCs w:val="32"/>
          <w:highlight w:val="none"/>
          <w:u w:val="single"/>
        </w:rPr>
        <w:t>年</w:t>
      </w:r>
      <w:r>
        <w:rPr>
          <w:rFonts w:hint="eastAsia" w:eastAsia="仿宋_GB2312"/>
          <w:b/>
          <w:bCs/>
          <w:color w:val="auto"/>
          <w:sz w:val="32"/>
          <w:szCs w:val="32"/>
          <w:highlight w:val="none"/>
          <w:u w:val="single"/>
          <w:lang w:val="en-US" w:eastAsia="zh-CN"/>
        </w:rPr>
        <w:t>七</w:t>
      </w:r>
      <w:r>
        <w:rPr>
          <w:rFonts w:eastAsia="仿宋_GB2312"/>
          <w:b/>
          <w:bCs/>
          <w:color w:val="auto"/>
          <w:sz w:val="32"/>
          <w:szCs w:val="32"/>
          <w:highlight w:val="none"/>
          <w:u w:val="single"/>
        </w:rPr>
        <w:t>月</w:t>
      </w:r>
    </w:p>
    <w:p w14:paraId="6EA4BF83">
      <w:pPr>
        <w:keepNext w:val="0"/>
        <w:keepLines w:val="0"/>
        <w:pageBreakBefore w:val="0"/>
        <w:kinsoku/>
        <w:wordWrap/>
        <w:overflowPunct/>
        <w:topLinePunct w:val="0"/>
        <w:autoSpaceDE/>
        <w:autoSpaceDN/>
        <w:bidi w:val="0"/>
        <w:adjustRightInd w:val="0"/>
        <w:snapToGrid w:val="0"/>
        <w:spacing w:line="360" w:lineRule="auto"/>
        <w:ind w:firstLine="1040"/>
        <w:textAlignment w:val="auto"/>
        <w:rPr>
          <w:rFonts w:eastAsia="仿宋_GB2312"/>
          <w:color w:val="auto"/>
          <w:sz w:val="36"/>
          <w:szCs w:val="36"/>
          <w:highlight w:val="none"/>
        </w:rPr>
      </w:pPr>
    </w:p>
    <w:p w14:paraId="7D959465">
      <w:pPr>
        <w:keepNext w:val="0"/>
        <w:keepLines w:val="0"/>
        <w:pageBreakBefore w:val="0"/>
        <w:kinsoku/>
        <w:wordWrap/>
        <w:overflowPunct/>
        <w:topLinePunct w:val="0"/>
        <w:autoSpaceDE/>
        <w:autoSpaceDN/>
        <w:bidi w:val="0"/>
        <w:adjustRightInd w:val="0"/>
        <w:snapToGrid w:val="0"/>
        <w:spacing w:line="360" w:lineRule="auto"/>
        <w:ind w:firstLine="1040"/>
        <w:textAlignment w:val="auto"/>
        <w:rPr>
          <w:rFonts w:eastAsia="仿宋_GB2312"/>
          <w:color w:val="auto"/>
          <w:sz w:val="36"/>
          <w:szCs w:val="36"/>
          <w:highlight w:val="none"/>
        </w:rPr>
      </w:pPr>
    </w:p>
    <w:bookmarkEnd w:id="0"/>
    <w:p w14:paraId="369CE84A">
      <w:pPr>
        <w:keepNext w:val="0"/>
        <w:keepLines w:val="0"/>
        <w:pageBreakBefore w:val="0"/>
        <w:kinsoku/>
        <w:wordWrap/>
        <w:overflowPunct/>
        <w:topLinePunct w:val="0"/>
        <w:autoSpaceDE/>
        <w:autoSpaceDN/>
        <w:bidi w:val="0"/>
        <w:adjustRightInd w:val="0"/>
        <w:snapToGrid w:val="0"/>
        <w:spacing w:line="360" w:lineRule="auto"/>
        <w:jc w:val="center"/>
        <w:textAlignment w:val="auto"/>
        <w:rPr>
          <w:rFonts w:eastAsia="楷体_GB2312"/>
          <w:b/>
          <w:bCs/>
          <w:color w:val="auto"/>
          <w:sz w:val="36"/>
          <w:szCs w:val="36"/>
          <w:highlight w:val="none"/>
        </w:rPr>
        <w:sectPr>
          <w:headerReference r:id="rId3" w:type="default"/>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fmt="numberInDash"/>
          <w:cols w:space="720" w:num="1"/>
          <w:docGrid w:linePitch="312" w:charSpace="0"/>
        </w:sectPr>
      </w:pPr>
      <w:r>
        <w:rPr>
          <w:rFonts w:eastAsia="楷体_GB2312"/>
          <w:b/>
          <w:bCs/>
          <w:color w:val="auto"/>
          <w:sz w:val="36"/>
          <w:szCs w:val="36"/>
          <w:highlight w:val="none"/>
        </w:rPr>
        <w:t>中华人民共和国生态环境部制</w:t>
      </w:r>
    </w:p>
    <w:p w14:paraId="65E780E9">
      <w:pPr>
        <w:pStyle w:val="20"/>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default" w:ascii="Times New Roman" w:hAnsi="Times New Roman" w:eastAsia="仿宋" w:cs="Times New Roman"/>
          <w:b/>
          <w:bCs/>
          <w:snapToGrid w:val="0"/>
          <w:color w:val="000000" w:themeColor="text1"/>
          <w:sz w:val="30"/>
          <w:szCs w:val="30"/>
          <w:highlight w:val="none"/>
          <w14:textFill>
            <w14:solidFill>
              <w14:schemeClr w14:val="tx1"/>
            </w14:solidFill>
          </w14:textFill>
        </w:rPr>
      </w:pPr>
      <w:bookmarkStart w:id="1" w:name="_Toc230788313"/>
      <w:bookmarkStart w:id="2" w:name="_Toc20094"/>
      <w:bookmarkStart w:id="3" w:name="_Toc26285"/>
      <w:bookmarkStart w:id="4" w:name="_Toc10103"/>
      <w:bookmarkStart w:id="5" w:name="_Toc30928"/>
      <w:r>
        <w:rPr>
          <w:rFonts w:hint="default" w:ascii="Times New Roman" w:hAnsi="Times New Roman" w:eastAsia="仿宋" w:cs="Times New Roman"/>
          <w:b/>
          <w:bCs/>
          <w:snapToGrid w:val="0"/>
          <w:color w:val="000000" w:themeColor="text1"/>
          <w:sz w:val="30"/>
          <w:szCs w:val="30"/>
          <w:highlight w:val="none"/>
          <w:lang w:eastAsia="zh-CN"/>
          <w14:textFill>
            <w14:solidFill>
              <w14:schemeClr w14:val="tx1"/>
            </w14:solidFill>
          </w14:textFill>
        </w:rPr>
        <w:t>一、</w:t>
      </w:r>
      <w:r>
        <w:rPr>
          <w:rFonts w:hint="default" w:ascii="Times New Roman" w:hAnsi="Times New Roman" w:eastAsia="仿宋" w:cs="Times New Roman"/>
          <w:b/>
          <w:bCs/>
          <w:snapToGrid w:val="0"/>
          <w:color w:val="000000" w:themeColor="text1"/>
          <w:sz w:val="30"/>
          <w:szCs w:val="30"/>
          <w:highlight w:val="none"/>
          <w14:textFill>
            <w14:solidFill>
              <w14:schemeClr w14:val="tx1"/>
            </w14:solidFill>
          </w14:textFill>
        </w:rPr>
        <w:t>建设项目基本情况</w:t>
      </w:r>
      <w:bookmarkEnd w:id="1"/>
      <w:bookmarkEnd w:id="2"/>
      <w:bookmarkEnd w:id="3"/>
      <w:bookmarkEnd w:id="4"/>
      <w:bookmarkEnd w:id="5"/>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017"/>
        <w:gridCol w:w="468"/>
        <w:gridCol w:w="2449"/>
        <w:gridCol w:w="782"/>
        <w:gridCol w:w="925"/>
        <w:gridCol w:w="641"/>
        <w:gridCol w:w="2068"/>
      </w:tblGrid>
      <w:tr w14:paraId="1D49C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89" w:type="pct"/>
            <w:gridSpan w:val="2"/>
            <w:tcMar>
              <w:top w:w="16" w:type="dxa"/>
              <w:left w:w="16" w:type="dxa"/>
              <w:right w:w="16" w:type="dxa"/>
            </w:tcMar>
            <w:vAlign w:val="center"/>
          </w:tcPr>
          <w:p w14:paraId="62C5546A">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建设项目名称</w:t>
            </w:r>
          </w:p>
        </w:tc>
        <w:tc>
          <w:tcPr>
            <w:tcW w:w="4110" w:type="pct"/>
            <w:gridSpan w:val="5"/>
            <w:vAlign w:val="center"/>
          </w:tcPr>
          <w:p w14:paraId="09E1377A">
            <w:pPr>
              <w:bidi w:val="0"/>
              <w:ind w:left="0" w:leftChars="0" w:firstLine="0" w:firstLineChars="0"/>
              <w:jc w:val="cente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临泽县金源矿业有限责任公司平川镇羊圈湾冶金用石英岩矿及配套设施建设项目</w:t>
            </w:r>
          </w:p>
        </w:tc>
      </w:tr>
      <w:tr w14:paraId="3E5130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89" w:type="pct"/>
            <w:gridSpan w:val="2"/>
            <w:tcMar>
              <w:top w:w="16" w:type="dxa"/>
              <w:left w:w="16" w:type="dxa"/>
              <w:right w:w="16" w:type="dxa"/>
            </w:tcMar>
            <w:vAlign w:val="center"/>
          </w:tcPr>
          <w:p w14:paraId="7E310AA6">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项目代码</w:t>
            </w:r>
          </w:p>
        </w:tc>
        <w:tc>
          <w:tcPr>
            <w:tcW w:w="4110" w:type="pct"/>
            <w:gridSpan w:val="5"/>
            <w:vAlign w:val="center"/>
          </w:tcPr>
          <w:p w14:paraId="640F08FD">
            <w:pPr>
              <w:bidi w:val="0"/>
              <w:ind w:left="0" w:leftChars="0" w:firstLine="0" w:firstLineChars="0"/>
              <w:jc w:val="cente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2511-620723-04-01-866360</w:t>
            </w:r>
          </w:p>
        </w:tc>
      </w:tr>
      <w:tr w14:paraId="6A88AB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89" w:type="pct"/>
            <w:gridSpan w:val="2"/>
            <w:tcMar>
              <w:top w:w="16" w:type="dxa"/>
              <w:left w:w="16" w:type="dxa"/>
              <w:right w:w="16" w:type="dxa"/>
            </w:tcMar>
            <w:vAlign w:val="center"/>
          </w:tcPr>
          <w:p w14:paraId="6A5E6A8F">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建设单位联系人</w:t>
            </w:r>
          </w:p>
        </w:tc>
        <w:tc>
          <w:tcPr>
            <w:tcW w:w="1934" w:type="pct"/>
            <w:gridSpan w:val="2"/>
            <w:vAlign w:val="center"/>
          </w:tcPr>
          <w:p w14:paraId="7578104F">
            <w:pPr>
              <w:bidi w:val="0"/>
              <w:spacing w:line="240" w:lineRule="auto"/>
              <w:ind w:left="0" w:leftChars="0" w:firstLine="0" w:firstLineChars="0"/>
              <w:jc w:val="cente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高怀峰</w:t>
            </w:r>
          </w:p>
        </w:tc>
        <w:tc>
          <w:tcPr>
            <w:tcW w:w="938" w:type="pct"/>
            <w:gridSpan w:val="2"/>
            <w:vAlign w:val="center"/>
          </w:tcPr>
          <w:p w14:paraId="37DDC88F">
            <w:pPr>
              <w:bidi w:val="0"/>
              <w:spacing w:line="240" w:lineRule="auto"/>
              <w:ind w:left="0" w:leftChars="0" w:firstLine="0" w:firstLineChars="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联系方式</w:t>
            </w:r>
          </w:p>
        </w:tc>
        <w:tc>
          <w:tcPr>
            <w:tcW w:w="1237" w:type="pct"/>
            <w:vAlign w:val="center"/>
          </w:tcPr>
          <w:p w14:paraId="5A665FED">
            <w:pPr>
              <w:bidi w:val="0"/>
              <w:spacing w:line="240" w:lineRule="auto"/>
              <w:ind w:left="0" w:leftChars="0" w:firstLine="0" w:firstLineChars="0"/>
              <w:jc w:val="cente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15929015555</w:t>
            </w:r>
          </w:p>
        </w:tc>
      </w:tr>
      <w:tr w14:paraId="230A0B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89" w:type="pct"/>
            <w:gridSpan w:val="2"/>
            <w:tcMar>
              <w:top w:w="16" w:type="dxa"/>
              <w:left w:w="16" w:type="dxa"/>
              <w:right w:w="16" w:type="dxa"/>
            </w:tcMar>
            <w:vAlign w:val="center"/>
          </w:tcPr>
          <w:p w14:paraId="50E9E226">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建设地点</w:t>
            </w:r>
          </w:p>
        </w:tc>
        <w:tc>
          <w:tcPr>
            <w:tcW w:w="4110" w:type="pct"/>
            <w:gridSpan w:val="5"/>
            <w:vAlign w:val="center"/>
          </w:tcPr>
          <w:p w14:paraId="429605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Times New Roman" w:hAnsi="Times New Roman" w:eastAsia="仿宋" w:cs="Times New Roman"/>
                <w:color w:val="000000" w:themeColor="text1"/>
                <w:sz w:val="24"/>
                <w:szCs w:val="24"/>
                <w:highlight w:val="none"/>
                <w:lang w:val="en-US"/>
                <w14:textFill>
                  <w14:solidFill>
                    <w14:schemeClr w14:val="tx1"/>
                  </w14:solidFill>
                </w14:textFill>
              </w:rPr>
            </w:pPr>
            <w:r>
              <w:rPr>
                <w:rFonts w:hint="eastAsia" w:ascii="Times New Roman" w:hAnsi="Times New Roman" w:eastAsia="仿宋" w:cs="Times New Roman"/>
                <w:b w:val="0"/>
                <w:bCs w:val="0"/>
                <w:color w:val="000000" w:themeColor="text1"/>
                <w:kern w:val="2"/>
                <w:sz w:val="24"/>
                <w:szCs w:val="24"/>
                <w:highlight w:val="none"/>
                <w:u w:val="single"/>
                <w:lang w:val="en-US" w:eastAsia="zh-CN" w:bidi="ar-SA"/>
                <w14:textFill>
                  <w14:solidFill>
                    <w14:schemeClr w14:val="tx1"/>
                  </w14:solidFill>
                </w14:textFill>
              </w:rPr>
              <w:t>甘肃</w:t>
            </w:r>
            <w:r>
              <w:rPr>
                <w:rFonts w:hint="eastAsia" w:ascii="Times New Roman" w:hAnsi="Times New Roman" w:eastAsia="仿宋" w:cs="Times New Roman"/>
                <w:b w:val="0"/>
                <w:bCs w:val="0"/>
                <w:color w:val="000000" w:themeColor="text1"/>
                <w:kern w:val="2"/>
                <w:sz w:val="24"/>
                <w:szCs w:val="24"/>
                <w:highlight w:val="none"/>
                <w:u w:val="none"/>
                <w:lang w:val="en-US" w:eastAsia="zh-CN" w:bidi="ar-SA"/>
                <w14:textFill>
                  <w14:solidFill>
                    <w14:schemeClr w14:val="tx1"/>
                  </w14:solidFill>
                </w14:textFill>
              </w:rPr>
              <w:t>省</w:t>
            </w:r>
            <w:r>
              <w:rPr>
                <w:rFonts w:hint="eastAsia" w:ascii="Times New Roman" w:hAnsi="Times New Roman" w:eastAsia="仿宋" w:cs="Times New Roman"/>
                <w:b w:val="0"/>
                <w:bCs w:val="0"/>
                <w:color w:val="000000" w:themeColor="text1"/>
                <w:kern w:val="2"/>
                <w:sz w:val="24"/>
                <w:szCs w:val="24"/>
                <w:highlight w:val="none"/>
                <w:u w:val="single"/>
                <w:lang w:val="en-US" w:eastAsia="zh-CN" w:bidi="ar-SA"/>
                <w14:textFill>
                  <w14:solidFill>
                    <w14:schemeClr w14:val="tx1"/>
                  </w14:solidFill>
                </w14:textFill>
              </w:rPr>
              <w:t>张掖</w:t>
            </w:r>
            <w:r>
              <w:rPr>
                <w:rFonts w:hint="default" w:ascii="Times New Roman" w:hAnsi="Times New Roman" w:eastAsia="仿宋" w:cs="Times New Roman"/>
                <w:b w:val="0"/>
                <w:bCs w:val="0"/>
                <w:color w:val="000000" w:themeColor="text1"/>
                <w:kern w:val="2"/>
                <w:sz w:val="24"/>
                <w:szCs w:val="24"/>
                <w:highlight w:val="none"/>
                <w:lang w:val="en-US" w:eastAsia="zh-CN" w:bidi="ar-SA"/>
                <w14:textFill>
                  <w14:solidFill>
                    <w14:schemeClr w14:val="tx1"/>
                  </w14:solidFill>
                </w14:textFill>
              </w:rPr>
              <w:t>市</w:t>
            </w:r>
            <w:r>
              <w:rPr>
                <w:rFonts w:hint="eastAsia" w:ascii="Times New Roman" w:hAnsi="Times New Roman" w:eastAsia="仿宋" w:cs="Times New Roman"/>
                <w:b w:val="0"/>
                <w:bCs w:val="0"/>
                <w:color w:val="000000" w:themeColor="text1"/>
                <w:kern w:val="2"/>
                <w:sz w:val="24"/>
                <w:szCs w:val="24"/>
                <w:highlight w:val="none"/>
                <w:u w:val="single"/>
                <w:lang w:val="en-US" w:eastAsia="zh-CN" w:bidi="ar-SA"/>
                <w14:textFill>
                  <w14:solidFill>
                    <w14:schemeClr w14:val="tx1"/>
                  </w14:solidFill>
                </w14:textFill>
              </w:rPr>
              <w:t>临泽</w:t>
            </w:r>
            <w:r>
              <w:rPr>
                <w:rFonts w:hint="eastAsia" w:ascii="Times New Roman" w:hAnsi="Times New Roman" w:eastAsia="仿宋" w:cs="Times New Roman"/>
                <w:b w:val="0"/>
                <w:bCs w:val="0"/>
                <w:color w:val="000000" w:themeColor="text1"/>
                <w:kern w:val="2"/>
                <w:sz w:val="24"/>
                <w:szCs w:val="24"/>
                <w:highlight w:val="none"/>
                <w:lang w:val="en-US" w:eastAsia="zh-CN" w:bidi="ar-SA"/>
                <w14:textFill>
                  <w14:solidFill>
                    <w14:schemeClr w14:val="tx1"/>
                  </w14:solidFill>
                </w14:textFill>
              </w:rPr>
              <w:t>县</w:t>
            </w:r>
            <w:r>
              <w:rPr>
                <w:rFonts w:hint="eastAsia" w:ascii="Times New Roman" w:hAnsi="Times New Roman" w:eastAsia="仿宋" w:cs="Times New Roman"/>
                <w:b w:val="0"/>
                <w:bCs w:val="0"/>
                <w:color w:val="000000" w:themeColor="text1"/>
                <w:kern w:val="2"/>
                <w:sz w:val="24"/>
                <w:szCs w:val="24"/>
                <w:highlight w:val="none"/>
                <w:u w:val="single"/>
                <w:lang w:val="en-US" w:eastAsia="zh-CN" w:bidi="ar-SA"/>
                <w14:textFill>
                  <w14:solidFill>
                    <w14:schemeClr w14:val="tx1"/>
                  </w14:solidFill>
                </w14:textFill>
              </w:rPr>
              <w:t>平川</w:t>
            </w:r>
            <w:r>
              <w:rPr>
                <w:rFonts w:hint="eastAsia" w:ascii="Times New Roman" w:hAnsi="Times New Roman" w:eastAsia="仿宋" w:cs="Times New Roman"/>
                <w:b w:val="0"/>
                <w:bCs w:val="0"/>
                <w:color w:val="000000" w:themeColor="text1"/>
                <w:kern w:val="2"/>
                <w:sz w:val="24"/>
                <w:szCs w:val="24"/>
                <w:highlight w:val="none"/>
                <w:lang w:val="en-US" w:eastAsia="zh-CN" w:bidi="ar-SA"/>
                <w14:textFill>
                  <w14:solidFill>
                    <w14:schemeClr w14:val="tx1"/>
                  </w14:solidFill>
                </w14:textFill>
              </w:rPr>
              <w:t>镇</w:t>
            </w:r>
            <w:r>
              <w:rPr>
                <w:rFonts w:hint="eastAsia" w:ascii="Times New Roman" w:hAnsi="Times New Roman" w:eastAsia="仿宋" w:cs="Times New Roman"/>
                <w:b w:val="0"/>
                <w:bCs w:val="0"/>
                <w:color w:val="000000" w:themeColor="text1"/>
                <w:kern w:val="2"/>
                <w:sz w:val="24"/>
                <w:szCs w:val="24"/>
                <w:highlight w:val="none"/>
                <w:u w:val="single"/>
                <w:lang w:val="en-US" w:eastAsia="zh-CN" w:bidi="ar-SA"/>
                <w14:textFill>
                  <w14:solidFill>
                    <w14:schemeClr w14:val="tx1"/>
                  </w14:solidFill>
                </w14:textFill>
              </w:rPr>
              <w:t>小黑山</w:t>
            </w:r>
          </w:p>
        </w:tc>
      </w:tr>
      <w:tr w14:paraId="427F91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89" w:type="pct"/>
            <w:gridSpan w:val="2"/>
            <w:tcMar>
              <w:top w:w="16" w:type="dxa"/>
              <w:left w:w="16" w:type="dxa"/>
              <w:right w:w="16" w:type="dxa"/>
            </w:tcMar>
            <w:vAlign w:val="center"/>
          </w:tcPr>
          <w:p w14:paraId="1F860F3D">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地理坐标</w:t>
            </w:r>
          </w:p>
        </w:tc>
        <w:tc>
          <w:tcPr>
            <w:tcW w:w="4110" w:type="pct"/>
            <w:gridSpan w:val="5"/>
            <w:vAlign w:val="center"/>
          </w:tcPr>
          <w:p w14:paraId="261DA5D0">
            <w:pPr>
              <w:bidi w:val="0"/>
              <w:ind w:left="0" w:leftChars="0" w:firstLine="0" w:firstLineChars="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eastAsia="仿宋"/>
                <w:color w:val="000000" w:themeColor="text1"/>
                <w:sz w:val="24"/>
                <w14:textFill>
                  <w14:solidFill>
                    <w14:schemeClr w14:val="tx1"/>
                  </w14:solidFill>
                </w14:textFill>
              </w:rPr>
              <w:t>东经</w:t>
            </w:r>
            <w:r>
              <w:rPr>
                <w:rFonts w:hint="eastAsia" w:eastAsia="仿宋"/>
                <w:color w:val="000000" w:themeColor="text1"/>
                <w:sz w:val="24"/>
                <w:u w:val="single"/>
                <w:lang w:val="en-US" w:eastAsia="zh-CN"/>
                <w14:textFill>
                  <w14:solidFill>
                    <w14:schemeClr w14:val="tx1"/>
                  </w14:solidFill>
                </w14:textFill>
              </w:rPr>
              <w:t>100</w:t>
            </w:r>
            <w:r>
              <w:rPr>
                <w:rFonts w:eastAsia="仿宋"/>
                <w:color w:val="000000" w:themeColor="text1"/>
                <w:sz w:val="24"/>
                <w14:textFill>
                  <w14:solidFill>
                    <w14:schemeClr w14:val="tx1"/>
                  </w14:solidFill>
                </w14:textFill>
              </w:rPr>
              <w:t>度</w:t>
            </w:r>
            <w:r>
              <w:rPr>
                <w:rFonts w:hint="eastAsia" w:eastAsia="仿宋"/>
                <w:color w:val="000000" w:themeColor="text1"/>
                <w:sz w:val="24"/>
                <w:u w:val="single"/>
                <w:lang w:val="en-US" w:eastAsia="zh-CN"/>
                <w14:textFill>
                  <w14:solidFill>
                    <w14:schemeClr w14:val="tx1"/>
                  </w14:solidFill>
                </w14:textFill>
              </w:rPr>
              <w:t>07</w:t>
            </w:r>
            <w:r>
              <w:rPr>
                <w:rFonts w:eastAsia="仿宋"/>
                <w:color w:val="000000" w:themeColor="text1"/>
                <w:sz w:val="24"/>
                <w14:textFill>
                  <w14:solidFill>
                    <w14:schemeClr w14:val="tx1"/>
                  </w14:solidFill>
                </w14:textFill>
              </w:rPr>
              <w:t>分</w:t>
            </w:r>
            <w:r>
              <w:rPr>
                <w:rFonts w:hint="eastAsia" w:eastAsia="仿宋"/>
                <w:color w:val="000000" w:themeColor="text1"/>
                <w:sz w:val="24"/>
                <w:u w:val="single"/>
                <w:lang w:val="en-US" w:eastAsia="zh-CN"/>
                <w14:textFill>
                  <w14:solidFill>
                    <w14:schemeClr w14:val="tx1"/>
                  </w14:solidFill>
                </w14:textFill>
              </w:rPr>
              <w:t>02.056</w:t>
            </w:r>
            <w:r>
              <w:rPr>
                <w:rFonts w:eastAsia="仿宋"/>
                <w:color w:val="000000" w:themeColor="text1"/>
                <w:sz w:val="24"/>
                <w14:textFill>
                  <w14:solidFill>
                    <w14:schemeClr w14:val="tx1"/>
                  </w14:solidFill>
                </w14:textFill>
              </w:rPr>
              <w:t>秒，北纬</w:t>
            </w:r>
            <w:r>
              <w:rPr>
                <w:rFonts w:hint="eastAsia" w:eastAsia="仿宋"/>
                <w:color w:val="000000" w:themeColor="text1"/>
                <w:sz w:val="24"/>
                <w:u w:val="single"/>
                <w:lang w:val="en-US" w:eastAsia="zh-CN"/>
                <w14:textFill>
                  <w14:solidFill>
                    <w14:schemeClr w14:val="tx1"/>
                  </w14:solidFill>
                </w14:textFill>
              </w:rPr>
              <w:t>39</w:t>
            </w:r>
            <w:r>
              <w:rPr>
                <w:rFonts w:eastAsia="仿宋"/>
                <w:color w:val="000000" w:themeColor="text1"/>
                <w:sz w:val="24"/>
                <w14:textFill>
                  <w14:solidFill>
                    <w14:schemeClr w14:val="tx1"/>
                  </w14:solidFill>
                </w14:textFill>
              </w:rPr>
              <w:t>度</w:t>
            </w:r>
            <w:r>
              <w:rPr>
                <w:rFonts w:hint="eastAsia" w:eastAsia="仿宋"/>
                <w:color w:val="000000" w:themeColor="text1"/>
                <w:sz w:val="24"/>
                <w:u w:val="single"/>
                <w:lang w:val="en-US" w:eastAsia="zh-CN"/>
                <w14:textFill>
                  <w14:solidFill>
                    <w14:schemeClr w14:val="tx1"/>
                  </w14:solidFill>
                </w14:textFill>
              </w:rPr>
              <w:t>28</w:t>
            </w:r>
            <w:r>
              <w:rPr>
                <w:rFonts w:eastAsia="仿宋"/>
                <w:color w:val="000000" w:themeColor="text1"/>
                <w:sz w:val="24"/>
                <w14:textFill>
                  <w14:solidFill>
                    <w14:schemeClr w14:val="tx1"/>
                  </w14:solidFill>
                </w14:textFill>
              </w:rPr>
              <w:t>分</w:t>
            </w:r>
            <w:r>
              <w:rPr>
                <w:rFonts w:hint="eastAsia" w:eastAsia="仿宋"/>
                <w:color w:val="000000" w:themeColor="text1"/>
                <w:sz w:val="24"/>
                <w:u w:val="single"/>
                <w:lang w:val="en-US" w:eastAsia="zh-CN"/>
                <w14:textFill>
                  <w14:solidFill>
                    <w14:schemeClr w14:val="tx1"/>
                  </w14:solidFill>
                </w14:textFill>
              </w:rPr>
              <w:t>03.028</w:t>
            </w:r>
            <w:r>
              <w:rPr>
                <w:rFonts w:eastAsia="仿宋"/>
                <w:color w:val="000000" w:themeColor="text1"/>
                <w:sz w:val="24"/>
                <w14:textFill>
                  <w14:solidFill>
                    <w14:schemeClr w14:val="tx1"/>
                  </w14:solidFill>
                </w14:textFill>
              </w:rPr>
              <w:t>秒</w:t>
            </w:r>
          </w:p>
        </w:tc>
      </w:tr>
      <w:tr w14:paraId="5E4366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89" w:type="pct"/>
            <w:gridSpan w:val="2"/>
            <w:tcMar>
              <w:top w:w="16" w:type="dxa"/>
              <w:left w:w="16" w:type="dxa"/>
              <w:right w:w="16" w:type="dxa"/>
            </w:tcMar>
            <w:vAlign w:val="center"/>
          </w:tcPr>
          <w:p w14:paraId="222FEB96">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建设项目</w:t>
            </w:r>
          </w:p>
          <w:p w14:paraId="610B8D77">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行业类别</w:t>
            </w:r>
          </w:p>
        </w:tc>
        <w:tc>
          <w:tcPr>
            <w:tcW w:w="1466" w:type="pct"/>
            <w:vAlign w:val="center"/>
          </w:tcPr>
          <w:p w14:paraId="6974F4F6">
            <w:pPr>
              <w:adjustRightInd w:val="0"/>
              <w:snapToGrid w:val="0"/>
              <w:ind w:firstLine="0" w:firstLineChars="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bookmarkStart w:id="6" w:name="_Hlk72151146"/>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“八、非金属矿采选-11土砂石开采101（不含河道采砂项目）</w:t>
            </w:r>
            <w:r>
              <w:rPr>
                <w:rFonts w:hint="eastAsia" w:eastAsia="仿宋"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其他</w:t>
            </w:r>
            <w:bookmarkEnd w:id="6"/>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w:t>
            </w:r>
          </w:p>
        </w:tc>
        <w:tc>
          <w:tcPr>
            <w:tcW w:w="1022" w:type="pct"/>
            <w:gridSpan w:val="2"/>
            <w:vAlign w:val="center"/>
          </w:tcPr>
          <w:p w14:paraId="1D33C26D">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用地（用海）面积（</w:t>
            </w:r>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h</w:t>
            </w:r>
            <w:r>
              <w:rPr>
                <w:rFonts w:hint="default" w:ascii="Times New Roman" w:hAnsi="Times New Roman" w:eastAsia="仿宋" w:cs="Times New Roman"/>
                <w:color w:val="000000" w:themeColor="text1"/>
                <w:sz w:val="24"/>
                <w:szCs w:val="24"/>
                <w:highlight w:val="none"/>
                <w14:textFill>
                  <w14:solidFill>
                    <w14:schemeClr w14:val="tx1"/>
                  </w14:solidFill>
                </w14:textFill>
              </w:rPr>
              <w:t>m</w:t>
            </w:r>
            <w:r>
              <w:rPr>
                <w:rFonts w:hint="default" w:ascii="Times New Roman" w:hAnsi="Times New Roman" w:eastAsia="仿宋" w:cs="Times New Roman"/>
                <w:color w:val="000000" w:themeColor="text1"/>
                <w:sz w:val="24"/>
                <w:szCs w:val="24"/>
                <w:highlight w:val="none"/>
                <w:vertAlign w:val="superscript"/>
                <w14:textFill>
                  <w14:solidFill>
                    <w14:schemeClr w14:val="tx1"/>
                  </w14:solidFill>
                </w14:textFill>
              </w:rPr>
              <w:t>2</w:t>
            </w:r>
            <w:r>
              <w:rPr>
                <w:rFonts w:hint="default" w:ascii="Times New Roman" w:hAnsi="Times New Roman" w:eastAsia="仿宋" w:cs="Times New Roman"/>
                <w:color w:val="000000" w:themeColor="text1"/>
                <w:sz w:val="24"/>
                <w:szCs w:val="24"/>
                <w:highlight w:val="none"/>
                <w14:textFill>
                  <w14:solidFill>
                    <w14:schemeClr w14:val="tx1"/>
                  </w14:solidFill>
                </w14:textFill>
              </w:rPr>
              <w:t>）/长度（km）</w:t>
            </w:r>
          </w:p>
        </w:tc>
        <w:tc>
          <w:tcPr>
            <w:tcW w:w="1621" w:type="pct"/>
            <w:gridSpan w:val="2"/>
            <w:vAlign w:val="center"/>
          </w:tcPr>
          <w:p w14:paraId="0B813221">
            <w:pPr>
              <w:adjustRightInd w:val="0"/>
              <w:snapToGrid w:val="0"/>
              <w:jc w:val="cente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45.88h</w:t>
            </w:r>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m</w:t>
            </w:r>
            <w:r>
              <w:rPr>
                <w:rFonts w:hint="default" w:ascii="Times New Roman" w:hAnsi="Times New Roman" w:eastAsia="仿宋" w:cs="Times New Roman"/>
                <w:color w:val="000000" w:themeColor="text1"/>
                <w:sz w:val="24"/>
                <w:szCs w:val="24"/>
                <w:highlight w:val="none"/>
                <w:vertAlign w:val="superscript"/>
                <w:lang w:val="en-US" w:eastAsia="zh-CN"/>
                <w14:textFill>
                  <w14:solidFill>
                    <w14:schemeClr w14:val="tx1"/>
                  </w14:solidFill>
                </w14:textFill>
              </w:rPr>
              <w:t>2</w:t>
            </w:r>
          </w:p>
        </w:tc>
      </w:tr>
      <w:tr w14:paraId="1DF070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89" w:type="pct"/>
            <w:gridSpan w:val="2"/>
            <w:tcMar>
              <w:top w:w="16" w:type="dxa"/>
              <w:left w:w="16" w:type="dxa"/>
              <w:right w:w="16" w:type="dxa"/>
            </w:tcMar>
            <w:vAlign w:val="center"/>
          </w:tcPr>
          <w:p w14:paraId="6E673078">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建设性质</w:t>
            </w:r>
          </w:p>
        </w:tc>
        <w:tc>
          <w:tcPr>
            <w:tcW w:w="1466" w:type="pct"/>
            <w:vAlign w:val="center"/>
          </w:tcPr>
          <w:p w14:paraId="457304C5">
            <w:pPr>
              <w:adjustRightInd w:val="0"/>
              <w:snapToGrid w:val="0"/>
              <w:jc w:val="left"/>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sym w:font="Wingdings 2" w:char="00A3"/>
            </w:r>
            <w:r>
              <w:rPr>
                <w:rFonts w:hint="default" w:ascii="Times New Roman" w:hAnsi="Times New Roman" w:eastAsia="仿宋" w:cs="Times New Roman"/>
                <w:color w:val="000000" w:themeColor="text1"/>
                <w:sz w:val="24"/>
                <w:szCs w:val="24"/>
                <w:highlight w:val="none"/>
                <w14:textFill>
                  <w14:solidFill>
                    <w14:schemeClr w14:val="tx1"/>
                  </w14:solidFill>
                </w14:textFill>
              </w:rPr>
              <w:t>新建（迁建）</w:t>
            </w:r>
          </w:p>
          <w:p w14:paraId="73159325">
            <w:pPr>
              <w:adjustRightInd w:val="0"/>
              <w:snapToGrid w:val="0"/>
              <w:jc w:val="left"/>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sym w:font="Wingdings 2" w:char="00A3"/>
            </w:r>
            <w:r>
              <w:rPr>
                <w:rFonts w:hint="default" w:ascii="Times New Roman" w:hAnsi="Times New Roman" w:eastAsia="仿宋" w:cs="Times New Roman"/>
                <w:color w:val="000000" w:themeColor="text1"/>
                <w:sz w:val="24"/>
                <w:szCs w:val="24"/>
                <w:highlight w:val="none"/>
                <w14:textFill>
                  <w14:solidFill>
                    <w14:schemeClr w14:val="tx1"/>
                  </w14:solidFill>
                </w14:textFill>
              </w:rPr>
              <w:t>改建</w:t>
            </w:r>
          </w:p>
          <w:p w14:paraId="1DAAE389">
            <w:pPr>
              <w:adjustRightInd w:val="0"/>
              <w:snapToGrid w:val="0"/>
              <w:jc w:val="left"/>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sym w:font="Wingdings 2" w:char="0052"/>
            </w:r>
            <w:r>
              <w:rPr>
                <w:rFonts w:hint="default" w:ascii="Times New Roman" w:hAnsi="Times New Roman" w:eastAsia="仿宋" w:cs="Times New Roman"/>
                <w:color w:val="000000" w:themeColor="text1"/>
                <w:sz w:val="24"/>
                <w:szCs w:val="24"/>
                <w:highlight w:val="none"/>
                <w14:textFill>
                  <w14:solidFill>
                    <w14:schemeClr w14:val="tx1"/>
                  </w14:solidFill>
                </w14:textFill>
              </w:rPr>
              <w:t>扩建</w:t>
            </w:r>
          </w:p>
          <w:p w14:paraId="73023797">
            <w:pPr>
              <w:adjustRightInd w:val="0"/>
              <w:snapToGrid w:val="0"/>
              <w:jc w:val="left"/>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sym w:font="Wingdings 2" w:char="00A3"/>
            </w:r>
            <w:r>
              <w:rPr>
                <w:rFonts w:hint="default" w:ascii="Times New Roman" w:hAnsi="Times New Roman" w:eastAsia="仿宋" w:cs="Times New Roman"/>
                <w:color w:val="000000" w:themeColor="text1"/>
                <w:sz w:val="24"/>
                <w:szCs w:val="24"/>
                <w:highlight w:val="none"/>
                <w14:textFill>
                  <w14:solidFill>
                    <w14:schemeClr w14:val="tx1"/>
                  </w14:solidFill>
                </w14:textFill>
              </w:rPr>
              <w:t>技术改造</w:t>
            </w:r>
          </w:p>
        </w:tc>
        <w:tc>
          <w:tcPr>
            <w:tcW w:w="1022" w:type="pct"/>
            <w:gridSpan w:val="2"/>
            <w:vAlign w:val="center"/>
          </w:tcPr>
          <w:p w14:paraId="277D6ACD">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建设项目</w:t>
            </w:r>
          </w:p>
          <w:p w14:paraId="39BB0D11">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申报情形</w:t>
            </w:r>
          </w:p>
        </w:tc>
        <w:tc>
          <w:tcPr>
            <w:tcW w:w="1621" w:type="pct"/>
            <w:gridSpan w:val="2"/>
            <w:vAlign w:val="center"/>
          </w:tcPr>
          <w:p w14:paraId="0BF25701">
            <w:pPr>
              <w:adjustRightInd w:val="0"/>
              <w:snapToGrid w:val="0"/>
              <w:jc w:val="left"/>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sym w:font="Wingdings 2" w:char="0052"/>
            </w:r>
            <w:r>
              <w:rPr>
                <w:rFonts w:hint="default" w:ascii="Times New Roman" w:hAnsi="Times New Roman" w:eastAsia="仿宋" w:cs="Times New Roman"/>
                <w:color w:val="000000" w:themeColor="text1"/>
                <w:sz w:val="24"/>
                <w:szCs w:val="24"/>
                <w:highlight w:val="none"/>
                <w14:textFill>
                  <w14:solidFill>
                    <w14:schemeClr w14:val="tx1"/>
                  </w14:solidFill>
                </w14:textFill>
              </w:rPr>
              <w:t>首次申报项目</w:t>
            </w:r>
          </w:p>
          <w:p w14:paraId="615EC316">
            <w:pPr>
              <w:adjustRightInd w:val="0"/>
              <w:snapToGrid w:val="0"/>
              <w:jc w:val="left"/>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sym w:font="Wingdings 2" w:char="00A3"/>
            </w:r>
            <w:r>
              <w:rPr>
                <w:rFonts w:hint="default" w:ascii="Times New Roman" w:hAnsi="Times New Roman" w:eastAsia="仿宋" w:cs="Times New Roman"/>
                <w:color w:val="000000" w:themeColor="text1"/>
                <w:sz w:val="24"/>
                <w:szCs w:val="24"/>
                <w:highlight w:val="none"/>
                <w14:textFill>
                  <w14:solidFill>
                    <w14:schemeClr w14:val="tx1"/>
                  </w14:solidFill>
                </w14:textFill>
              </w:rPr>
              <w:t>不予批准后再次申报项目</w:t>
            </w:r>
          </w:p>
          <w:p w14:paraId="215FB8EF">
            <w:pPr>
              <w:adjustRightInd w:val="0"/>
              <w:snapToGrid w:val="0"/>
              <w:jc w:val="left"/>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sym w:font="Wingdings 2" w:char="00A3"/>
            </w:r>
            <w:r>
              <w:rPr>
                <w:rFonts w:hint="default" w:ascii="Times New Roman" w:hAnsi="Times New Roman" w:eastAsia="仿宋" w:cs="Times New Roman"/>
                <w:color w:val="000000" w:themeColor="text1"/>
                <w:sz w:val="24"/>
                <w:szCs w:val="24"/>
                <w:highlight w:val="none"/>
                <w14:textFill>
                  <w14:solidFill>
                    <w14:schemeClr w14:val="tx1"/>
                  </w14:solidFill>
                </w14:textFill>
              </w:rPr>
              <w:t>超五年重新审核项目</w:t>
            </w:r>
          </w:p>
          <w:p w14:paraId="095D92DE">
            <w:pPr>
              <w:adjustRightInd w:val="0"/>
              <w:snapToGrid w:val="0"/>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sym w:font="Wingdings 2" w:char="00A3"/>
            </w:r>
            <w:r>
              <w:rPr>
                <w:rFonts w:hint="default" w:ascii="Times New Roman" w:hAnsi="Times New Roman" w:eastAsia="仿宋" w:cs="Times New Roman"/>
                <w:color w:val="000000" w:themeColor="text1"/>
                <w:sz w:val="24"/>
                <w:szCs w:val="24"/>
                <w:highlight w:val="none"/>
                <w14:textFill>
                  <w14:solidFill>
                    <w14:schemeClr w14:val="tx1"/>
                  </w14:solidFill>
                </w14:textFill>
              </w:rPr>
              <w:t>重大变动重新报批项目</w:t>
            </w:r>
          </w:p>
        </w:tc>
      </w:tr>
      <w:tr w14:paraId="2CAD25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89" w:type="pct"/>
            <w:gridSpan w:val="2"/>
            <w:tcMar>
              <w:top w:w="16" w:type="dxa"/>
              <w:left w:w="16" w:type="dxa"/>
              <w:right w:w="16" w:type="dxa"/>
            </w:tcMar>
            <w:vAlign w:val="center"/>
          </w:tcPr>
          <w:p w14:paraId="5A29BEEE">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项目审批</w:t>
            </w:r>
          </w:p>
          <w:p w14:paraId="0153FCEB">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（核准/备案）部门（选填）</w:t>
            </w:r>
          </w:p>
        </w:tc>
        <w:tc>
          <w:tcPr>
            <w:tcW w:w="1466" w:type="pct"/>
            <w:vAlign w:val="center"/>
          </w:tcPr>
          <w:p w14:paraId="20D98F9E">
            <w:pPr>
              <w:adjustRightInd w:val="0"/>
              <w:snapToGrid w:val="0"/>
              <w:jc w:val="cente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临泽县发展和改革局</w:t>
            </w:r>
          </w:p>
        </w:tc>
        <w:tc>
          <w:tcPr>
            <w:tcW w:w="1022" w:type="pct"/>
            <w:gridSpan w:val="2"/>
            <w:vAlign w:val="center"/>
          </w:tcPr>
          <w:p w14:paraId="38383BFD">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项目审批</w:t>
            </w:r>
          </w:p>
          <w:p w14:paraId="55CA34A4">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（核准/备案）文号（选填）</w:t>
            </w:r>
          </w:p>
        </w:tc>
        <w:tc>
          <w:tcPr>
            <w:tcW w:w="1621" w:type="pct"/>
            <w:gridSpan w:val="2"/>
            <w:vAlign w:val="center"/>
          </w:tcPr>
          <w:p w14:paraId="43265B98">
            <w:pPr>
              <w:adjustRightInd w:val="0"/>
              <w:snapToGrid w:val="0"/>
              <w:jc w:val="cente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临发改（备）字</w:t>
            </w:r>
            <w:r>
              <w:rPr>
                <w:rFonts w:hint="default" w:ascii="Times New Roman" w:hAnsi="Times New Roman" w:eastAsia="仿宋" w:cs="Times New Roman"/>
                <w:color w:val="000000" w:themeColor="text1"/>
                <w:kern w:val="0"/>
                <w:sz w:val="24"/>
                <w:highlight w:val="none"/>
                <w:lang w:val="en-US" w:eastAsia="zh-CN"/>
                <w14:textFill>
                  <w14:solidFill>
                    <w14:schemeClr w14:val="tx1"/>
                  </w14:solidFill>
                </w14:textFill>
              </w:rPr>
              <w:t>〔20</w:t>
            </w:r>
            <w:r>
              <w:rPr>
                <w:rFonts w:hint="eastAsia" w:eastAsia="仿宋" w:cs="Times New Roman"/>
                <w:color w:val="000000" w:themeColor="text1"/>
                <w:kern w:val="0"/>
                <w:sz w:val="24"/>
                <w:highlight w:val="none"/>
                <w:lang w:val="en-US" w:eastAsia="zh-CN"/>
                <w14:textFill>
                  <w14:solidFill>
                    <w14:schemeClr w14:val="tx1"/>
                  </w14:solidFill>
                </w14:textFill>
              </w:rPr>
              <w:t>25</w:t>
            </w:r>
            <w:r>
              <w:rPr>
                <w:rFonts w:hint="default" w:ascii="Times New Roman" w:hAnsi="Times New Roman" w:eastAsia="仿宋" w:cs="Times New Roman"/>
                <w:color w:val="000000" w:themeColor="text1"/>
                <w:kern w:val="0"/>
                <w:sz w:val="24"/>
                <w:highlight w:val="none"/>
                <w:lang w:val="en-US" w:eastAsia="zh-CN"/>
                <w14:textFill>
                  <w14:solidFill>
                    <w14:schemeClr w14:val="tx1"/>
                  </w14:solidFill>
                </w14:textFill>
              </w:rPr>
              <w:t>〕</w:t>
            </w:r>
            <w:r>
              <w:rPr>
                <w:rFonts w:hint="eastAsia" w:eastAsia="仿宋" w:cs="Times New Roman"/>
                <w:color w:val="000000" w:themeColor="text1"/>
                <w:kern w:val="0"/>
                <w:sz w:val="24"/>
                <w:highlight w:val="none"/>
                <w:lang w:val="en-US" w:eastAsia="zh-CN"/>
                <w14:textFill>
                  <w14:solidFill>
                    <w14:schemeClr w14:val="tx1"/>
                  </w14:solidFill>
                </w14:textFill>
              </w:rPr>
              <w:t>82号</w:t>
            </w:r>
          </w:p>
        </w:tc>
      </w:tr>
      <w:tr w14:paraId="6624DC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89" w:type="pct"/>
            <w:gridSpan w:val="2"/>
            <w:tcMar>
              <w:top w:w="16" w:type="dxa"/>
              <w:left w:w="16" w:type="dxa"/>
              <w:right w:w="16" w:type="dxa"/>
            </w:tcMar>
            <w:vAlign w:val="center"/>
          </w:tcPr>
          <w:p w14:paraId="28C9D67D">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总投资（万元）</w:t>
            </w:r>
          </w:p>
        </w:tc>
        <w:tc>
          <w:tcPr>
            <w:tcW w:w="1466" w:type="pct"/>
            <w:vAlign w:val="center"/>
          </w:tcPr>
          <w:p w14:paraId="2C0C4082">
            <w:pPr>
              <w:adjustRightInd w:val="0"/>
              <w:snapToGrid w:val="0"/>
              <w:jc w:val="cente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1507</w:t>
            </w:r>
          </w:p>
        </w:tc>
        <w:tc>
          <w:tcPr>
            <w:tcW w:w="1022" w:type="pct"/>
            <w:gridSpan w:val="2"/>
            <w:tcMar>
              <w:top w:w="16" w:type="dxa"/>
              <w:left w:w="16" w:type="dxa"/>
              <w:right w:w="16" w:type="dxa"/>
            </w:tcMar>
            <w:vAlign w:val="center"/>
          </w:tcPr>
          <w:p w14:paraId="2C7F9394">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环保投资</w:t>
            </w:r>
          </w:p>
          <w:p w14:paraId="215FDD22">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（万元）</w:t>
            </w:r>
          </w:p>
        </w:tc>
        <w:tc>
          <w:tcPr>
            <w:tcW w:w="1621" w:type="pct"/>
            <w:gridSpan w:val="2"/>
            <w:vAlign w:val="center"/>
          </w:tcPr>
          <w:p w14:paraId="0F3031EC">
            <w:pPr>
              <w:adjustRightInd w:val="0"/>
              <w:snapToGrid w:val="0"/>
              <w:jc w:val="cente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271.04</w:t>
            </w:r>
          </w:p>
        </w:tc>
      </w:tr>
      <w:tr w14:paraId="4C240C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89" w:type="pct"/>
            <w:gridSpan w:val="2"/>
            <w:tcMar>
              <w:top w:w="16" w:type="dxa"/>
              <w:left w:w="16" w:type="dxa"/>
              <w:right w:w="16" w:type="dxa"/>
            </w:tcMar>
            <w:vAlign w:val="center"/>
          </w:tcPr>
          <w:p w14:paraId="4BB27D22">
            <w:pPr>
              <w:adjustRightInd w:val="0"/>
              <w:snapToGrid w:val="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环保投资占比（%）</w:t>
            </w:r>
          </w:p>
        </w:tc>
        <w:tc>
          <w:tcPr>
            <w:tcW w:w="1466" w:type="pct"/>
            <w:vAlign w:val="center"/>
          </w:tcPr>
          <w:p w14:paraId="6993A850">
            <w:pPr>
              <w:adjustRightInd w:val="0"/>
              <w:snapToGrid w:val="0"/>
              <w:jc w:val="cente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18</w:t>
            </w:r>
          </w:p>
        </w:tc>
        <w:tc>
          <w:tcPr>
            <w:tcW w:w="1022" w:type="pct"/>
            <w:gridSpan w:val="2"/>
            <w:tcMar>
              <w:top w:w="16" w:type="dxa"/>
              <w:left w:w="16" w:type="dxa"/>
              <w:right w:w="16" w:type="dxa"/>
            </w:tcMar>
            <w:vAlign w:val="center"/>
          </w:tcPr>
          <w:p w14:paraId="1EDF9000">
            <w:pPr>
              <w:adjustRightInd w:val="0"/>
              <w:snapToGrid w:val="0"/>
              <w:jc w:val="center"/>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施工工期</w:t>
            </w:r>
          </w:p>
        </w:tc>
        <w:tc>
          <w:tcPr>
            <w:tcW w:w="1621" w:type="pct"/>
            <w:gridSpan w:val="2"/>
            <w:vAlign w:val="center"/>
          </w:tcPr>
          <w:p w14:paraId="7C10CECC">
            <w:pPr>
              <w:adjustRightInd w:val="0"/>
              <w:snapToGrid w:val="0"/>
              <w:jc w:val="cente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6</w:t>
            </w:r>
          </w:p>
        </w:tc>
      </w:tr>
      <w:tr w14:paraId="66345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54" w:hRule="atLeast"/>
          <w:jc w:val="center"/>
        </w:trPr>
        <w:tc>
          <w:tcPr>
            <w:tcW w:w="889" w:type="pct"/>
            <w:gridSpan w:val="2"/>
            <w:tcMar>
              <w:top w:w="16" w:type="dxa"/>
              <w:left w:w="16" w:type="dxa"/>
              <w:right w:w="16" w:type="dxa"/>
            </w:tcMar>
            <w:vAlign w:val="center"/>
          </w:tcPr>
          <w:p w14:paraId="2EE7E09F">
            <w:pPr>
              <w:adjustRightInd w:val="0"/>
              <w:snapToGrid w:val="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是否开工建设</w:t>
            </w:r>
          </w:p>
        </w:tc>
        <w:tc>
          <w:tcPr>
            <w:tcW w:w="4110" w:type="pct"/>
            <w:gridSpan w:val="5"/>
            <w:vAlign w:val="center"/>
          </w:tcPr>
          <w:p w14:paraId="109F2309">
            <w:pPr>
              <w:adjustRightInd w:val="0"/>
              <w:snapToGrid w:val="0"/>
              <w:ind w:firstLine="105"/>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sym w:font="Wingdings 2" w:char="0052"/>
            </w:r>
            <w:r>
              <w:rPr>
                <w:rFonts w:hint="default" w:ascii="Times New Roman" w:hAnsi="Times New Roman" w:eastAsia="仿宋" w:cs="Times New Roman"/>
                <w:color w:val="auto"/>
                <w:sz w:val="24"/>
                <w:szCs w:val="24"/>
                <w:highlight w:val="none"/>
              </w:rPr>
              <w:t>否</w:t>
            </w:r>
          </w:p>
          <w:p w14:paraId="09E47C2C">
            <w:pPr>
              <w:adjustRightInd w:val="0"/>
              <w:snapToGrid w:val="0"/>
              <w:ind w:firstLine="92"/>
              <w:jc w:val="left"/>
              <w:rPr>
                <w:rFonts w:hint="default" w:ascii="Times New Roman" w:hAnsi="Times New Roman" w:eastAsia="仿宋" w:cs="Times New Roman"/>
                <w:color w:val="auto"/>
                <w:sz w:val="24"/>
                <w:szCs w:val="24"/>
                <w:highlight w:val="none"/>
                <w:u w:val="single"/>
                <w:lang w:val="en-US" w:eastAsia="zh-CN"/>
              </w:rPr>
            </w:pPr>
            <w:r>
              <w:rPr>
                <w:rFonts w:hint="default" w:ascii="Times New Roman" w:hAnsi="Times New Roman" w:eastAsia="仿宋" w:cs="Times New Roman"/>
                <w:color w:val="auto"/>
                <w:sz w:val="24"/>
                <w:szCs w:val="24"/>
                <w:highlight w:val="none"/>
              </w:rPr>
              <w:sym w:font="Wingdings 2" w:char="00A3"/>
            </w:r>
            <w:r>
              <w:rPr>
                <w:rFonts w:hint="default" w:ascii="Times New Roman" w:hAnsi="Times New Roman" w:eastAsia="仿宋" w:cs="Times New Roman"/>
                <w:color w:val="auto"/>
                <w:sz w:val="24"/>
                <w:szCs w:val="24"/>
                <w:highlight w:val="none"/>
              </w:rPr>
              <w:t>是：</w:t>
            </w:r>
            <w:r>
              <w:rPr>
                <w:rFonts w:hint="default" w:ascii="Times New Roman" w:hAnsi="Times New Roman" w:eastAsia="仿宋" w:cs="Times New Roman"/>
                <w:color w:val="auto"/>
                <w:sz w:val="24"/>
                <w:szCs w:val="24"/>
                <w:highlight w:val="none"/>
                <w:u w:val="single"/>
                <w:lang w:val="en-US" w:eastAsia="zh-CN"/>
              </w:rPr>
              <w:t xml:space="preserve"> </w:t>
            </w:r>
            <w:r>
              <w:rPr>
                <w:rFonts w:hint="eastAsia" w:eastAsia="仿宋" w:cs="Times New Roman"/>
                <w:color w:val="auto"/>
                <w:sz w:val="24"/>
                <w:szCs w:val="24"/>
                <w:highlight w:val="none"/>
                <w:u w:val="single"/>
                <w:lang w:val="en-US" w:eastAsia="zh-CN"/>
              </w:rPr>
              <w:t xml:space="preserve">               </w:t>
            </w:r>
          </w:p>
        </w:tc>
      </w:tr>
      <w:tr w14:paraId="7B1EE4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1" w:hRule="atLeast"/>
          <w:jc w:val="center"/>
        </w:trPr>
        <w:tc>
          <w:tcPr>
            <w:tcW w:w="609" w:type="pct"/>
            <w:tcMar>
              <w:top w:w="16" w:type="dxa"/>
              <w:left w:w="16" w:type="dxa"/>
              <w:right w:w="16" w:type="dxa"/>
            </w:tcMar>
            <w:vAlign w:val="center"/>
          </w:tcPr>
          <w:p w14:paraId="567F6E51">
            <w:pPr>
              <w:autoSpaceDE w:val="0"/>
              <w:autoSpaceDN w:val="0"/>
              <w:adjustRightInd w:val="0"/>
              <w:snapToGrid w:val="0"/>
              <w:jc w:val="center"/>
              <w:rPr>
                <w:rFonts w:hint="default" w:ascii="Times New Roman" w:hAnsi="Times New Roman" w:eastAsia="仿宋" w:cs="Times New Roman"/>
                <w:color w:val="auto"/>
                <w:kern w:val="0"/>
                <w:szCs w:val="21"/>
                <w:highlight w:val="none"/>
              </w:rPr>
            </w:pPr>
            <w:r>
              <w:rPr>
                <w:rFonts w:hint="default" w:ascii="Times New Roman" w:hAnsi="Times New Roman" w:eastAsia="仿宋" w:cs="Times New Roman"/>
                <w:color w:val="auto"/>
                <w:kern w:val="0"/>
                <w:szCs w:val="21"/>
                <w:highlight w:val="none"/>
              </w:rPr>
              <w:t>专项评价设置情况</w:t>
            </w:r>
          </w:p>
        </w:tc>
        <w:tc>
          <w:tcPr>
            <w:tcW w:w="4390" w:type="pct"/>
            <w:gridSpan w:val="6"/>
            <w:tcMar>
              <w:top w:w="16" w:type="dxa"/>
              <w:left w:w="16" w:type="dxa"/>
              <w:right w:w="16" w:type="dxa"/>
            </w:tcMar>
            <w:vAlign w:val="center"/>
          </w:tcPr>
          <w:p w14:paraId="1F2727B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eastAsia="仿宋"/>
                <w:color w:val="000000"/>
                <w:kern w:val="0"/>
                <w:sz w:val="24"/>
              </w:rPr>
            </w:pPr>
            <w:r>
              <w:rPr>
                <w:rFonts w:eastAsia="仿宋"/>
                <w:color w:val="000000"/>
                <w:kern w:val="0"/>
                <w:sz w:val="24"/>
              </w:rPr>
              <w:t>根据建设项目特点和涉及的环境敏感区类别，确定专项评价的类别，本项目专项评价设置情况见表1。</w:t>
            </w:r>
          </w:p>
          <w:p w14:paraId="59984F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shd w:val="clear" w:color="auto" w:fill="auto"/>
                <w:lang w:val="en-US" w:eastAsia="zh-CN"/>
              </w:rPr>
            </w:pPr>
            <w:r>
              <w:rPr>
                <w:rFonts w:hint="default" w:ascii="Times New Roman" w:hAnsi="Times New Roman" w:eastAsia="仿宋" w:cs="Times New Roman"/>
                <w:b/>
                <w:bCs/>
                <w:color w:val="auto"/>
                <w:sz w:val="21"/>
                <w:szCs w:val="21"/>
                <w:highlight w:val="none"/>
                <w:shd w:val="clear" w:color="auto" w:fill="auto"/>
                <w:lang w:val="en-US" w:eastAsia="zh-CN"/>
              </w:rPr>
              <w:t>表</w:t>
            </w:r>
            <w:r>
              <w:rPr>
                <w:rFonts w:hint="eastAsia" w:eastAsia="仿宋" w:cs="Times New Roman"/>
                <w:b/>
                <w:bCs/>
                <w:color w:val="auto"/>
                <w:sz w:val="21"/>
                <w:szCs w:val="21"/>
                <w:highlight w:val="none"/>
                <w:shd w:val="clear" w:color="auto" w:fill="auto"/>
                <w:lang w:val="en-US" w:eastAsia="zh-CN"/>
              </w:rPr>
              <w:t>1</w:t>
            </w:r>
            <w:r>
              <w:rPr>
                <w:rFonts w:hint="default" w:ascii="Times New Roman" w:hAnsi="Times New Roman" w:eastAsia="仿宋" w:cs="Times New Roman"/>
                <w:b/>
                <w:bCs/>
                <w:color w:val="auto"/>
                <w:sz w:val="21"/>
                <w:szCs w:val="21"/>
                <w:highlight w:val="none"/>
                <w:shd w:val="clear" w:color="auto" w:fill="auto"/>
                <w:lang w:val="en-US" w:eastAsia="zh-CN"/>
              </w:rPr>
              <w:t xml:space="preserve">   本</w:t>
            </w:r>
            <w:r>
              <w:rPr>
                <w:rFonts w:hint="eastAsia" w:eastAsia="仿宋" w:cs="Times New Roman"/>
                <w:b/>
                <w:bCs/>
                <w:color w:val="auto"/>
                <w:sz w:val="21"/>
                <w:szCs w:val="21"/>
                <w:highlight w:val="none"/>
                <w:shd w:val="clear" w:color="auto" w:fill="auto"/>
                <w:lang w:val="en-US" w:eastAsia="zh-CN"/>
              </w:rPr>
              <w:t>项目</w:t>
            </w:r>
            <w:r>
              <w:rPr>
                <w:rFonts w:hint="default" w:ascii="Times New Roman" w:hAnsi="Times New Roman" w:eastAsia="仿宋" w:cs="Times New Roman"/>
                <w:b/>
                <w:bCs/>
                <w:color w:val="auto"/>
                <w:sz w:val="21"/>
                <w:szCs w:val="21"/>
                <w:highlight w:val="none"/>
                <w:shd w:val="clear" w:color="auto" w:fill="auto"/>
                <w:lang w:val="en-US" w:eastAsia="zh-CN"/>
              </w:rPr>
              <w:t>专项评价设置情况一览表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884"/>
              <w:gridCol w:w="3684"/>
              <w:gridCol w:w="2041"/>
              <w:gridCol w:w="692"/>
            </w:tblGrid>
            <w:tr w14:paraId="43ECB3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jc w:val="center"/>
              </w:trPr>
              <w:tc>
                <w:tcPr>
                  <w:tcW w:w="605" w:type="pct"/>
                  <w:tcBorders>
                    <w:tl2br w:val="nil"/>
                    <w:tr2bl w:val="nil"/>
                  </w:tcBorders>
                  <w:vAlign w:val="center"/>
                </w:tcPr>
                <w:p w14:paraId="195001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highlight w:val="none"/>
                      <w:u w:val="none"/>
                      <w:shd w:val="clear" w:color="auto" w:fill="auto"/>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专项评价类别</w:t>
                  </w:r>
                </w:p>
              </w:tc>
              <w:tc>
                <w:tcPr>
                  <w:tcW w:w="2522" w:type="pct"/>
                  <w:tcBorders>
                    <w:tl2br w:val="nil"/>
                    <w:tr2bl w:val="nil"/>
                  </w:tcBorders>
                  <w:vAlign w:val="center"/>
                </w:tcPr>
                <w:p w14:paraId="6B559F0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highlight w:val="none"/>
                      <w:u w:val="none"/>
                      <w:shd w:val="clear" w:color="auto" w:fill="auto"/>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设置原则</w:t>
                  </w:r>
                </w:p>
              </w:tc>
              <w:tc>
                <w:tcPr>
                  <w:tcW w:w="1397" w:type="pct"/>
                  <w:tcBorders>
                    <w:tl2br w:val="nil"/>
                    <w:tr2bl w:val="nil"/>
                  </w:tcBorders>
                  <w:vAlign w:val="center"/>
                </w:tcPr>
                <w:p w14:paraId="25E1623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本</w:t>
                  </w:r>
                  <w:r>
                    <w:rPr>
                      <w:rFonts w:hint="eastAsia" w:eastAsia="仿宋" w:cs="Times New Roman"/>
                      <w:i w:val="0"/>
                      <w:iCs w:val="0"/>
                      <w:color w:val="auto"/>
                      <w:kern w:val="0"/>
                      <w:sz w:val="21"/>
                      <w:szCs w:val="21"/>
                      <w:highlight w:val="none"/>
                      <w:u w:val="none"/>
                      <w:shd w:val="clear" w:color="auto" w:fill="auto"/>
                      <w:lang w:val="en-US" w:eastAsia="zh-CN"/>
                    </w:rPr>
                    <w:t>项目</w:t>
                  </w: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情况</w:t>
                  </w:r>
                </w:p>
              </w:tc>
              <w:tc>
                <w:tcPr>
                  <w:tcW w:w="473" w:type="pct"/>
                  <w:tcBorders>
                    <w:tl2br w:val="nil"/>
                    <w:tr2bl w:val="nil"/>
                  </w:tcBorders>
                  <w:vAlign w:val="center"/>
                </w:tcPr>
                <w:p w14:paraId="617387E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是否设置</w:t>
                  </w:r>
                </w:p>
              </w:tc>
            </w:tr>
            <w:tr w14:paraId="759908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5" w:type="pct"/>
                  <w:tcBorders>
                    <w:tl2br w:val="nil"/>
                    <w:tr2bl w:val="nil"/>
                  </w:tcBorders>
                  <w:vAlign w:val="center"/>
                </w:tcPr>
                <w:p w14:paraId="5E95BD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highlight w:val="none"/>
                      <w:u w:val="none"/>
                      <w:shd w:val="clear" w:color="auto" w:fill="auto"/>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地表水</w:t>
                  </w:r>
                </w:p>
              </w:tc>
              <w:tc>
                <w:tcPr>
                  <w:tcW w:w="2522" w:type="pct"/>
                  <w:tcBorders>
                    <w:tl2br w:val="nil"/>
                    <w:tr2bl w:val="nil"/>
                  </w:tcBorders>
                  <w:vAlign w:val="center"/>
                </w:tcPr>
                <w:p w14:paraId="1049E12F">
                  <w:pPr>
                    <w:keepNext w:val="0"/>
                    <w:keepLines w:val="0"/>
                    <w:pageBreakBefore w:val="0"/>
                    <w:widowControl w:val="0"/>
                    <w:kinsoku/>
                    <w:wordWrap/>
                    <w:overflowPunct/>
                    <w:topLinePunct w:val="0"/>
                    <w:autoSpaceDE w:val="0"/>
                    <w:autoSpaceDN w:val="0"/>
                    <w:bidi w:val="0"/>
                    <w:adjustRightInd w:val="0"/>
                    <w:snapToGrid w:val="0"/>
                    <w:textAlignment w:val="auto"/>
                    <w:rPr>
                      <w:rFonts w:eastAsia="仿宋"/>
                      <w:color w:val="auto"/>
                      <w:kern w:val="0"/>
                      <w:szCs w:val="21"/>
                      <w:highlight w:val="none"/>
                    </w:rPr>
                  </w:pPr>
                  <w:r>
                    <w:rPr>
                      <w:rFonts w:eastAsia="仿宋"/>
                      <w:color w:val="auto"/>
                      <w:kern w:val="0"/>
                      <w:szCs w:val="21"/>
                      <w:highlight w:val="none"/>
                    </w:rPr>
                    <w:t>水力发电：引水式发电、涉及调峰发电的项目；</w:t>
                  </w:r>
                </w:p>
                <w:p w14:paraId="73B67311">
                  <w:pPr>
                    <w:keepNext w:val="0"/>
                    <w:keepLines w:val="0"/>
                    <w:pageBreakBefore w:val="0"/>
                    <w:widowControl w:val="0"/>
                    <w:kinsoku/>
                    <w:wordWrap/>
                    <w:overflowPunct/>
                    <w:topLinePunct w:val="0"/>
                    <w:autoSpaceDE w:val="0"/>
                    <w:autoSpaceDN w:val="0"/>
                    <w:bidi w:val="0"/>
                    <w:adjustRightInd w:val="0"/>
                    <w:snapToGrid w:val="0"/>
                    <w:textAlignment w:val="auto"/>
                    <w:rPr>
                      <w:rFonts w:eastAsia="仿宋"/>
                      <w:color w:val="auto"/>
                      <w:kern w:val="0"/>
                      <w:szCs w:val="21"/>
                      <w:highlight w:val="none"/>
                    </w:rPr>
                  </w:pPr>
                  <w:r>
                    <w:rPr>
                      <w:rFonts w:eastAsia="仿宋"/>
                      <w:color w:val="auto"/>
                      <w:kern w:val="0"/>
                      <w:szCs w:val="21"/>
                      <w:highlight w:val="none"/>
                    </w:rPr>
                    <w:t>人工湖、人工湿地：全部；</w:t>
                  </w:r>
                </w:p>
                <w:p w14:paraId="05803DA0">
                  <w:pPr>
                    <w:keepNext w:val="0"/>
                    <w:keepLines w:val="0"/>
                    <w:pageBreakBefore w:val="0"/>
                    <w:widowControl w:val="0"/>
                    <w:kinsoku/>
                    <w:wordWrap/>
                    <w:overflowPunct/>
                    <w:topLinePunct w:val="0"/>
                    <w:autoSpaceDE w:val="0"/>
                    <w:autoSpaceDN w:val="0"/>
                    <w:bidi w:val="0"/>
                    <w:adjustRightInd w:val="0"/>
                    <w:snapToGrid w:val="0"/>
                    <w:textAlignment w:val="auto"/>
                    <w:rPr>
                      <w:rFonts w:eastAsia="仿宋"/>
                      <w:color w:val="auto"/>
                      <w:kern w:val="0"/>
                      <w:szCs w:val="21"/>
                      <w:highlight w:val="none"/>
                    </w:rPr>
                  </w:pPr>
                  <w:r>
                    <w:rPr>
                      <w:rFonts w:eastAsia="仿宋"/>
                      <w:color w:val="auto"/>
                      <w:kern w:val="0"/>
                      <w:szCs w:val="21"/>
                      <w:highlight w:val="none"/>
                    </w:rPr>
                    <w:t>水库：全部；</w:t>
                  </w:r>
                </w:p>
                <w:p w14:paraId="47692DDD">
                  <w:pPr>
                    <w:keepNext w:val="0"/>
                    <w:keepLines w:val="0"/>
                    <w:pageBreakBefore w:val="0"/>
                    <w:widowControl w:val="0"/>
                    <w:kinsoku/>
                    <w:wordWrap/>
                    <w:overflowPunct/>
                    <w:topLinePunct w:val="0"/>
                    <w:autoSpaceDE w:val="0"/>
                    <w:autoSpaceDN w:val="0"/>
                    <w:bidi w:val="0"/>
                    <w:adjustRightInd w:val="0"/>
                    <w:snapToGrid w:val="0"/>
                    <w:textAlignment w:val="auto"/>
                    <w:rPr>
                      <w:rFonts w:eastAsia="仿宋"/>
                      <w:color w:val="auto"/>
                      <w:kern w:val="0"/>
                      <w:szCs w:val="21"/>
                      <w:highlight w:val="none"/>
                    </w:rPr>
                  </w:pPr>
                  <w:r>
                    <w:rPr>
                      <w:rFonts w:eastAsia="仿宋"/>
                      <w:color w:val="auto"/>
                      <w:kern w:val="0"/>
                      <w:szCs w:val="21"/>
                      <w:highlight w:val="none"/>
                    </w:rPr>
                    <w:t>引水工程：全部（配套的管线工程等除外）；</w:t>
                  </w:r>
                </w:p>
                <w:p w14:paraId="72EEFF0B">
                  <w:pPr>
                    <w:keepNext w:val="0"/>
                    <w:keepLines w:val="0"/>
                    <w:pageBreakBefore w:val="0"/>
                    <w:widowControl w:val="0"/>
                    <w:kinsoku/>
                    <w:wordWrap/>
                    <w:overflowPunct/>
                    <w:topLinePunct w:val="0"/>
                    <w:autoSpaceDE w:val="0"/>
                    <w:autoSpaceDN w:val="0"/>
                    <w:bidi w:val="0"/>
                    <w:adjustRightInd w:val="0"/>
                    <w:snapToGrid w:val="0"/>
                    <w:textAlignment w:val="auto"/>
                    <w:rPr>
                      <w:rFonts w:eastAsia="仿宋"/>
                      <w:color w:val="auto"/>
                      <w:kern w:val="0"/>
                      <w:szCs w:val="21"/>
                      <w:highlight w:val="none"/>
                    </w:rPr>
                  </w:pPr>
                  <w:r>
                    <w:rPr>
                      <w:rFonts w:eastAsia="仿宋"/>
                      <w:color w:val="auto"/>
                      <w:kern w:val="0"/>
                      <w:szCs w:val="21"/>
                      <w:highlight w:val="none"/>
                    </w:rPr>
                    <w:t>防洪除涝工程：包含水库的项目；</w:t>
                  </w:r>
                </w:p>
                <w:p w14:paraId="1B4FA7B5">
                  <w:pPr>
                    <w:keepNext w:val="0"/>
                    <w:keepLines w:val="0"/>
                    <w:pageBreakBefore w:val="0"/>
                    <w:widowControl w:val="0"/>
                    <w:kinsoku/>
                    <w:wordWrap/>
                    <w:overflowPunct/>
                    <w:topLinePunct w:val="0"/>
                    <w:autoSpaceDE w:val="0"/>
                    <w:autoSpaceDN w:val="0"/>
                    <w:bidi w:val="0"/>
                    <w:adjustRightInd w:val="0"/>
                    <w:snapToGrid w:val="0"/>
                    <w:textAlignment w:val="auto"/>
                    <w:rPr>
                      <w:rFonts w:hint="default" w:ascii="Times New Roman" w:hAnsi="Times New Roman" w:eastAsia="仿宋" w:cs="Times New Roman"/>
                      <w:i w:val="0"/>
                      <w:iCs w:val="0"/>
                      <w:color w:val="auto"/>
                      <w:sz w:val="21"/>
                      <w:szCs w:val="21"/>
                      <w:highlight w:val="none"/>
                      <w:u w:val="none"/>
                      <w:shd w:val="clear" w:color="auto" w:fill="auto"/>
                    </w:rPr>
                  </w:pPr>
                  <w:r>
                    <w:rPr>
                      <w:rFonts w:eastAsia="仿宋"/>
                      <w:color w:val="auto"/>
                      <w:kern w:val="0"/>
                      <w:szCs w:val="21"/>
                      <w:highlight w:val="none"/>
                    </w:rPr>
                    <w:t>河湖整治：涉及清淤且底泥存在重金属污染的项目</w:t>
                  </w:r>
                </w:p>
              </w:tc>
              <w:tc>
                <w:tcPr>
                  <w:tcW w:w="1397" w:type="pct"/>
                  <w:tcBorders>
                    <w:tl2br w:val="nil"/>
                    <w:tr2bl w:val="nil"/>
                  </w:tcBorders>
                  <w:vAlign w:val="center"/>
                </w:tcPr>
                <w:p w14:paraId="26AC67C9">
                  <w:pPr>
                    <w:keepNext w:val="0"/>
                    <w:keepLines w:val="0"/>
                    <w:pageBreakBefore w:val="0"/>
                    <w:widowControl w:val="0"/>
                    <w:kinsoku/>
                    <w:wordWrap/>
                    <w:overflowPunct/>
                    <w:topLinePunct w:val="0"/>
                    <w:bidi w:val="0"/>
                    <w:adjustRightInd w:val="0"/>
                    <w:snapToGrid w:val="0"/>
                    <w:jc w:val="center"/>
                    <w:textAlignment w:val="auto"/>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eastAsia="仿宋"/>
                      <w:color w:val="auto"/>
                      <w:szCs w:val="21"/>
                      <w:highlight w:val="none"/>
                    </w:rPr>
                    <w:t>不涉及</w:t>
                  </w:r>
                </w:p>
              </w:tc>
              <w:tc>
                <w:tcPr>
                  <w:tcW w:w="473" w:type="pct"/>
                  <w:tcBorders>
                    <w:tl2br w:val="nil"/>
                    <w:tr2bl w:val="nil"/>
                  </w:tcBorders>
                  <w:vAlign w:val="center"/>
                </w:tcPr>
                <w:p w14:paraId="002E9A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否</w:t>
                  </w:r>
                </w:p>
              </w:tc>
            </w:tr>
            <w:tr w14:paraId="78450B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5" w:type="pct"/>
                  <w:tcBorders>
                    <w:tl2br w:val="nil"/>
                    <w:tr2bl w:val="nil"/>
                  </w:tcBorders>
                  <w:vAlign w:val="center"/>
                </w:tcPr>
                <w:p w14:paraId="1544BC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highlight w:val="none"/>
                      <w:u w:val="none"/>
                      <w:shd w:val="clear" w:color="auto" w:fill="auto"/>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地下水</w:t>
                  </w:r>
                </w:p>
              </w:tc>
              <w:tc>
                <w:tcPr>
                  <w:tcW w:w="2522" w:type="pct"/>
                  <w:tcBorders>
                    <w:tl2br w:val="nil"/>
                    <w:tr2bl w:val="nil"/>
                  </w:tcBorders>
                  <w:vAlign w:val="center"/>
                </w:tcPr>
                <w:p w14:paraId="0157EADA">
                  <w:pPr>
                    <w:keepNext w:val="0"/>
                    <w:keepLines w:val="0"/>
                    <w:pageBreakBefore w:val="0"/>
                    <w:widowControl w:val="0"/>
                    <w:kinsoku/>
                    <w:wordWrap/>
                    <w:overflowPunct/>
                    <w:topLinePunct w:val="0"/>
                    <w:autoSpaceDE w:val="0"/>
                    <w:autoSpaceDN w:val="0"/>
                    <w:bidi w:val="0"/>
                    <w:adjustRightInd w:val="0"/>
                    <w:snapToGrid w:val="0"/>
                    <w:textAlignment w:val="auto"/>
                    <w:rPr>
                      <w:rFonts w:eastAsia="仿宋"/>
                      <w:color w:val="auto"/>
                      <w:kern w:val="0"/>
                      <w:szCs w:val="21"/>
                      <w:highlight w:val="none"/>
                    </w:rPr>
                  </w:pPr>
                  <w:r>
                    <w:rPr>
                      <w:rFonts w:eastAsia="仿宋"/>
                      <w:color w:val="auto"/>
                      <w:kern w:val="0"/>
                      <w:szCs w:val="21"/>
                      <w:highlight w:val="none"/>
                    </w:rPr>
                    <w:t>陆地石油和天然气开采：全部；</w:t>
                  </w:r>
                </w:p>
                <w:p w14:paraId="1C71316A">
                  <w:pPr>
                    <w:keepNext w:val="0"/>
                    <w:keepLines w:val="0"/>
                    <w:pageBreakBefore w:val="0"/>
                    <w:widowControl w:val="0"/>
                    <w:kinsoku/>
                    <w:wordWrap/>
                    <w:overflowPunct/>
                    <w:topLinePunct w:val="0"/>
                    <w:autoSpaceDE w:val="0"/>
                    <w:autoSpaceDN w:val="0"/>
                    <w:bidi w:val="0"/>
                    <w:adjustRightInd w:val="0"/>
                    <w:snapToGrid w:val="0"/>
                    <w:textAlignment w:val="auto"/>
                    <w:rPr>
                      <w:rFonts w:eastAsia="仿宋"/>
                      <w:color w:val="auto"/>
                      <w:kern w:val="0"/>
                      <w:szCs w:val="21"/>
                      <w:highlight w:val="none"/>
                    </w:rPr>
                  </w:pPr>
                  <w:r>
                    <w:rPr>
                      <w:rFonts w:eastAsia="仿宋"/>
                      <w:color w:val="auto"/>
                      <w:kern w:val="0"/>
                      <w:szCs w:val="21"/>
                      <w:highlight w:val="none"/>
                    </w:rPr>
                    <w:t>地下水（含矿泉水）开采：全部；</w:t>
                  </w:r>
                </w:p>
                <w:p w14:paraId="0C4E109B">
                  <w:pPr>
                    <w:keepNext w:val="0"/>
                    <w:keepLines w:val="0"/>
                    <w:pageBreakBefore w:val="0"/>
                    <w:widowControl w:val="0"/>
                    <w:kinsoku/>
                    <w:wordWrap/>
                    <w:overflowPunct/>
                    <w:topLinePunct w:val="0"/>
                    <w:bidi w:val="0"/>
                    <w:adjustRightInd w:val="0"/>
                    <w:snapToGrid w:val="0"/>
                    <w:textAlignment w:val="auto"/>
                    <w:rPr>
                      <w:rFonts w:hint="default" w:ascii="Times New Roman" w:hAnsi="Times New Roman" w:eastAsia="仿宋" w:cs="Times New Roman"/>
                      <w:i w:val="0"/>
                      <w:iCs w:val="0"/>
                      <w:color w:val="auto"/>
                      <w:sz w:val="21"/>
                      <w:szCs w:val="21"/>
                      <w:highlight w:val="none"/>
                      <w:u w:val="none"/>
                      <w:shd w:val="clear" w:color="auto" w:fill="auto"/>
                      <w:lang w:val="en-US"/>
                    </w:rPr>
                  </w:pPr>
                  <w:r>
                    <w:rPr>
                      <w:rFonts w:eastAsia="仿宋"/>
                      <w:color w:val="auto"/>
                      <w:kern w:val="0"/>
                      <w:szCs w:val="21"/>
                      <w:highlight w:val="none"/>
                    </w:rPr>
                    <w:t>水利、水电、交通等：含穿越可溶岩地层隧道的项目</w:t>
                  </w:r>
                </w:p>
              </w:tc>
              <w:tc>
                <w:tcPr>
                  <w:tcW w:w="1397" w:type="pct"/>
                  <w:tcBorders>
                    <w:tl2br w:val="nil"/>
                    <w:tr2bl w:val="nil"/>
                  </w:tcBorders>
                  <w:vAlign w:val="center"/>
                </w:tcPr>
                <w:p w14:paraId="0B3787B7">
                  <w:pPr>
                    <w:keepNext w:val="0"/>
                    <w:keepLines w:val="0"/>
                    <w:pageBreakBefore w:val="0"/>
                    <w:widowControl w:val="0"/>
                    <w:kinsoku/>
                    <w:wordWrap/>
                    <w:overflowPunct/>
                    <w:topLinePunct w:val="0"/>
                    <w:bidi w:val="0"/>
                    <w:adjustRightInd w:val="0"/>
                    <w:snapToGrid w:val="0"/>
                    <w:jc w:val="center"/>
                    <w:textAlignment w:val="auto"/>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eastAsia="仿宋"/>
                      <w:color w:val="auto"/>
                      <w:szCs w:val="21"/>
                      <w:highlight w:val="none"/>
                    </w:rPr>
                    <w:t>不涉及</w:t>
                  </w:r>
                </w:p>
              </w:tc>
              <w:tc>
                <w:tcPr>
                  <w:tcW w:w="473" w:type="pct"/>
                  <w:tcBorders>
                    <w:tl2br w:val="nil"/>
                    <w:tr2bl w:val="nil"/>
                  </w:tcBorders>
                  <w:vAlign w:val="center"/>
                </w:tcPr>
                <w:p w14:paraId="4AEE75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否</w:t>
                  </w:r>
                </w:p>
              </w:tc>
            </w:tr>
            <w:tr w14:paraId="731D23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5" w:type="pct"/>
                  <w:tcBorders>
                    <w:tl2br w:val="nil"/>
                    <w:tr2bl w:val="nil"/>
                  </w:tcBorders>
                  <w:vAlign w:val="center"/>
                </w:tcPr>
                <w:p w14:paraId="1692614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highlight w:val="none"/>
                      <w:u w:val="none"/>
                      <w:shd w:val="clear" w:color="auto" w:fill="auto"/>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生态</w:t>
                  </w:r>
                </w:p>
              </w:tc>
              <w:tc>
                <w:tcPr>
                  <w:tcW w:w="2522" w:type="pct"/>
                  <w:tcBorders>
                    <w:tl2br w:val="nil"/>
                    <w:tr2bl w:val="nil"/>
                  </w:tcBorders>
                  <w:vAlign w:val="center"/>
                </w:tcPr>
                <w:p w14:paraId="64965AA9">
                  <w:pPr>
                    <w:keepNext w:val="0"/>
                    <w:keepLines w:val="0"/>
                    <w:pageBreakBefore w:val="0"/>
                    <w:widowControl w:val="0"/>
                    <w:kinsoku/>
                    <w:wordWrap/>
                    <w:overflowPunct/>
                    <w:topLinePunct w:val="0"/>
                    <w:autoSpaceDE w:val="0"/>
                    <w:autoSpaceDN w:val="0"/>
                    <w:bidi w:val="0"/>
                    <w:adjustRightInd w:val="0"/>
                    <w:snapToGrid w:val="0"/>
                    <w:textAlignment w:val="auto"/>
                    <w:rPr>
                      <w:rFonts w:hint="default" w:ascii="Times New Roman" w:hAnsi="Times New Roman" w:eastAsia="仿宋" w:cs="Times New Roman"/>
                      <w:i w:val="0"/>
                      <w:iCs w:val="0"/>
                      <w:color w:val="auto"/>
                      <w:sz w:val="21"/>
                      <w:szCs w:val="21"/>
                      <w:highlight w:val="none"/>
                      <w:u w:val="none"/>
                      <w:shd w:val="clear" w:color="auto" w:fill="auto"/>
                    </w:rPr>
                  </w:pPr>
                  <w:r>
                    <w:rPr>
                      <w:rFonts w:eastAsia="仿宋"/>
                      <w:color w:val="auto"/>
                      <w:kern w:val="0"/>
                      <w:szCs w:val="21"/>
                      <w:highlight w:val="none"/>
                    </w:rPr>
                    <w:t>涉及环境敏感区（不包括饮用水水源保护区，以居住、医疗卫生、文化教育、科研、行政办公为主要功能的区域，以及文物保护单位）的项目</w:t>
                  </w:r>
                </w:p>
              </w:tc>
              <w:tc>
                <w:tcPr>
                  <w:tcW w:w="1397" w:type="pct"/>
                  <w:tcBorders>
                    <w:tl2br w:val="nil"/>
                    <w:tr2bl w:val="nil"/>
                  </w:tcBorders>
                  <w:vAlign w:val="center"/>
                </w:tcPr>
                <w:p w14:paraId="08F6485E">
                  <w:pPr>
                    <w:keepNext w:val="0"/>
                    <w:keepLines w:val="0"/>
                    <w:pageBreakBefore w:val="0"/>
                    <w:widowControl w:val="0"/>
                    <w:kinsoku/>
                    <w:wordWrap/>
                    <w:overflowPunct/>
                    <w:topLinePunct w:val="0"/>
                    <w:bidi w:val="0"/>
                    <w:adjustRightInd w:val="0"/>
                    <w:snapToGrid w:val="0"/>
                    <w:jc w:val="center"/>
                    <w:textAlignment w:val="auto"/>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eastAsia="仿宋"/>
                      <w:color w:val="auto"/>
                      <w:szCs w:val="21"/>
                      <w:highlight w:val="none"/>
                    </w:rPr>
                    <w:t>不涉及</w:t>
                  </w:r>
                </w:p>
              </w:tc>
              <w:tc>
                <w:tcPr>
                  <w:tcW w:w="473" w:type="pct"/>
                  <w:tcBorders>
                    <w:tl2br w:val="nil"/>
                    <w:tr2bl w:val="nil"/>
                  </w:tcBorders>
                  <w:vAlign w:val="center"/>
                </w:tcPr>
                <w:p w14:paraId="41866D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否</w:t>
                  </w:r>
                </w:p>
              </w:tc>
            </w:tr>
            <w:tr w14:paraId="20DE982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5" w:type="pct"/>
                  <w:tcBorders>
                    <w:tl2br w:val="nil"/>
                    <w:tr2bl w:val="nil"/>
                  </w:tcBorders>
                  <w:vAlign w:val="center"/>
                </w:tcPr>
                <w:p w14:paraId="2F9E15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highlight w:val="none"/>
                      <w:u w:val="none"/>
                      <w:shd w:val="clear" w:color="auto" w:fill="auto"/>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大气</w:t>
                  </w:r>
                </w:p>
              </w:tc>
              <w:tc>
                <w:tcPr>
                  <w:tcW w:w="2522" w:type="pct"/>
                  <w:tcBorders>
                    <w:tl2br w:val="nil"/>
                    <w:tr2bl w:val="nil"/>
                  </w:tcBorders>
                  <w:vAlign w:val="center"/>
                </w:tcPr>
                <w:p w14:paraId="6BC8141A">
                  <w:pPr>
                    <w:keepNext w:val="0"/>
                    <w:keepLines w:val="0"/>
                    <w:pageBreakBefore w:val="0"/>
                    <w:widowControl w:val="0"/>
                    <w:kinsoku/>
                    <w:wordWrap/>
                    <w:overflowPunct/>
                    <w:topLinePunct w:val="0"/>
                    <w:autoSpaceDE w:val="0"/>
                    <w:autoSpaceDN w:val="0"/>
                    <w:bidi w:val="0"/>
                    <w:adjustRightInd w:val="0"/>
                    <w:snapToGrid w:val="0"/>
                    <w:textAlignment w:val="auto"/>
                    <w:rPr>
                      <w:rFonts w:eastAsia="仿宋"/>
                      <w:color w:val="auto"/>
                      <w:kern w:val="0"/>
                      <w:szCs w:val="21"/>
                      <w:highlight w:val="none"/>
                    </w:rPr>
                  </w:pPr>
                  <w:r>
                    <w:rPr>
                      <w:rFonts w:eastAsia="仿宋"/>
                      <w:color w:val="auto"/>
                      <w:kern w:val="0"/>
                      <w:szCs w:val="21"/>
                      <w:highlight w:val="none"/>
                    </w:rPr>
                    <w:t>油气、液体化工码头：全部；</w:t>
                  </w:r>
                </w:p>
                <w:p w14:paraId="5523E979">
                  <w:pPr>
                    <w:keepNext w:val="0"/>
                    <w:keepLines w:val="0"/>
                    <w:pageBreakBefore w:val="0"/>
                    <w:widowControl w:val="0"/>
                    <w:kinsoku/>
                    <w:wordWrap/>
                    <w:overflowPunct/>
                    <w:topLinePunct w:val="0"/>
                    <w:autoSpaceDE w:val="0"/>
                    <w:autoSpaceDN w:val="0"/>
                    <w:bidi w:val="0"/>
                    <w:adjustRightInd w:val="0"/>
                    <w:snapToGrid w:val="0"/>
                    <w:textAlignment w:val="auto"/>
                    <w:rPr>
                      <w:rFonts w:hint="default" w:ascii="Times New Roman" w:hAnsi="Times New Roman" w:eastAsia="仿宋" w:cs="Times New Roman"/>
                      <w:i w:val="0"/>
                      <w:iCs w:val="0"/>
                      <w:color w:val="auto"/>
                      <w:sz w:val="21"/>
                      <w:szCs w:val="21"/>
                      <w:highlight w:val="none"/>
                      <w:u w:val="none"/>
                      <w:shd w:val="clear" w:color="auto" w:fill="auto"/>
                    </w:rPr>
                  </w:pPr>
                  <w:r>
                    <w:rPr>
                      <w:rFonts w:eastAsia="仿宋"/>
                      <w:color w:val="auto"/>
                      <w:kern w:val="0"/>
                      <w:szCs w:val="21"/>
                      <w:highlight w:val="none"/>
                    </w:rPr>
                    <w:t>干散货（含煤炭、矿石）、件杂、多用途、通用码头：涉及粉尘、挥发性有机物排放的项目</w:t>
                  </w:r>
                </w:p>
              </w:tc>
              <w:tc>
                <w:tcPr>
                  <w:tcW w:w="1397" w:type="pct"/>
                  <w:tcBorders>
                    <w:tl2br w:val="nil"/>
                    <w:tr2bl w:val="nil"/>
                  </w:tcBorders>
                  <w:vAlign w:val="center"/>
                </w:tcPr>
                <w:p w14:paraId="61E13E92">
                  <w:pPr>
                    <w:keepNext w:val="0"/>
                    <w:keepLines w:val="0"/>
                    <w:pageBreakBefore w:val="0"/>
                    <w:widowControl w:val="0"/>
                    <w:kinsoku/>
                    <w:wordWrap/>
                    <w:overflowPunct/>
                    <w:topLinePunct w:val="0"/>
                    <w:bidi w:val="0"/>
                    <w:adjustRightInd w:val="0"/>
                    <w:snapToGrid w:val="0"/>
                    <w:jc w:val="center"/>
                    <w:textAlignment w:val="auto"/>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eastAsia="仿宋"/>
                      <w:color w:val="auto"/>
                      <w:szCs w:val="21"/>
                      <w:highlight w:val="none"/>
                    </w:rPr>
                    <w:t>不涉及</w:t>
                  </w:r>
                </w:p>
              </w:tc>
              <w:tc>
                <w:tcPr>
                  <w:tcW w:w="473" w:type="pct"/>
                  <w:tcBorders>
                    <w:tl2br w:val="nil"/>
                    <w:tr2bl w:val="nil"/>
                  </w:tcBorders>
                  <w:vAlign w:val="center"/>
                </w:tcPr>
                <w:p w14:paraId="208691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否</w:t>
                  </w:r>
                </w:p>
              </w:tc>
            </w:tr>
            <w:tr w14:paraId="0D51CB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5" w:type="pct"/>
                  <w:tcBorders>
                    <w:tl2br w:val="nil"/>
                    <w:tr2bl w:val="nil"/>
                  </w:tcBorders>
                  <w:vAlign w:val="center"/>
                </w:tcPr>
                <w:p w14:paraId="380BC86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highlight w:val="none"/>
                      <w:u w:val="none"/>
                      <w:shd w:val="clear" w:color="auto" w:fill="auto"/>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噪声</w:t>
                  </w:r>
                </w:p>
              </w:tc>
              <w:tc>
                <w:tcPr>
                  <w:tcW w:w="2522" w:type="pct"/>
                  <w:tcBorders>
                    <w:tl2br w:val="nil"/>
                    <w:tr2bl w:val="nil"/>
                  </w:tcBorders>
                  <w:vAlign w:val="center"/>
                </w:tcPr>
                <w:p w14:paraId="44D7ECFA">
                  <w:pPr>
                    <w:keepNext w:val="0"/>
                    <w:keepLines w:val="0"/>
                    <w:pageBreakBefore w:val="0"/>
                    <w:widowControl w:val="0"/>
                    <w:kinsoku/>
                    <w:wordWrap/>
                    <w:overflowPunct/>
                    <w:topLinePunct w:val="0"/>
                    <w:autoSpaceDE w:val="0"/>
                    <w:autoSpaceDN w:val="0"/>
                    <w:bidi w:val="0"/>
                    <w:adjustRightInd w:val="0"/>
                    <w:snapToGrid w:val="0"/>
                    <w:textAlignment w:val="auto"/>
                    <w:rPr>
                      <w:rFonts w:eastAsia="仿宋"/>
                      <w:color w:val="auto"/>
                      <w:kern w:val="0"/>
                      <w:szCs w:val="21"/>
                      <w:highlight w:val="none"/>
                    </w:rPr>
                  </w:pPr>
                  <w:r>
                    <w:rPr>
                      <w:rFonts w:eastAsia="仿宋"/>
                      <w:color w:val="auto"/>
                      <w:kern w:val="0"/>
                      <w:szCs w:val="21"/>
                      <w:highlight w:val="none"/>
                    </w:rPr>
                    <w:t>公路、铁路、机场等交通运输业涉及环境敏感区（以居住、医疗卫生、文化</w:t>
                  </w:r>
                  <w:r>
                    <w:rPr>
                      <w:rFonts w:hint="eastAsia" w:eastAsia="仿宋"/>
                      <w:color w:val="auto"/>
                      <w:kern w:val="0"/>
                      <w:szCs w:val="21"/>
                      <w:highlight w:val="none"/>
                      <w:lang w:eastAsia="zh-CN"/>
                    </w:rPr>
                    <w:t>、教</w:t>
                  </w:r>
                  <w:r>
                    <w:rPr>
                      <w:rFonts w:eastAsia="仿宋"/>
                      <w:color w:val="auto"/>
                      <w:kern w:val="0"/>
                      <w:szCs w:val="21"/>
                      <w:highlight w:val="none"/>
                    </w:rPr>
                    <w:t>育、科研、行政办公为主要功能的区域）的项目；</w:t>
                  </w:r>
                </w:p>
                <w:p w14:paraId="074E699E">
                  <w:pPr>
                    <w:keepNext w:val="0"/>
                    <w:keepLines w:val="0"/>
                    <w:pageBreakBefore w:val="0"/>
                    <w:widowControl w:val="0"/>
                    <w:kinsoku/>
                    <w:wordWrap/>
                    <w:overflowPunct/>
                    <w:topLinePunct w:val="0"/>
                    <w:autoSpaceDE w:val="0"/>
                    <w:autoSpaceDN w:val="0"/>
                    <w:bidi w:val="0"/>
                    <w:adjustRightInd w:val="0"/>
                    <w:snapToGrid w:val="0"/>
                    <w:textAlignment w:val="auto"/>
                    <w:rPr>
                      <w:rFonts w:hint="default" w:ascii="Times New Roman" w:hAnsi="Times New Roman" w:eastAsia="仿宋" w:cs="Times New Roman"/>
                      <w:i w:val="0"/>
                      <w:iCs w:val="0"/>
                      <w:color w:val="auto"/>
                      <w:sz w:val="21"/>
                      <w:szCs w:val="21"/>
                      <w:highlight w:val="none"/>
                      <w:u w:val="none"/>
                      <w:shd w:val="clear" w:color="auto" w:fill="auto"/>
                    </w:rPr>
                  </w:pPr>
                  <w:r>
                    <w:rPr>
                      <w:rFonts w:eastAsia="仿宋"/>
                      <w:color w:val="auto"/>
                      <w:kern w:val="0"/>
                      <w:szCs w:val="21"/>
                      <w:highlight w:val="none"/>
                    </w:rPr>
                    <w:t>城市道路（不含维护，不含支路、人行天桥、人行地道）：全部</w:t>
                  </w:r>
                </w:p>
              </w:tc>
              <w:tc>
                <w:tcPr>
                  <w:tcW w:w="1397" w:type="pct"/>
                  <w:tcBorders>
                    <w:tl2br w:val="nil"/>
                    <w:tr2bl w:val="nil"/>
                  </w:tcBorders>
                  <w:vAlign w:val="center"/>
                </w:tcPr>
                <w:p w14:paraId="343B657E">
                  <w:pPr>
                    <w:keepNext w:val="0"/>
                    <w:keepLines w:val="0"/>
                    <w:pageBreakBefore w:val="0"/>
                    <w:widowControl w:val="0"/>
                    <w:kinsoku/>
                    <w:wordWrap/>
                    <w:overflowPunct/>
                    <w:topLinePunct w:val="0"/>
                    <w:bidi w:val="0"/>
                    <w:adjustRightInd w:val="0"/>
                    <w:snapToGrid w:val="0"/>
                    <w:jc w:val="center"/>
                    <w:textAlignment w:val="auto"/>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eastAsia="仿宋"/>
                      <w:color w:val="auto"/>
                      <w:szCs w:val="21"/>
                      <w:highlight w:val="none"/>
                    </w:rPr>
                    <w:t>不涉及</w:t>
                  </w:r>
                </w:p>
              </w:tc>
              <w:tc>
                <w:tcPr>
                  <w:tcW w:w="473" w:type="pct"/>
                  <w:tcBorders>
                    <w:tl2br w:val="nil"/>
                    <w:tr2bl w:val="nil"/>
                  </w:tcBorders>
                  <w:vAlign w:val="center"/>
                </w:tcPr>
                <w:p w14:paraId="224F1C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否</w:t>
                  </w:r>
                </w:p>
              </w:tc>
            </w:tr>
            <w:tr w14:paraId="7D8DE3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5" w:type="pct"/>
                  <w:tcBorders>
                    <w:tl2br w:val="nil"/>
                    <w:tr2bl w:val="nil"/>
                  </w:tcBorders>
                  <w:vAlign w:val="center"/>
                </w:tcPr>
                <w:p w14:paraId="35255C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环境</w:t>
                  </w:r>
                </w:p>
                <w:p w14:paraId="4C0D23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highlight w:val="none"/>
                      <w:u w:val="none"/>
                      <w:shd w:val="clear" w:color="auto" w:fill="auto"/>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风险</w:t>
                  </w:r>
                </w:p>
              </w:tc>
              <w:tc>
                <w:tcPr>
                  <w:tcW w:w="2522" w:type="pct"/>
                  <w:tcBorders>
                    <w:tl2br w:val="nil"/>
                    <w:tr2bl w:val="nil"/>
                  </w:tcBorders>
                  <w:vAlign w:val="center"/>
                </w:tcPr>
                <w:p w14:paraId="2010AC70">
                  <w:pPr>
                    <w:keepNext w:val="0"/>
                    <w:keepLines w:val="0"/>
                    <w:pageBreakBefore w:val="0"/>
                    <w:widowControl w:val="0"/>
                    <w:kinsoku/>
                    <w:wordWrap/>
                    <w:overflowPunct/>
                    <w:topLinePunct w:val="0"/>
                    <w:autoSpaceDE w:val="0"/>
                    <w:autoSpaceDN w:val="0"/>
                    <w:bidi w:val="0"/>
                    <w:adjustRightInd w:val="0"/>
                    <w:snapToGrid w:val="0"/>
                    <w:textAlignment w:val="auto"/>
                    <w:rPr>
                      <w:rFonts w:eastAsia="仿宋"/>
                      <w:color w:val="auto"/>
                      <w:kern w:val="0"/>
                      <w:szCs w:val="21"/>
                      <w:highlight w:val="none"/>
                    </w:rPr>
                  </w:pPr>
                  <w:r>
                    <w:rPr>
                      <w:rFonts w:eastAsia="仿宋"/>
                      <w:color w:val="auto"/>
                      <w:kern w:val="0"/>
                      <w:szCs w:val="21"/>
                      <w:highlight w:val="none"/>
                    </w:rPr>
                    <w:t>石油和天然气开采：全部；</w:t>
                  </w:r>
                </w:p>
                <w:p w14:paraId="072A435B">
                  <w:pPr>
                    <w:keepNext w:val="0"/>
                    <w:keepLines w:val="0"/>
                    <w:pageBreakBefore w:val="0"/>
                    <w:widowControl w:val="0"/>
                    <w:kinsoku/>
                    <w:wordWrap/>
                    <w:overflowPunct/>
                    <w:topLinePunct w:val="0"/>
                    <w:autoSpaceDE w:val="0"/>
                    <w:autoSpaceDN w:val="0"/>
                    <w:bidi w:val="0"/>
                    <w:adjustRightInd w:val="0"/>
                    <w:snapToGrid w:val="0"/>
                    <w:textAlignment w:val="auto"/>
                    <w:rPr>
                      <w:rFonts w:eastAsia="仿宋"/>
                      <w:color w:val="auto"/>
                      <w:kern w:val="0"/>
                      <w:szCs w:val="21"/>
                      <w:highlight w:val="none"/>
                    </w:rPr>
                  </w:pPr>
                  <w:r>
                    <w:rPr>
                      <w:rFonts w:eastAsia="仿宋"/>
                      <w:color w:val="auto"/>
                      <w:kern w:val="0"/>
                      <w:szCs w:val="21"/>
                      <w:highlight w:val="none"/>
                    </w:rPr>
                    <w:t>油气、液体化工码头：全部；</w:t>
                  </w:r>
                </w:p>
                <w:p w14:paraId="0C09F3EB">
                  <w:pPr>
                    <w:keepNext w:val="0"/>
                    <w:keepLines w:val="0"/>
                    <w:pageBreakBefore w:val="0"/>
                    <w:widowControl w:val="0"/>
                    <w:kinsoku/>
                    <w:wordWrap/>
                    <w:overflowPunct/>
                    <w:topLinePunct w:val="0"/>
                    <w:autoSpaceDE w:val="0"/>
                    <w:autoSpaceDN w:val="0"/>
                    <w:bidi w:val="0"/>
                    <w:adjustRightInd w:val="0"/>
                    <w:snapToGrid w:val="0"/>
                    <w:textAlignment w:val="auto"/>
                    <w:rPr>
                      <w:rFonts w:hint="default" w:ascii="Times New Roman" w:hAnsi="Times New Roman" w:eastAsia="仿宋" w:cs="Times New Roman"/>
                      <w:i w:val="0"/>
                      <w:iCs w:val="0"/>
                      <w:color w:val="auto"/>
                      <w:sz w:val="21"/>
                      <w:szCs w:val="21"/>
                      <w:highlight w:val="none"/>
                      <w:u w:val="none"/>
                      <w:shd w:val="clear" w:color="auto" w:fill="auto"/>
                    </w:rPr>
                  </w:pPr>
                  <w:r>
                    <w:rPr>
                      <w:rFonts w:eastAsia="仿宋"/>
                      <w:color w:val="auto"/>
                      <w:kern w:val="0"/>
                      <w:szCs w:val="21"/>
                      <w:highlight w:val="none"/>
                    </w:rPr>
                    <w:t>原油、成品油、天然气管线（不含城镇天然气管线、企业厂区内管线），危险化学品输送管线（不含企业厂区内管线）：全部</w:t>
                  </w:r>
                </w:p>
              </w:tc>
              <w:tc>
                <w:tcPr>
                  <w:tcW w:w="1397" w:type="pct"/>
                  <w:tcBorders>
                    <w:tl2br w:val="nil"/>
                    <w:tr2bl w:val="nil"/>
                  </w:tcBorders>
                  <w:vAlign w:val="center"/>
                </w:tcPr>
                <w:p w14:paraId="70602413">
                  <w:pPr>
                    <w:keepNext w:val="0"/>
                    <w:keepLines w:val="0"/>
                    <w:pageBreakBefore w:val="0"/>
                    <w:widowControl w:val="0"/>
                    <w:kinsoku/>
                    <w:wordWrap/>
                    <w:overflowPunct/>
                    <w:topLinePunct w:val="0"/>
                    <w:bidi w:val="0"/>
                    <w:adjustRightInd w:val="0"/>
                    <w:snapToGrid w:val="0"/>
                    <w:jc w:val="center"/>
                    <w:textAlignment w:val="auto"/>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eastAsia="仿宋"/>
                      <w:color w:val="auto"/>
                      <w:szCs w:val="21"/>
                      <w:highlight w:val="none"/>
                    </w:rPr>
                    <w:t>不涉及</w:t>
                  </w:r>
                </w:p>
              </w:tc>
              <w:tc>
                <w:tcPr>
                  <w:tcW w:w="473" w:type="pct"/>
                  <w:tcBorders>
                    <w:tl2br w:val="nil"/>
                    <w:tr2bl w:val="nil"/>
                  </w:tcBorders>
                  <w:vAlign w:val="center"/>
                </w:tcPr>
                <w:p w14:paraId="2F9F1C3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t>否</w:t>
                  </w:r>
                </w:p>
              </w:tc>
            </w:tr>
            <w:tr w14:paraId="586B00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4"/>
                  <w:tcBorders>
                    <w:tl2br w:val="nil"/>
                    <w:tr2bl w:val="nil"/>
                  </w:tcBorders>
                  <w:vAlign w:val="center"/>
                </w:tcPr>
                <w:p w14:paraId="65497D2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仿宋" w:cs="Times New Roman"/>
                      <w:i w:val="0"/>
                      <w:iCs w:val="0"/>
                      <w:color w:val="auto"/>
                      <w:kern w:val="0"/>
                      <w:sz w:val="21"/>
                      <w:szCs w:val="21"/>
                      <w:highlight w:val="none"/>
                      <w:u w:val="none"/>
                      <w:shd w:val="clear" w:color="auto" w:fill="auto"/>
                      <w:lang w:val="en-US" w:eastAsia="zh-CN"/>
                    </w:rPr>
                  </w:pPr>
                  <w:r>
                    <w:rPr>
                      <w:rFonts w:eastAsia="仿宋"/>
                      <w:color w:val="auto"/>
                      <w:kern w:val="0"/>
                      <w:szCs w:val="21"/>
                      <w:highlight w:val="none"/>
                    </w:rPr>
                    <w:t>注：“涉及环境敏感区”是指建设项目位于、穿（跨）越（无害化通过的除外）环境敏感区，或环境影响范围涵盖环境敏感区。环境敏感区是指《建设项目环境影响评价分类管理名录》中针对该类项目所列的敏感区。</w:t>
                  </w:r>
                </w:p>
              </w:tc>
            </w:tr>
          </w:tbl>
          <w:p w14:paraId="355D6226">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0" w:firstLineChars="200"/>
              <w:textAlignment w:val="auto"/>
              <w:rPr>
                <w:rFonts w:hint="default" w:ascii="Times New Roman" w:hAnsi="Times New Roman" w:eastAsia="仿宋" w:cs="Times New Roman"/>
                <w:color w:val="auto"/>
                <w:sz w:val="21"/>
                <w:szCs w:val="21"/>
                <w:highlight w:val="none"/>
              </w:rPr>
            </w:pPr>
            <w:r>
              <w:rPr>
                <w:rFonts w:eastAsia="仿宋"/>
                <w:color w:val="auto"/>
                <w:sz w:val="24"/>
                <w:highlight w:val="none"/>
              </w:rPr>
              <w:t>综上所述，根据专项评价设置原则，本项目</w:t>
            </w:r>
            <w:r>
              <w:rPr>
                <w:rFonts w:hint="eastAsia" w:eastAsia="仿宋"/>
                <w:color w:val="auto"/>
                <w:sz w:val="24"/>
                <w:highlight w:val="none"/>
                <w:lang w:val="en-US" w:eastAsia="zh-CN"/>
              </w:rPr>
              <w:t>不设置</w:t>
            </w:r>
            <w:r>
              <w:rPr>
                <w:rFonts w:eastAsia="仿宋"/>
                <w:color w:val="auto"/>
                <w:sz w:val="24"/>
                <w:highlight w:val="none"/>
              </w:rPr>
              <w:t>专项评价。</w:t>
            </w:r>
          </w:p>
        </w:tc>
      </w:tr>
      <w:tr w14:paraId="39BA70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48" w:hRule="atLeast"/>
          <w:jc w:val="center"/>
        </w:trPr>
        <w:tc>
          <w:tcPr>
            <w:tcW w:w="609" w:type="pct"/>
            <w:tcMar>
              <w:top w:w="16" w:type="dxa"/>
              <w:left w:w="16" w:type="dxa"/>
              <w:right w:w="16" w:type="dxa"/>
            </w:tcMar>
            <w:vAlign w:val="center"/>
          </w:tcPr>
          <w:p w14:paraId="1ACBEE5E">
            <w:pPr>
              <w:autoSpaceDE w:val="0"/>
              <w:autoSpaceDN w:val="0"/>
              <w:adjustRightInd w:val="0"/>
              <w:snapToGrid w:val="0"/>
              <w:jc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sz w:val="24"/>
                <w:szCs w:val="24"/>
                <w:highlight w:val="none"/>
              </w:rPr>
              <w:t>规划情况</w:t>
            </w:r>
          </w:p>
        </w:tc>
        <w:tc>
          <w:tcPr>
            <w:tcW w:w="4390" w:type="pct"/>
            <w:gridSpan w:val="6"/>
            <w:tcMar>
              <w:top w:w="16" w:type="dxa"/>
              <w:left w:w="16" w:type="dxa"/>
              <w:right w:w="16" w:type="dxa"/>
            </w:tcMar>
            <w:vAlign w:val="center"/>
          </w:tcPr>
          <w:p w14:paraId="519F3E0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kern w:val="0"/>
                <w:sz w:val="24"/>
                <w:highlight w:val="none"/>
                <w:lang w:val="en-US" w:eastAsia="zh-CN"/>
              </w:rPr>
            </w:pPr>
            <w:r>
              <w:rPr>
                <w:rFonts w:hint="default" w:ascii="Times New Roman" w:hAnsi="Times New Roman" w:eastAsia="仿宋" w:cs="Times New Roman"/>
                <w:color w:val="FF0000"/>
                <w:kern w:val="0"/>
                <w:sz w:val="24"/>
                <w:highlight w:val="none"/>
                <w:lang w:val="en-US" w:eastAsia="zh-CN"/>
              </w:rPr>
              <w:t>⑴规划名称：</w:t>
            </w:r>
            <w:r>
              <w:rPr>
                <w:rFonts w:hint="eastAsia" w:eastAsia="仿宋" w:cs="Times New Roman"/>
                <w:color w:val="FF0000"/>
                <w:kern w:val="0"/>
                <w:sz w:val="24"/>
                <w:highlight w:val="none"/>
                <w:lang w:val="en-US" w:eastAsia="zh-CN"/>
              </w:rPr>
              <w:t>《张掖市国土空间总体规划（2021-2035年）》</w:t>
            </w:r>
          </w:p>
          <w:p w14:paraId="0272017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kern w:val="0"/>
                <w:sz w:val="24"/>
                <w:highlight w:val="none"/>
                <w:lang w:val="en-US" w:eastAsia="zh-CN"/>
              </w:rPr>
            </w:pPr>
            <w:r>
              <w:rPr>
                <w:rFonts w:hint="default" w:ascii="Times New Roman" w:hAnsi="Times New Roman" w:eastAsia="仿宋" w:cs="Times New Roman"/>
                <w:color w:val="FF0000"/>
                <w:kern w:val="0"/>
                <w:sz w:val="24"/>
                <w:highlight w:val="none"/>
                <w:lang w:val="en-US" w:eastAsia="zh-CN"/>
              </w:rPr>
              <w:t>规划文号：</w:t>
            </w:r>
            <w:r>
              <w:rPr>
                <w:rFonts w:hint="eastAsia" w:eastAsia="仿宋" w:cs="Times New Roman"/>
                <w:color w:val="FF0000"/>
                <w:kern w:val="0"/>
                <w:sz w:val="24"/>
                <w:highlight w:val="none"/>
                <w:lang w:val="en-US" w:eastAsia="zh-CN"/>
              </w:rPr>
              <w:t>张政发</w:t>
            </w:r>
            <w:r>
              <w:rPr>
                <w:rFonts w:hint="default" w:ascii="Times New Roman" w:hAnsi="Times New Roman" w:eastAsia="仿宋" w:cs="Times New Roman"/>
                <w:color w:val="FF0000"/>
                <w:kern w:val="0"/>
                <w:sz w:val="24"/>
                <w:highlight w:val="none"/>
                <w:lang w:val="en-US" w:eastAsia="zh-CN"/>
              </w:rPr>
              <w:t>〔20</w:t>
            </w:r>
            <w:r>
              <w:rPr>
                <w:rFonts w:hint="eastAsia" w:eastAsia="仿宋" w:cs="Times New Roman"/>
                <w:color w:val="FF0000"/>
                <w:kern w:val="0"/>
                <w:sz w:val="24"/>
                <w:highlight w:val="none"/>
                <w:lang w:val="en-US" w:eastAsia="zh-CN"/>
              </w:rPr>
              <w:t>24</w:t>
            </w:r>
            <w:r>
              <w:rPr>
                <w:rFonts w:hint="default" w:ascii="Times New Roman" w:hAnsi="Times New Roman" w:eastAsia="仿宋" w:cs="Times New Roman"/>
                <w:color w:val="FF0000"/>
                <w:kern w:val="0"/>
                <w:sz w:val="24"/>
                <w:highlight w:val="none"/>
                <w:lang w:val="en-US" w:eastAsia="zh-CN"/>
              </w:rPr>
              <w:t>〕</w:t>
            </w:r>
            <w:r>
              <w:rPr>
                <w:rFonts w:hint="eastAsia" w:eastAsia="仿宋" w:cs="Times New Roman"/>
                <w:color w:val="FF0000"/>
                <w:kern w:val="0"/>
                <w:sz w:val="24"/>
                <w:highlight w:val="none"/>
                <w:lang w:val="en-US" w:eastAsia="zh-CN"/>
              </w:rPr>
              <w:t>45</w:t>
            </w:r>
            <w:r>
              <w:rPr>
                <w:rFonts w:hint="default" w:ascii="Times New Roman" w:hAnsi="Times New Roman" w:eastAsia="仿宋" w:cs="Times New Roman"/>
                <w:color w:val="FF0000"/>
                <w:kern w:val="0"/>
                <w:sz w:val="24"/>
                <w:highlight w:val="none"/>
                <w:lang w:val="en-US" w:eastAsia="zh-CN"/>
              </w:rPr>
              <w:t>号</w:t>
            </w:r>
          </w:p>
          <w:p w14:paraId="2D277EF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kern w:val="0"/>
                <w:sz w:val="24"/>
                <w:highlight w:val="none"/>
                <w:lang w:val="en-US" w:eastAsia="zh-CN"/>
              </w:rPr>
            </w:pPr>
            <w:r>
              <w:rPr>
                <w:rFonts w:hint="default" w:ascii="Times New Roman" w:hAnsi="Times New Roman" w:eastAsia="仿宋" w:cs="Times New Roman"/>
                <w:color w:val="FF0000"/>
                <w:kern w:val="0"/>
                <w:sz w:val="24"/>
                <w:highlight w:val="none"/>
                <w:lang w:val="en-US" w:eastAsia="zh-CN"/>
              </w:rPr>
              <w:t>审批机关：</w:t>
            </w:r>
            <w:r>
              <w:rPr>
                <w:rFonts w:hint="eastAsia" w:eastAsia="仿宋" w:cs="Times New Roman"/>
                <w:color w:val="FF0000"/>
                <w:kern w:val="0"/>
                <w:sz w:val="24"/>
                <w:highlight w:val="none"/>
                <w:lang w:val="en-US" w:eastAsia="zh-CN"/>
              </w:rPr>
              <w:t>张掖市</w:t>
            </w:r>
            <w:r>
              <w:rPr>
                <w:rFonts w:hint="default" w:ascii="Times New Roman" w:hAnsi="Times New Roman" w:eastAsia="仿宋" w:cs="Times New Roman"/>
                <w:color w:val="FF0000"/>
                <w:kern w:val="0"/>
                <w:sz w:val="24"/>
                <w:highlight w:val="none"/>
                <w:lang w:val="en-US" w:eastAsia="zh-CN"/>
              </w:rPr>
              <w:t>人民政府</w:t>
            </w:r>
          </w:p>
          <w:p w14:paraId="04F8C2F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kern w:val="0"/>
                <w:sz w:val="24"/>
                <w:highlight w:val="none"/>
                <w:lang w:val="en-US" w:eastAsia="zh-CN"/>
              </w:rPr>
            </w:pPr>
            <w:r>
              <w:rPr>
                <w:rFonts w:hint="default" w:ascii="Times New Roman" w:hAnsi="Times New Roman" w:eastAsia="仿宋" w:cs="Times New Roman"/>
                <w:color w:val="FF0000"/>
                <w:kern w:val="0"/>
                <w:sz w:val="24"/>
                <w:highlight w:val="none"/>
                <w:lang w:val="en-US" w:eastAsia="zh-CN"/>
              </w:rPr>
              <w:t>审查文件名称：《</w:t>
            </w:r>
            <w:r>
              <w:rPr>
                <w:rFonts w:hint="eastAsia" w:eastAsia="仿宋" w:cs="Times New Roman"/>
                <w:color w:val="FF0000"/>
                <w:kern w:val="0"/>
                <w:sz w:val="24"/>
                <w:highlight w:val="none"/>
                <w:lang w:val="en-US" w:eastAsia="zh-CN"/>
              </w:rPr>
              <w:t>张掖市</w:t>
            </w:r>
            <w:r>
              <w:rPr>
                <w:rFonts w:hint="default" w:ascii="Times New Roman" w:hAnsi="Times New Roman" w:eastAsia="仿宋" w:cs="Times New Roman"/>
                <w:color w:val="FF0000"/>
                <w:kern w:val="0"/>
                <w:sz w:val="24"/>
                <w:highlight w:val="none"/>
                <w:lang w:val="en-US" w:eastAsia="zh-CN"/>
              </w:rPr>
              <w:t>人民政府关于印发〈</w:t>
            </w:r>
            <w:r>
              <w:rPr>
                <w:rFonts w:hint="eastAsia" w:eastAsia="仿宋" w:cs="Times New Roman"/>
                <w:color w:val="FF0000"/>
                <w:kern w:val="0"/>
                <w:sz w:val="24"/>
                <w:highlight w:val="none"/>
                <w:lang w:val="en-US" w:eastAsia="zh-CN"/>
              </w:rPr>
              <w:t>张掖市国土空间总体规划（2021-2035年）</w:t>
            </w:r>
            <w:r>
              <w:rPr>
                <w:rFonts w:hint="default" w:ascii="Times New Roman" w:hAnsi="Times New Roman" w:eastAsia="仿宋" w:cs="Times New Roman"/>
                <w:color w:val="FF0000"/>
                <w:kern w:val="0"/>
                <w:sz w:val="24"/>
                <w:highlight w:val="none"/>
                <w:lang w:val="en-US" w:eastAsia="zh-CN"/>
              </w:rPr>
              <w:t>〉的通知》</w:t>
            </w:r>
          </w:p>
          <w:p w14:paraId="66C9048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kern w:val="0"/>
                <w:sz w:val="24"/>
                <w:highlight w:val="none"/>
                <w:lang w:val="en-US" w:eastAsia="zh-CN"/>
              </w:rPr>
            </w:pPr>
            <w:r>
              <w:rPr>
                <w:rFonts w:hint="default" w:ascii="Times New Roman" w:hAnsi="Times New Roman" w:eastAsia="仿宋" w:cs="Times New Roman"/>
                <w:color w:val="FF0000"/>
                <w:kern w:val="0"/>
                <w:sz w:val="24"/>
                <w:highlight w:val="none"/>
                <w:lang w:val="en-US" w:eastAsia="zh-CN"/>
              </w:rPr>
              <w:t>⑵规划名称：《</w:t>
            </w:r>
            <w:r>
              <w:rPr>
                <w:rFonts w:hint="eastAsia" w:eastAsia="仿宋" w:cs="Times New Roman"/>
                <w:color w:val="FF0000"/>
                <w:kern w:val="0"/>
                <w:sz w:val="24"/>
                <w:highlight w:val="none"/>
                <w:lang w:val="en-US" w:eastAsia="zh-CN"/>
              </w:rPr>
              <w:t>临泽县国土空间总体规划（2021-2035年）</w:t>
            </w:r>
            <w:r>
              <w:rPr>
                <w:rFonts w:hint="default" w:ascii="Times New Roman" w:hAnsi="Times New Roman" w:eastAsia="仿宋" w:cs="Times New Roman"/>
                <w:color w:val="FF0000"/>
                <w:kern w:val="0"/>
                <w:sz w:val="24"/>
                <w:highlight w:val="none"/>
                <w:lang w:val="en-US" w:eastAsia="zh-CN"/>
              </w:rPr>
              <w:t>》</w:t>
            </w:r>
          </w:p>
          <w:p w14:paraId="2D20FD2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kern w:val="0"/>
                <w:sz w:val="24"/>
                <w:highlight w:val="none"/>
                <w:lang w:val="en-US" w:eastAsia="zh-CN"/>
              </w:rPr>
            </w:pPr>
            <w:r>
              <w:rPr>
                <w:rFonts w:hint="default" w:ascii="Times New Roman" w:hAnsi="Times New Roman" w:eastAsia="仿宋" w:cs="Times New Roman"/>
                <w:color w:val="FF0000"/>
                <w:kern w:val="0"/>
                <w:sz w:val="24"/>
                <w:highlight w:val="none"/>
                <w:lang w:val="en-US" w:eastAsia="zh-CN"/>
              </w:rPr>
              <w:t>规划文号：</w:t>
            </w:r>
            <w:r>
              <w:rPr>
                <w:rFonts w:hint="eastAsia" w:ascii="Times New Roman" w:hAnsi="Times New Roman" w:eastAsia="仿宋" w:cs="Times New Roman"/>
                <w:color w:val="FF0000"/>
                <w:kern w:val="0"/>
                <w:sz w:val="24"/>
                <w:highlight w:val="none"/>
                <w:lang w:val="en-US" w:eastAsia="zh-CN"/>
              </w:rPr>
              <w:t>张政</w:t>
            </w:r>
            <w:r>
              <w:rPr>
                <w:rFonts w:hint="eastAsia" w:eastAsia="仿宋" w:cs="Times New Roman"/>
                <w:color w:val="FF0000"/>
                <w:kern w:val="0"/>
                <w:sz w:val="24"/>
                <w:highlight w:val="none"/>
                <w:lang w:val="en-US" w:eastAsia="zh-CN"/>
              </w:rPr>
              <w:t>函</w:t>
            </w:r>
            <w:r>
              <w:rPr>
                <w:rFonts w:hint="default" w:ascii="Times New Roman" w:hAnsi="Times New Roman" w:eastAsia="仿宋" w:cs="Times New Roman"/>
                <w:color w:val="FF0000"/>
                <w:kern w:val="0"/>
                <w:sz w:val="24"/>
                <w:highlight w:val="none"/>
                <w:lang w:val="en-US" w:eastAsia="zh-CN"/>
              </w:rPr>
              <w:t>〔20</w:t>
            </w:r>
            <w:r>
              <w:rPr>
                <w:rFonts w:hint="eastAsia" w:eastAsia="仿宋" w:cs="Times New Roman"/>
                <w:color w:val="FF0000"/>
                <w:kern w:val="0"/>
                <w:sz w:val="24"/>
                <w:highlight w:val="none"/>
                <w:lang w:val="en-US" w:eastAsia="zh-CN"/>
              </w:rPr>
              <w:t>24</w:t>
            </w:r>
            <w:r>
              <w:rPr>
                <w:rFonts w:hint="default" w:ascii="Times New Roman" w:hAnsi="Times New Roman" w:eastAsia="仿宋" w:cs="Times New Roman"/>
                <w:color w:val="FF0000"/>
                <w:kern w:val="0"/>
                <w:sz w:val="24"/>
                <w:highlight w:val="none"/>
                <w:lang w:val="en-US" w:eastAsia="zh-CN"/>
              </w:rPr>
              <w:t>〕</w:t>
            </w:r>
            <w:r>
              <w:rPr>
                <w:rFonts w:hint="eastAsia" w:eastAsia="仿宋" w:cs="Times New Roman"/>
                <w:color w:val="FF0000"/>
                <w:kern w:val="0"/>
                <w:sz w:val="24"/>
                <w:highlight w:val="none"/>
                <w:lang w:val="en-US" w:eastAsia="zh-CN"/>
              </w:rPr>
              <w:t>51</w:t>
            </w:r>
            <w:r>
              <w:rPr>
                <w:rFonts w:hint="default" w:ascii="Times New Roman" w:hAnsi="Times New Roman" w:eastAsia="仿宋" w:cs="Times New Roman"/>
                <w:color w:val="FF0000"/>
                <w:kern w:val="0"/>
                <w:sz w:val="24"/>
                <w:highlight w:val="none"/>
                <w:lang w:val="en-US" w:eastAsia="zh-CN"/>
              </w:rPr>
              <w:t>号</w:t>
            </w:r>
          </w:p>
          <w:p w14:paraId="5423297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kern w:val="0"/>
                <w:sz w:val="24"/>
                <w:highlight w:val="none"/>
                <w:lang w:val="en-US" w:eastAsia="zh-CN"/>
              </w:rPr>
            </w:pPr>
            <w:r>
              <w:rPr>
                <w:rFonts w:hint="default" w:ascii="Times New Roman" w:hAnsi="Times New Roman" w:eastAsia="仿宋" w:cs="Times New Roman"/>
                <w:color w:val="FF0000"/>
                <w:kern w:val="0"/>
                <w:sz w:val="24"/>
                <w:highlight w:val="none"/>
                <w:lang w:val="en-US" w:eastAsia="zh-CN"/>
              </w:rPr>
              <w:t>审批机关：</w:t>
            </w:r>
            <w:r>
              <w:rPr>
                <w:rFonts w:hint="eastAsia" w:ascii="Times New Roman" w:hAnsi="Times New Roman" w:eastAsia="仿宋" w:cs="Times New Roman"/>
                <w:color w:val="FF0000"/>
                <w:kern w:val="0"/>
                <w:sz w:val="24"/>
                <w:highlight w:val="none"/>
                <w:lang w:val="en-US" w:eastAsia="zh-CN"/>
              </w:rPr>
              <w:t>张掖市人民政府</w:t>
            </w:r>
          </w:p>
          <w:p w14:paraId="456F7F0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kern w:val="0"/>
                <w:sz w:val="24"/>
                <w:lang w:val="en-US" w:eastAsia="zh-CN"/>
                <w14:textFill>
                  <w14:solidFill>
                    <w14:schemeClr w14:val="tx1"/>
                  </w14:solidFill>
                </w14:textFill>
              </w:rPr>
            </w:pPr>
            <w:r>
              <w:rPr>
                <w:rFonts w:hint="default" w:ascii="Times New Roman" w:hAnsi="Times New Roman" w:eastAsia="仿宋" w:cs="Times New Roman"/>
                <w:color w:val="FF0000"/>
                <w:kern w:val="0"/>
                <w:sz w:val="24"/>
                <w:highlight w:val="none"/>
                <w:lang w:val="en-US" w:eastAsia="zh-CN"/>
              </w:rPr>
              <w:t>审查文件名称：《</w:t>
            </w:r>
            <w:r>
              <w:rPr>
                <w:rFonts w:hint="eastAsia" w:ascii="Times New Roman" w:hAnsi="Times New Roman" w:eastAsia="仿宋" w:cs="Times New Roman"/>
                <w:color w:val="FF0000"/>
                <w:kern w:val="0"/>
                <w:sz w:val="24"/>
                <w:highlight w:val="none"/>
                <w:lang w:val="en-US" w:eastAsia="zh-CN"/>
              </w:rPr>
              <w:t>张掖市人民政府</w:t>
            </w:r>
            <w:r>
              <w:rPr>
                <w:rFonts w:hint="default" w:ascii="Times New Roman" w:hAnsi="Times New Roman" w:eastAsia="仿宋" w:cs="Times New Roman"/>
                <w:color w:val="FF0000"/>
                <w:kern w:val="0"/>
                <w:sz w:val="24"/>
                <w:highlight w:val="none"/>
                <w:lang w:val="en-US" w:eastAsia="zh-CN"/>
              </w:rPr>
              <w:t>关于印发〈</w:t>
            </w:r>
            <w:r>
              <w:rPr>
                <w:rFonts w:hint="eastAsia" w:eastAsia="仿宋" w:cs="Times New Roman"/>
                <w:color w:val="FF0000"/>
                <w:kern w:val="0"/>
                <w:sz w:val="24"/>
                <w:highlight w:val="none"/>
                <w:lang w:val="en-US" w:eastAsia="zh-CN"/>
              </w:rPr>
              <w:t>临泽县国土空间总体规划（2021-2035年）</w:t>
            </w:r>
            <w:r>
              <w:rPr>
                <w:rFonts w:hint="default" w:ascii="Times New Roman" w:hAnsi="Times New Roman" w:eastAsia="仿宋" w:cs="Times New Roman"/>
                <w:color w:val="FF0000"/>
                <w:kern w:val="0"/>
                <w:sz w:val="24"/>
                <w:highlight w:val="none"/>
                <w:lang w:val="en-US" w:eastAsia="zh-CN"/>
              </w:rPr>
              <w:t>〉的通知》</w:t>
            </w:r>
          </w:p>
        </w:tc>
      </w:tr>
      <w:tr w14:paraId="119EA0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55" w:hRule="atLeast"/>
          <w:jc w:val="center"/>
        </w:trPr>
        <w:tc>
          <w:tcPr>
            <w:tcW w:w="609" w:type="pct"/>
            <w:tcMar>
              <w:top w:w="16" w:type="dxa"/>
              <w:left w:w="16" w:type="dxa"/>
              <w:right w:w="16" w:type="dxa"/>
            </w:tcMar>
            <w:vAlign w:val="center"/>
          </w:tcPr>
          <w:p w14:paraId="388C4350">
            <w:pPr>
              <w:autoSpaceDE w:val="0"/>
              <w:autoSpaceDN w:val="0"/>
              <w:adjustRightInd w:val="0"/>
              <w:snapToGrid w:val="0"/>
              <w:jc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sz w:val="24"/>
                <w:szCs w:val="24"/>
                <w:highlight w:val="none"/>
              </w:rPr>
              <w:t>规划环境影响评价情况</w:t>
            </w:r>
          </w:p>
        </w:tc>
        <w:tc>
          <w:tcPr>
            <w:tcW w:w="4390" w:type="pct"/>
            <w:gridSpan w:val="6"/>
            <w:tcMar>
              <w:top w:w="16" w:type="dxa"/>
              <w:left w:w="16" w:type="dxa"/>
              <w:right w:w="16" w:type="dxa"/>
            </w:tcMar>
            <w:vAlign w:val="center"/>
          </w:tcPr>
          <w:p w14:paraId="0063FFA4">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eastAsia="仿宋" w:cs="Times New Roman"/>
                <w:color w:val="000000" w:themeColor="text1"/>
                <w:kern w:val="0"/>
                <w:sz w:val="24"/>
                <w:lang w:val="en-US" w:eastAsia="zh-CN"/>
                <w14:textFill>
                  <w14:solidFill>
                    <w14:schemeClr w14:val="tx1"/>
                  </w14:solidFill>
                </w14:textFill>
              </w:rPr>
            </w:pPr>
          </w:p>
          <w:p w14:paraId="0D96161C">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eastAsia="仿宋" w:cs="Times New Roman"/>
                <w:color w:val="000000" w:themeColor="text1"/>
                <w:kern w:val="0"/>
                <w:sz w:val="24"/>
                <w:lang w:val="en-US" w:eastAsia="zh-CN"/>
                <w14:textFill>
                  <w14:solidFill>
                    <w14:schemeClr w14:val="tx1"/>
                  </w14:solidFill>
                </w14:textFill>
              </w:rPr>
            </w:pPr>
            <w:r>
              <w:rPr>
                <w:rFonts w:hint="eastAsia" w:eastAsia="仿宋" w:cs="Times New Roman"/>
                <w:color w:val="000000" w:themeColor="text1"/>
                <w:kern w:val="0"/>
                <w:sz w:val="24"/>
                <w:lang w:val="en-US" w:eastAsia="zh-CN"/>
                <w14:textFill>
                  <w14:solidFill>
                    <w14:schemeClr w14:val="tx1"/>
                  </w14:solidFill>
                </w14:textFill>
              </w:rPr>
              <w:t>无</w:t>
            </w:r>
          </w:p>
          <w:p w14:paraId="0DF3EAD6">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eastAsia="仿宋" w:cs="Times New Roman"/>
                <w:color w:val="000000" w:themeColor="text1"/>
                <w:kern w:val="0"/>
                <w:sz w:val="24"/>
                <w:lang w:val="en-US" w:eastAsia="zh-CN"/>
                <w14:textFill>
                  <w14:solidFill>
                    <w14:schemeClr w14:val="tx1"/>
                  </w14:solidFill>
                </w14:textFill>
              </w:rPr>
            </w:pPr>
          </w:p>
        </w:tc>
      </w:tr>
      <w:tr w14:paraId="2A9B1D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609" w:type="pct"/>
            <w:tcMar>
              <w:top w:w="16" w:type="dxa"/>
              <w:left w:w="16" w:type="dxa"/>
              <w:right w:w="16" w:type="dxa"/>
            </w:tcMar>
            <w:vAlign w:val="center"/>
          </w:tcPr>
          <w:p w14:paraId="0F322389">
            <w:pPr>
              <w:autoSpaceDE w:val="0"/>
              <w:autoSpaceDN w:val="0"/>
              <w:adjustRightInd w:val="0"/>
              <w:snapToGrid w:val="0"/>
              <w:jc w:val="center"/>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rPr>
              <w:t>规划及</w:t>
            </w:r>
            <w:r>
              <w:rPr>
                <w:rFonts w:hint="default" w:ascii="Times New Roman" w:hAnsi="Times New Roman" w:eastAsia="仿宋" w:cs="Times New Roman"/>
                <w:color w:val="auto"/>
                <w:sz w:val="24"/>
                <w:szCs w:val="24"/>
                <w:highlight w:val="none"/>
              </w:rPr>
              <w:t>规划环境影响评价</w:t>
            </w:r>
            <w:r>
              <w:rPr>
                <w:rFonts w:hint="default" w:ascii="Times New Roman" w:hAnsi="Times New Roman" w:eastAsia="仿宋" w:cs="Times New Roman"/>
                <w:color w:val="auto"/>
                <w:kern w:val="0"/>
                <w:sz w:val="24"/>
                <w:szCs w:val="24"/>
                <w:highlight w:val="none"/>
              </w:rPr>
              <w:t>符合性分析</w:t>
            </w:r>
          </w:p>
        </w:tc>
        <w:tc>
          <w:tcPr>
            <w:tcW w:w="4390" w:type="pct"/>
            <w:gridSpan w:val="6"/>
            <w:tcMar>
              <w:top w:w="16" w:type="dxa"/>
              <w:left w:w="16" w:type="dxa"/>
              <w:right w:w="16" w:type="dxa"/>
            </w:tcMar>
            <w:vAlign w:val="center"/>
          </w:tcPr>
          <w:p w14:paraId="59930E69">
            <w:pPr>
              <w:keepNext w:val="0"/>
              <w:keepLines w:val="0"/>
              <w:pageBreakBefore w:val="0"/>
              <w:widowControl w:val="0"/>
              <w:kinsoku/>
              <w:wordWrap/>
              <w:overflowPunct/>
              <w:topLinePunct/>
              <w:autoSpaceDE/>
              <w:autoSpaceDN w:val="0"/>
              <w:bidi w:val="0"/>
              <w:adjustRightInd w:val="0"/>
              <w:snapToGrid w:val="0"/>
              <w:spacing w:line="360" w:lineRule="auto"/>
              <w:ind w:firstLine="482" w:firstLineChars="200"/>
              <w:textAlignment w:val="center"/>
              <w:rPr>
                <w:rFonts w:hint="default" w:ascii="Times New Roman" w:hAnsi="Times New Roman" w:eastAsia="仿宋" w:cs="Times New Roman"/>
                <w:b/>
                <w:bCs/>
                <w:color w:val="FF0000"/>
                <w:spacing w:val="0"/>
                <w:sz w:val="24"/>
                <w:szCs w:val="24"/>
                <w:highlight w:val="none"/>
                <w:lang w:val="en-US" w:eastAsia="zh-CN"/>
              </w:rPr>
            </w:pPr>
            <w:r>
              <w:rPr>
                <w:rFonts w:hint="eastAsia" w:ascii="Times New Roman" w:hAnsi="Times New Roman" w:eastAsia="仿宋" w:cs="Times New Roman"/>
                <w:b/>
                <w:bCs/>
                <w:color w:val="FF0000"/>
                <w:spacing w:val="0"/>
                <w:sz w:val="24"/>
                <w:szCs w:val="24"/>
                <w:highlight w:val="none"/>
                <w:lang w:val="en-US" w:eastAsia="zh-CN"/>
              </w:rPr>
              <w:t>1.</w:t>
            </w:r>
            <w:r>
              <w:rPr>
                <w:rFonts w:hint="default" w:ascii="Times New Roman" w:hAnsi="Times New Roman" w:eastAsia="仿宋" w:cs="Times New Roman"/>
                <w:b/>
                <w:bCs/>
                <w:color w:val="FF0000"/>
                <w:spacing w:val="0"/>
                <w:sz w:val="24"/>
                <w:szCs w:val="24"/>
                <w:highlight w:val="none"/>
                <w:lang w:val="en-US" w:eastAsia="zh-CN"/>
              </w:rPr>
              <w:t>与《</w:t>
            </w:r>
            <w:r>
              <w:rPr>
                <w:rFonts w:hint="eastAsia" w:ascii="Times New Roman" w:hAnsi="Times New Roman" w:eastAsia="仿宋" w:cs="Times New Roman"/>
                <w:b/>
                <w:bCs/>
                <w:color w:val="FF0000"/>
                <w:spacing w:val="0"/>
                <w:sz w:val="24"/>
                <w:szCs w:val="24"/>
                <w:highlight w:val="none"/>
                <w:lang w:val="en-US" w:eastAsia="zh-CN"/>
              </w:rPr>
              <w:t>张掖市国土空间总体规划（2021-2035年）</w:t>
            </w:r>
            <w:r>
              <w:rPr>
                <w:rFonts w:hint="default" w:ascii="Times New Roman" w:hAnsi="Times New Roman" w:eastAsia="仿宋" w:cs="Times New Roman"/>
                <w:b/>
                <w:bCs/>
                <w:color w:val="FF0000"/>
                <w:spacing w:val="0"/>
                <w:sz w:val="24"/>
                <w:szCs w:val="24"/>
                <w:highlight w:val="none"/>
                <w:lang w:val="en-US" w:eastAsia="zh-CN"/>
              </w:rPr>
              <w:t xml:space="preserve">》符合性分析 </w:t>
            </w:r>
          </w:p>
          <w:p w14:paraId="75CDD3D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eastAsia="仿宋" w:cs="Times New Roman"/>
                <w:color w:val="FF0000"/>
                <w:kern w:val="0"/>
                <w:sz w:val="24"/>
                <w:lang w:val="en-US" w:eastAsia="zh-CN"/>
              </w:rPr>
            </w:pPr>
            <w:r>
              <w:rPr>
                <w:rFonts w:hint="eastAsia" w:eastAsia="仿宋" w:cs="Times New Roman"/>
                <w:color w:val="FF0000"/>
                <w:kern w:val="0"/>
                <w:sz w:val="24"/>
                <w:lang w:val="en-US" w:eastAsia="zh-CN"/>
              </w:rPr>
              <w:t>《张掖市国土空间总体规划（2021-2035年）》中提出：“加大优势矿产资源开发力度，重点建设张掖铁钨资源基地。到</w:t>
            </w:r>
            <w:r>
              <w:rPr>
                <w:rFonts w:hint="default" w:eastAsia="仿宋" w:cs="Times New Roman"/>
                <w:color w:val="FF0000"/>
                <w:kern w:val="0"/>
                <w:sz w:val="24"/>
                <w:lang w:val="en-US" w:eastAsia="zh-CN"/>
              </w:rPr>
              <w:t>2035</w:t>
            </w:r>
            <w:r>
              <w:rPr>
                <w:rFonts w:hint="eastAsia" w:eastAsia="仿宋" w:cs="Times New Roman"/>
                <w:color w:val="FF0000"/>
                <w:kern w:val="0"/>
                <w:sz w:val="24"/>
                <w:lang w:val="en-US" w:eastAsia="zh-CN"/>
              </w:rPr>
              <w:t>年，张掖市矿山总数控制在</w:t>
            </w:r>
            <w:r>
              <w:rPr>
                <w:rFonts w:hint="default" w:eastAsia="仿宋" w:cs="Times New Roman"/>
                <w:color w:val="FF0000"/>
                <w:kern w:val="0"/>
                <w:sz w:val="24"/>
                <w:lang w:val="en-US" w:eastAsia="zh-CN"/>
              </w:rPr>
              <w:t>213</w:t>
            </w:r>
            <w:r>
              <w:rPr>
                <w:rFonts w:hint="eastAsia" w:eastAsia="仿宋" w:cs="Times New Roman"/>
                <w:color w:val="FF0000"/>
                <w:kern w:val="0"/>
                <w:sz w:val="24"/>
                <w:lang w:val="en-US" w:eastAsia="zh-CN"/>
              </w:rPr>
              <w:t>个以内，砂石土矿山数量控制在</w:t>
            </w:r>
            <w:r>
              <w:rPr>
                <w:rFonts w:hint="default" w:eastAsia="仿宋" w:cs="Times New Roman"/>
                <w:color w:val="FF0000"/>
                <w:kern w:val="0"/>
                <w:sz w:val="24"/>
                <w:lang w:val="en-US" w:eastAsia="zh-CN"/>
              </w:rPr>
              <w:t>129</w:t>
            </w:r>
            <w:r>
              <w:rPr>
                <w:rFonts w:hint="eastAsia" w:eastAsia="仿宋" w:cs="Times New Roman"/>
                <w:color w:val="FF0000"/>
                <w:kern w:val="0"/>
                <w:sz w:val="24"/>
                <w:lang w:val="en-US" w:eastAsia="zh-CN"/>
              </w:rPr>
              <w:t>个（</w:t>
            </w:r>
            <w:r>
              <w:rPr>
                <w:rFonts w:hint="default" w:eastAsia="仿宋" w:cs="Times New Roman"/>
                <w:color w:val="FF0000"/>
                <w:kern w:val="0"/>
                <w:sz w:val="24"/>
                <w:lang w:val="en-US" w:eastAsia="zh-CN"/>
              </w:rPr>
              <w:t>2025</w:t>
            </w:r>
            <w:r>
              <w:rPr>
                <w:rFonts w:hint="eastAsia" w:eastAsia="仿宋" w:cs="Times New Roman"/>
                <w:color w:val="FF0000"/>
                <w:kern w:val="0"/>
                <w:sz w:val="24"/>
                <w:lang w:val="en-US" w:eastAsia="zh-CN"/>
              </w:rPr>
              <w:t>年）以内；严格控制小型（小矿）矿山数量，大中型矿山比例达到</w:t>
            </w:r>
            <w:r>
              <w:rPr>
                <w:rFonts w:hint="default" w:eastAsia="仿宋" w:cs="Times New Roman"/>
                <w:color w:val="FF0000"/>
                <w:kern w:val="0"/>
                <w:sz w:val="24"/>
                <w:lang w:val="en-US" w:eastAsia="zh-CN"/>
              </w:rPr>
              <w:t>50%</w:t>
            </w:r>
            <w:r>
              <w:rPr>
                <w:rFonts w:hint="eastAsia" w:eastAsia="仿宋" w:cs="Times New Roman"/>
                <w:color w:val="FF0000"/>
                <w:kern w:val="0"/>
                <w:sz w:val="24"/>
                <w:lang w:val="en-US" w:eastAsia="zh-CN"/>
              </w:rPr>
              <w:t>以上；矿山“三率”水平达标率</w:t>
            </w:r>
            <w:r>
              <w:rPr>
                <w:rFonts w:hint="default" w:eastAsia="仿宋" w:cs="Times New Roman"/>
                <w:color w:val="FF0000"/>
                <w:kern w:val="0"/>
                <w:sz w:val="24"/>
                <w:lang w:val="en-US" w:eastAsia="zh-CN"/>
              </w:rPr>
              <w:t>100%</w:t>
            </w:r>
            <w:r>
              <w:rPr>
                <w:rFonts w:hint="eastAsia" w:eastAsia="仿宋" w:cs="Times New Roman"/>
                <w:color w:val="FF0000"/>
                <w:kern w:val="0"/>
                <w:sz w:val="24"/>
                <w:lang w:val="en-US" w:eastAsia="zh-CN"/>
              </w:rPr>
              <w:t>，绿色矿山比例达到</w:t>
            </w:r>
            <w:r>
              <w:rPr>
                <w:rFonts w:hint="default" w:eastAsia="仿宋" w:cs="Times New Roman"/>
                <w:color w:val="FF0000"/>
                <w:kern w:val="0"/>
                <w:sz w:val="24"/>
                <w:lang w:val="en-US" w:eastAsia="zh-CN"/>
              </w:rPr>
              <w:t>100%</w:t>
            </w:r>
            <w:r>
              <w:rPr>
                <w:rFonts w:hint="eastAsia" w:eastAsia="仿宋" w:cs="Times New Roman"/>
                <w:color w:val="FF0000"/>
                <w:kern w:val="0"/>
                <w:sz w:val="24"/>
                <w:lang w:val="en-US" w:eastAsia="zh-CN"/>
              </w:rPr>
              <w:t>。全市矿山逐步推进矿山升级改造，大中型矿山基本建成自动化、数字化矿山，其中智慧矿山占比达到</w:t>
            </w:r>
            <w:r>
              <w:rPr>
                <w:rFonts w:hint="default" w:eastAsia="仿宋" w:cs="Times New Roman"/>
                <w:color w:val="FF0000"/>
                <w:kern w:val="0"/>
                <w:sz w:val="24"/>
                <w:lang w:val="en-US" w:eastAsia="zh-CN"/>
              </w:rPr>
              <w:t>10%</w:t>
            </w:r>
            <w:r>
              <w:rPr>
                <w:rFonts w:hint="eastAsia" w:eastAsia="仿宋" w:cs="Times New Roman"/>
                <w:color w:val="FF0000"/>
                <w:kern w:val="0"/>
                <w:sz w:val="24"/>
                <w:lang w:val="en-US" w:eastAsia="zh-CN"/>
              </w:rPr>
              <w:t xml:space="preserve">。矿山转型升级由绿色矿业向自动化、数字化智慧矿山转变”。 </w:t>
            </w:r>
          </w:p>
          <w:p w14:paraId="0972DAB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仿宋" w:cs="Times New Roman"/>
                <w:color w:val="FF0000"/>
                <w:kern w:val="0"/>
                <w:sz w:val="24"/>
                <w:lang w:val="en-US" w:eastAsia="zh-CN"/>
              </w:rPr>
            </w:pPr>
            <w:r>
              <w:rPr>
                <w:rFonts w:hint="eastAsia" w:eastAsia="仿宋" w:cs="Times New Roman"/>
                <w:color w:val="FF0000"/>
                <w:kern w:val="0"/>
                <w:sz w:val="24"/>
                <w:lang w:val="en-US" w:eastAsia="zh-CN"/>
              </w:rPr>
              <w:t>“严格矿产资源开采准入条件，禁止在生态保护红线、永久基本农田、城镇开发边界内，以及自然保护区、饮用水水源保护区、地质遗迹保护区、文物保护单位的保护范围内新批固体矿产资源开发项目。严格控制国家公益林、水土流失重点预防区、水土流失重点治理区内固体矿产资源开发。”</w:t>
            </w:r>
          </w:p>
          <w:p w14:paraId="2BF59FC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仿宋" w:cs="Times New Roman"/>
                <w:color w:val="FF0000"/>
                <w:kern w:val="0"/>
                <w:sz w:val="24"/>
                <w:lang w:val="en-US" w:eastAsia="zh-CN"/>
              </w:rPr>
            </w:pPr>
            <w:r>
              <w:rPr>
                <w:rFonts w:hint="eastAsia" w:ascii="Times New Roman" w:hAnsi="Times New Roman" w:eastAsia="仿宋" w:cs="Times New Roman"/>
                <w:color w:val="FF0000"/>
                <w:kern w:val="0"/>
                <w:sz w:val="24"/>
                <w:lang w:val="en-US" w:eastAsia="zh-CN"/>
              </w:rPr>
              <w:t>本项目</w:t>
            </w:r>
            <w:r>
              <w:rPr>
                <w:rFonts w:hint="eastAsia" w:ascii="Times New Roman" w:hAnsi="Times New Roman" w:eastAsia="仿宋" w:cs="Times New Roman"/>
                <w:color w:val="FF0000"/>
                <w:sz w:val="24"/>
                <w:lang w:val="en-US" w:eastAsia="zh-CN"/>
              </w:rPr>
              <w:t>属于冶金用石英岩矿开采及加工</w:t>
            </w:r>
            <w:r>
              <w:rPr>
                <w:rFonts w:hint="default" w:ascii="Times New Roman" w:hAnsi="Times New Roman" w:eastAsia="仿宋" w:cs="Times New Roman"/>
                <w:color w:val="FF0000"/>
                <w:sz w:val="24"/>
                <w:lang w:val="en-US" w:eastAsia="zh-CN"/>
              </w:rPr>
              <w:t>建设项目</w:t>
            </w:r>
            <w:r>
              <w:rPr>
                <w:rFonts w:hint="eastAsia" w:ascii="Times New Roman" w:hAnsi="Times New Roman" w:eastAsia="仿宋" w:cs="Times New Roman"/>
                <w:color w:val="FF0000"/>
                <w:sz w:val="24"/>
                <w:lang w:val="en-US" w:eastAsia="zh-CN"/>
              </w:rPr>
              <w:t>，开采规模</w:t>
            </w:r>
            <w:r>
              <w:rPr>
                <w:rFonts w:hint="eastAsia" w:ascii="Times New Roman" w:hAnsi="Times New Roman" w:eastAsia="仿宋" w:cs="Times New Roman"/>
                <w:color w:val="FF0000"/>
                <w:kern w:val="0"/>
                <w:sz w:val="24"/>
                <w:lang w:val="en-US" w:eastAsia="zh-CN"/>
              </w:rPr>
              <w:t>为</w:t>
            </w:r>
            <w:r>
              <w:rPr>
                <w:rFonts w:hint="eastAsia" w:eastAsia="仿宋" w:cs="Times New Roman"/>
                <w:color w:val="FF0000"/>
                <w:kern w:val="0"/>
                <w:sz w:val="24"/>
                <w:lang w:val="en-US" w:eastAsia="zh-CN"/>
              </w:rPr>
              <w:t>10</w:t>
            </w:r>
            <w:r>
              <w:rPr>
                <w:rFonts w:hint="eastAsia" w:ascii="Times New Roman" w:hAnsi="Times New Roman" w:eastAsia="仿宋" w:cs="Times New Roman"/>
                <w:color w:val="FF0000"/>
                <w:kern w:val="0"/>
                <w:sz w:val="24"/>
                <w:lang w:val="en-US" w:eastAsia="zh-CN"/>
              </w:rPr>
              <w:t>万</w:t>
            </w:r>
            <w:r>
              <w:rPr>
                <w:rFonts w:hint="eastAsia" w:eastAsia="仿宋" w:cs="Times New Roman"/>
                <w:color w:val="FF0000"/>
                <w:kern w:val="0"/>
                <w:sz w:val="24"/>
                <w:lang w:val="en-US" w:eastAsia="zh-CN"/>
              </w:rPr>
              <w:t>t</w:t>
            </w:r>
            <w:r>
              <w:rPr>
                <w:rFonts w:hint="default" w:ascii="Times New Roman" w:hAnsi="Times New Roman" w:eastAsia="仿宋" w:cs="Times New Roman"/>
                <w:color w:val="FF0000"/>
                <w:kern w:val="0"/>
                <w:sz w:val="24"/>
                <w:lang w:val="en-US" w:eastAsia="zh-CN"/>
              </w:rPr>
              <w:t>/</w:t>
            </w:r>
            <w:r>
              <w:rPr>
                <w:rFonts w:hint="eastAsia" w:ascii="Times New Roman" w:hAnsi="Times New Roman" w:eastAsia="仿宋" w:cs="Times New Roman"/>
                <w:color w:val="FF0000"/>
                <w:kern w:val="0"/>
                <w:sz w:val="24"/>
                <w:lang w:val="en-US" w:eastAsia="zh-CN"/>
              </w:rPr>
              <w:t>年，开采方式为</w:t>
            </w:r>
            <w:r>
              <w:rPr>
                <w:rFonts w:hint="eastAsia" w:eastAsia="仿宋" w:cs="Times New Roman"/>
                <w:color w:val="FF0000"/>
                <w:kern w:val="0"/>
                <w:sz w:val="24"/>
                <w:lang w:val="en-US" w:eastAsia="zh-CN"/>
              </w:rPr>
              <w:t>露天</w:t>
            </w:r>
            <w:r>
              <w:rPr>
                <w:rFonts w:hint="eastAsia" w:ascii="Times New Roman" w:hAnsi="Times New Roman" w:eastAsia="仿宋" w:cs="Times New Roman"/>
                <w:color w:val="FF0000"/>
                <w:kern w:val="0"/>
                <w:sz w:val="24"/>
                <w:lang w:val="en-US" w:eastAsia="zh-CN"/>
              </w:rPr>
              <w:t>开采；经“三线一单”核查，本项目位于</w:t>
            </w:r>
            <w:r>
              <w:rPr>
                <w:rFonts w:hint="eastAsia" w:eastAsia="仿宋" w:cs="Times New Roman"/>
                <w:color w:val="FF0000"/>
                <w:kern w:val="0"/>
                <w:sz w:val="24"/>
                <w:lang w:val="en-US" w:eastAsia="zh-CN"/>
              </w:rPr>
              <w:t>重点管控单元和</w:t>
            </w:r>
            <w:r>
              <w:rPr>
                <w:rFonts w:hint="eastAsia" w:ascii="Times New Roman" w:hAnsi="Times New Roman" w:eastAsia="仿宋" w:cs="Times New Roman"/>
                <w:color w:val="FF0000"/>
                <w:kern w:val="0"/>
                <w:sz w:val="24"/>
                <w:lang w:val="en-US" w:eastAsia="zh-CN"/>
              </w:rPr>
              <w:t>一般管控单元，不涉及生态红线</w:t>
            </w:r>
            <w:r>
              <w:rPr>
                <w:rFonts w:hint="eastAsia" w:eastAsia="仿宋" w:cs="Times New Roman"/>
                <w:color w:val="FF0000"/>
                <w:kern w:val="0"/>
                <w:sz w:val="24"/>
                <w:lang w:val="en-US" w:eastAsia="zh-CN"/>
              </w:rPr>
              <w:t>、永久基本农田、城镇开发边界、自然保护区、饮用水水源保护区等</w:t>
            </w:r>
            <w:r>
              <w:rPr>
                <w:rFonts w:hint="eastAsia" w:ascii="Times New Roman" w:hAnsi="Times New Roman" w:eastAsia="仿宋" w:cs="Times New Roman"/>
                <w:color w:val="FF0000"/>
                <w:kern w:val="0"/>
                <w:sz w:val="24"/>
                <w:lang w:val="en-US" w:eastAsia="zh-CN"/>
              </w:rPr>
              <w:t>；同时，</w:t>
            </w:r>
            <w:r>
              <w:rPr>
                <w:rFonts w:hint="eastAsia" w:eastAsia="仿宋" w:cs="Times New Roman"/>
                <w:color w:val="FF0000"/>
                <w:kern w:val="0"/>
                <w:sz w:val="24"/>
                <w:lang w:val="en-US" w:eastAsia="zh-CN"/>
              </w:rPr>
              <w:t>企业已编制完成《临泽县金源矿业有限责任公司平川镇羊圈湾冶金用石英岩矿开采方案于矿区生态修复方案》</w:t>
            </w:r>
            <w:r>
              <w:rPr>
                <w:rFonts w:hint="eastAsia" w:ascii="Times New Roman" w:hAnsi="Times New Roman" w:eastAsia="仿宋" w:cs="Times New Roman"/>
                <w:color w:val="FF0000"/>
                <w:kern w:val="0"/>
                <w:sz w:val="24"/>
                <w:lang w:val="en-US" w:eastAsia="zh-CN"/>
              </w:rPr>
              <w:t>，企</w:t>
            </w:r>
            <w:r>
              <w:rPr>
                <w:rFonts w:hint="eastAsia" w:eastAsia="仿宋" w:cs="Times New Roman"/>
                <w:color w:val="FF0000"/>
                <w:kern w:val="0"/>
                <w:sz w:val="24"/>
                <w:lang w:val="en-US" w:eastAsia="zh-CN"/>
              </w:rPr>
              <w:t>业在</w:t>
            </w:r>
            <w:r>
              <w:rPr>
                <w:rFonts w:hint="eastAsia" w:ascii="Times New Roman" w:hAnsi="Times New Roman" w:eastAsia="仿宋" w:cs="Times New Roman"/>
                <w:color w:val="FF0000"/>
                <w:kern w:val="0"/>
                <w:sz w:val="24"/>
                <w:lang w:val="en-US" w:eastAsia="zh-CN"/>
              </w:rPr>
              <w:t>开采</w:t>
            </w:r>
            <w:r>
              <w:rPr>
                <w:rFonts w:hint="eastAsia" w:eastAsia="仿宋" w:cs="Times New Roman"/>
                <w:color w:val="FF0000"/>
                <w:kern w:val="0"/>
                <w:sz w:val="24"/>
                <w:lang w:val="en-US" w:eastAsia="zh-CN"/>
              </w:rPr>
              <w:t>期和恢复期间内</w:t>
            </w:r>
            <w:r>
              <w:rPr>
                <w:rFonts w:hint="eastAsia" w:ascii="Times New Roman" w:hAnsi="Times New Roman" w:eastAsia="仿宋" w:cs="Times New Roman"/>
                <w:color w:val="FF0000"/>
                <w:kern w:val="0"/>
                <w:sz w:val="24"/>
                <w:lang w:val="en-US" w:eastAsia="zh-CN"/>
              </w:rPr>
              <w:t>认真履行矿山地质环境恢复治理和土地复垦义务，切实做到‘谁开发、谁保护，谁破坏、谁治理’，因地制宜开展矿山生态修复。因此，本项目符合《张掖市国土空间总体规划（2021-2035年）》的相关要求。</w:t>
            </w:r>
          </w:p>
          <w:p w14:paraId="19FB90C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仿宋" w:cs="Times New Roman"/>
                <w:b/>
                <w:color w:val="FF0000"/>
                <w:sz w:val="24"/>
                <w:highlight w:val="none"/>
                <w:lang w:val="en-US" w:eastAsia="zh-CN"/>
              </w:rPr>
            </w:pPr>
            <w:r>
              <w:rPr>
                <w:rFonts w:hint="eastAsia" w:ascii="Times New Roman" w:hAnsi="Times New Roman" w:eastAsia="仿宋" w:cs="Times New Roman"/>
                <w:b/>
                <w:color w:val="FF0000"/>
                <w:sz w:val="24"/>
                <w:highlight w:val="none"/>
                <w:lang w:val="en-US" w:eastAsia="zh-CN"/>
              </w:rPr>
              <w:t xml:space="preserve">2.与《临泽县国土空间总体规划（2021-2035年）》符合性分析 </w:t>
            </w:r>
          </w:p>
          <w:p w14:paraId="261C234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仿宋" w:cs="Times New Roman"/>
                <w:color w:val="FF0000"/>
                <w:kern w:val="0"/>
                <w:sz w:val="24"/>
                <w:lang w:val="en-US" w:eastAsia="zh-CN"/>
              </w:rPr>
            </w:pPr>
            <w:r>
              <w:rPr>
                <w:rFonts w:hint="eastAsia" w:ascii="Times New Roman" w:hAnsi="Times New Roman" w:eastAsia="仿宋" w:cs="Times New Roman"/>
                <w:color w:val="FF0000"/>
                <w:kern w:val="0"/>
                <w:sz w:val="24"/>
                <w:lang w:val="en-US" w:eastAsia="zh-CN"/>
              </w:rPr>
              <w:t>《临泽县国土空间总体规划（2021-2035年）》中提出：“严格矿产资源开采准入条件，禁止在生态保护红线内、永久基本农田、城镇开发边界内、自然保护区、饮用水水源保护区、地质遗迹保护区、文物保护单位的保护范围内新批固体矿产资源开发项目，严格控制国家公益林、水土流失重点预防区、水土流失重点治理区内固体矿产资源开发。按照矿山开采管理要求，编制相关规划，健全绿色矿山建设制度和保障措施，提高“三率”水平，推进“三废”利用，减少废弃物排放，全面推进绿色矿山建设。加快平川镇、板桥镇、倪家营镇、鸭暖镇、新华镇等乡镇的废弃矿山修复，通过矿区及周边生态复绿、采场截水沟、养护道路以及泥石流治理等工程措施，恢复工矿用地生产及生态功能。”</w:t>
            </w:r>
          </w:p>
          <w:p w14:paraId="0DBCD4A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kern w:val="0"/>
                <w:sz w:val="24"/>
                <w:lang w:val="en-US" w:eastAsia="zh-CN"/>
              </w:rPr>
            </w:pPr>
            <w:r>
              <w:rPr>
                <w:rFonts w:hint="eastAsia" w:ascii="Times New Roman" w:hAnsi="Times New Roman" w:eastAsia="仿宋" w:cs="Times New Roman"/>
                <w:color w:val="FF0000"/>
                <w:kern w:val="0"/>
                <w:sz w:val="24"/>
                <w:lang w:val="en-US" w:eastAsia="zh-CN"/>
              </w:rPr>
              <w:t>本项目</w:t>
            </w:r>
            <w:r>
              <w:rPr>
                <w:rFonts w:hint="eastAsia" w:ascii="Times New Roman" w:hAnsi="Times New Roman" w:eastAsia="仿宋" w:cs="Times New Roman"/>
                <w:color w:val="FF0000"/>
                <w:sz w:val="24"/>
                <w:lang w:val="en-US" w:eastAsia="zh-CN"/>
              </w:rPr>
              <w:t>属于冶金用石英岩矿开采及加工</w:t>
            </w:r>
            <w:r>
              <w:rPr>
                <w:rFonts w:hint="default" w:ascii="Times New Roman" w:hAnsi="Times New Roman" w:eastAsia="仿宋" w:cs="Times New Roman"/>
                <w:color w:val="FF0000"/>
                <w:sz w:val="24"/>
                <w:lang w:val="en-US" w:eastAsia="zh-CN"/>
              </w:rPr>
              <w:t>建设项目</w:t>
            </w:r>
            <w:r>
              <w:rPr>
                <w:rFonts w:hint="eastAsia" w:ascii="Times New Roman" w:hAnsi="Times New Roman" w:eastAsia="仿宋" w:cs="Times New Roman"/>
                <w:color w:val="FF0000"/>
                <w:sz w:val="24"/>
                <w:lang w:val="en-US" w:eastAsia="zh-CN"/>
              </w:rPr>
              <w:t>，开采规模</w:t>
            </w:r>
            <w:r>
              <w:rPr>
                <w:rFonts w:hint="eastAsia" w:ascii="Times New Roman" w:hAnsi="Times New Roman" w:eastAsia="仿宋" w:cs="Times New Roman"/>
                <w:color w:val="FF0000"/>
                <w:kern w:val="0"/>
                <w:sz w:val="24"/>
                <w:lang w:val="en-US" w:eastAsia="zh-CN"/>
              </w:rPr>
              <w:t>为</w:t>
            </w:r>
            <w:r>
              <w:rPr>
                <w:rFonts w:hint="eastAsia" w:eastAsia="仿宋" w:cs="Times New Roman"/>
                <w:color w:val="FF0000"/>
                <w:kern w:val="0"/>
                <w:sz w:val="24"/>
                <w:lang w:val="en-US" w:eastAsia="zh-CN"/>
              </w:rPr>
              <w:t>10</w:t>
            </w:r>
            <w:r>
              <w:rPr>
                <w:rFonts w:hint="eastAsia" w:ascii="Times New Roman" w:hAnsi="Times New Roman" w:eastAsia="仿宋" w:cs="Times New Roman"/>
                <w:color w:val="FF0000"/>
                <w:kern w:val="0"/>
                <w:sz w:val="24"/>
                <w:lang w:val="en-US" w:eastAsia="zh-CN"/>
              </w:rPr>
              <w:t>万</w:t>
            </w:r>
            <w:r>
              <w:rPr>
                <w:rFonts w:hint="eastAsia" w:eastAsia="仿宋" w:cs="Times New Roman"/>
                <w:color w:val="FF0000"/>
                <w:kern w:val="0"/>
                <w:sz w:val="24"/>
                <w:lang w:val="en-US" w:eastAsia="zh-CN"/>
              </w:rPr>
              <w:t>t</w:t>
            </w:r>
            <w:r>
              <w:rPr>
                <w:rFonts w:hint="default" w:ascii="Times New Roman" w:hAnsi="Times New Roman" w:eastAsia="仿宋" w:cs="Times New Roman"/>
                <w:color w:val="FF0000"/>
                <w:kern w:val="0"/>
                <w:sz w:val="24"/>
                <w:lang w:val="en-US" w:eastAsia="zh-CN"/>
              </w:rPr>
              <w:t>/</w:t>
            </w:r>
            <w:r>
              <w:rPr>
                <w:rFonts w:hint="eastAsia" w:ascii="Times New Roman" w:hAnsi="Times New Roman" w:eastAsia="仿宋" w:cs="Times New Roman"/>
                <w:color w:val="FF0000"/>
                <w:kern w:val="0"/>
                <w:sz w:val="24"/>
                <w:lang w:val="en-US" w:eastAsia="zh-CN"/>
              </w:rPr>
              <w:t>年，开采方式为</w:t>
            </w:r>
            <w:r>
              <w:rPr>
                <w:rFonts w:hint="eastAsia" w:eastAsia="仿宋" w:cs="Times New Roman"/>
                <w:color w:val="FF0000"/>
                <w:kern w:val="0"/>
                <w:sz w:val="24"/>
                <w:lang w:val="en-US" w:eastAsia="zh-CN"/>
              </w:rPr>
              <w:t>露天</w:t>
            </w:r>
            <w:r>
              <w:rPr>
                <w:rFonts w:hint="eastAsia" w:ascii="Times New Roman" w:hAnsi="Times New Roman" w:eastAsia="仿宋" w:cs="Times New Roman"/>
                <w:color w:val="FF0000"/>
                <w:kern w:val="0"/>
                <w:sz w:val="24"/>
                <w:lang w:val="en-US" w:eastAsia="zh-CN"/>
              </w:rPr>
              <w:t>开采；经“三线一单”核查，本项目位于</w:t>
            </w:r>
            <w:r>
              <w:rPr>
                <w:rFonts w:hint="eastAsia" w:eastAsia="仿宋" w:cs="Times New Roman"/>
                <w:color w:val="FF0000"/>
                <w:kern w:val="0"/>
                <w:sz w:val="24"/>
                <w:lang w:val="en-US" w:eastAsia="zh-CN"/>
              </w:rPr>
              <w:t>重点管控单元和</w:t>
            </w:r>
            <w:r>
              <w:rPr>
                <w:rFonts w:hint="eastAsia" w:ascii="Times New Roman" w:hAnsi="Times New Roman" w:eastAsia="仿宋" w:cs="Times New Roman"/>
                <w:color w:val="FF0000"/>
                <w:kern w:val="0"/>
                <w:sz w:val="24"/>
                <w:lang w:val="en-US" w:eastAsia="zh-CN"/>
              </w:rPr>
              <w:t>一般管控单元，不涉及生态红线</w:t>
            </w:r>
            <w:r>
              <w:rPr>
                <w:rFonts w:hint="eastAsia" w:eastAsia="仿宋" w:cs="Times New Roman"/>
                <w:color w:val="FF0000"/>
                <w:kern w:val="0"/>
                <w:sz w:val="24"/>
                <w:lang w:val="en-US" w:eastAsia="zh-CN"/>
              </w:rPr>
              <w:t>、永久基本农田、城镇开发边界、自然保护区、饮用水水源保护区等</w:t>
            </w:r>
            <w:r>
              <w:rPr>
                <w:rFonts w:hint="eastAsia" w:ascii="Times New Roman" w:hAnsi="Times New Roman" w:eastAsia="仿宋" w:cs="Times New Roman"/>
                <w:color w:val="FF0000"/>
                <w:kern w:val="0"/>
                <w:sz w:val="24"/>
                <w:lang w:val="en-US" w:eastAsia="zh-CN"/>
              </w:rPr>
              <w:t>；同时，</w:t>
            </w:r>
            <w:r>
              <w:rPr>
                <w:rFonts w:hint="eastAsia" w:eastAsia="仿宋" w:cs="Times New Roman"/>
                <w:color w:val="FF0000"/>
                <w:kern w:val="0"/>
                <w:sz w:val="24"/>
                <w:lang w:val="en-US" w:eastAsia="zh-CN"/>
              </w:rPr>
              <w:t>企业已编制完成《临泽县金源矿业有限责任公司平川镇羊圈湾冶金用石英岩矿开采方案于矿区生态修复方案》</w:t>
            </w:r>
            <w:r>
              <w:rPr>
                <w:rFonts w:hint="eastAsia" w:ascii="Times New Roman" w:hAnsi="Times New Roman" w:eastAsia="仿宋" w:cs="Times New Roman"/>
                <w:color w:val="FF0000"/>
                <w:kern w:val="0"/>
                <w:sz w:val="24"/>
                <w:lang w:val="en-US" w:eastAsia="zh-CN"/>
              </w:rPr>
              <w:t>，</w:t>
            </w:r>
            <w:r>
              <w:rPr>
                <w:rFonts w:hint="eastAsia" w:eastAsia="仿宋" w:cs="Times New Roman"/>
                <w:color w:val="FF0000"/>
                <w:kern w:val="0"/>
                <w:sz w:val="24"/>
                <w:lang w:val="en-US" w:eastAsia="zh-CN"/>
              </w:rPr>
              <w:t>并对前期历史遗留的生态环境进行了生态修复，</w:t>
            </w:r>
            <w:r>
              <w:rPr>
                <w:rFonts w:hint="eastAsia" w:ascii="Times New Roman" w:hAnsi="Times New Roman" w:eastAsia="仿宋" w:cs="Times New Roman"/>
                <w:color w:val="FF0000"/>
                <w:kern w:val="0"/>
                <w:sz w:val="24"/>
                <w:lang w:val="en-US" w:eastAsia="zh-CN"/>
              </w:rPr>
              <w:t>企</w:t>
            </w:r>
            <w:r>
              <w:rPr>
                <w:rFonts w:hint="eastAsia" w:eastAsia="仿宋" w:cs="Times New Roman"/>
                <w:color w:val="FF0000"/>
                <w:kern w:val="0"/>
                <w:sz w:val="24"/>
                <w:lang w:val="en-US" w:eastAsia="zh-CN"/>
              </w:rPr>
              <w:t>业在</w:t>
            </w:r>
            <w:r>
              <w:rPr>
                <w:rFonts w:hint="eastAsia" w:ascii="Times New Roman" w:hAnsi="Times New Roman" w:eastAsia="仿宋" w:cs="Times New Roman"/>
                <w:color w:val="FF0000"/>
                <w:kern w:val="0"/>
                <w:sz w:val="24"/>
                <w:lang w:val="en-US" w:eastAsia="zh-CN"/>
              </w:rPr>
              <w:t>开采</w:t>
            </w:r>
            <w:r>
              <w:rPr>
                <w:rFonts w:hint="eastAsia" w:eastAsia="仿宋" w:cs="Times New Roman"/>
                <w:color w:val="FF0000"/>
                <w:kern w:val="0"/>
                <w:sz w:val="24"/>
                <w:lang w:val="en-US" w:eastAsia="zh-CN"/>
              </w:rPr>
              <w:t>期和恢复期间内将</w:t>
            </w:r>
            <w:r>
              <w:rPr>
                <w:rFonts w:hint="eastAsia" w:ascii="Times New Roman" w:hAnsi="Times New Roman" w:eastAsia="仿宋" w:cs="Times New Roman"/>
                <w:color w:val="FF0000"/>
                <w:kern w:val="0"/>
                <w:sz w:val="24"/>
                <w:lang w:val="en-US" w:eastAsia="zh-CN"/>
              </w:rPr>
              <w:t>认真履行矿山地质环境恢复治理和土地复垦义务，切实做到‘谁开发、谁保护，谁破坏、谁治理’，因地制宜开展矿山生态修复。因此，本项目符合《临泽县国土空间总体规划（2021-2035年）》的相关要求。</w:t>
            </w:r>
          </w:p>
        </w:tc>
      </w:tr>
      <w:tr w14:paraId="337447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492" w:hRule="atLeast"/>
          <w:jc w:val="center"/>
        </w:trPr>
        <w:tc>
          <w:tcPr>
            <w:tcW w:w="609" w:type="pct"/>
            <w:tcMar>
              <w:top w:w="16" w:type="dxa"/>
              <w:left w:w="16" w:type="dxa"/>
              <w:right w:w="16" w:type="dxa"/>
            </w:tcMar>
            <w:vAlign w:val="center"/>
          </w:tcPr>
          <w:p w14:paraId="5E22CC09">
            <w:pPr>
              <w:autoSpaceDE w:val="0"/>
              <w:autoSpaceDN w:val="0"/>
              <w:adjustRightInd w:val="0"/>
              <w:snapToGrid w:val="0"/>
              <w:jc w:val="center"/>
              <w:rPr>
                <w:rFonts w:hint="default" w:ascii="Times New Roman" w:hAnsi="Times New Roman" w:eastAsia="仿宋" w:cs="Times New Roman"/>
                <w:color w:val="auto"/>
                <w:kern w:val="0"/>
                <w:szCs w:val="21"/>
                <w:highlight w:val="none"/>
              </w:rPr>
            </w:pPr>
            <w:r>
              <w:rPr>
                <w:rFonts w:hint="default" w:ascii="Times New Roman" w:hAnsi="Times New Roman" w:eastAsia="仿宋" w:cs="Times New Roman"/>
                <w:color w:val="auto"/>
                <w:kern w:val="0"/>
                <w:sz w:val="24"/>
                <w:szCs w:val="24"/>
                <w:highlight w:val="none"/>
              </w:rPr>
              <w:t>其他符合性分析</w:t>
            </w:r>
          </w:p>
        </w:tc>
        <w:tc>
          <w:tcPr>
            <w:tcW w:w="4390" w:type="pct"/>
            <w:gridSpan w:val="6"/>
            <w:tcMar>
              <w:top w:w="16" w:type="dxa"/>
              <w:left w:w="16" w:type="dxa"/>
              <w:right w:w="16" w:type="dxa"/>
            </w:tcMar>
            <w:vAlign w:val="center"/>
          </w:tcPr>
          <w:p w14:paraId="797B347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eastAsia="仿宋"/>
                <w:b/>
                <w:color w:val="000000" w:themeColor="text1"/>
                <w:sz w:val="24"/>
                <w14:textFill>
                  <w14:solidFill>
                    <w14:schemeClr w14:val="tx1"/>
                  </w14:solidFill>
                </w14:textFill>
              </w:rPr>
            </w:pPr>
            <w:r>
              <w:rPr>
                <w:rFonts w:hint="eastAsia" w:eastAsia="仿宋"/>
                <w:b/>
                <w:color w:val="000000" w:themeColor="text1"/>
                <w:sz w:val="24"/>
                <w:lang w:eastAsia="zh-CN"/>
                <w14:textFill>
                  <w14:solidFill>
                    <w14:schemeClr w14:val="tx1"/>
                  </w14:solidFill>
                </w14:textFill>
              </w:rPr>
              <w:t>1.</w:t>
            </w:r>
            <w:r>
              <w:rPr>
                <w:rFonts w:eastAsia="仿宋"/>
                <w:b/>
                <w:color w:val="000000" w:themeColor="text1"/>
                <w:sz w:val="24"/>
                <w14:textFill>
                  <w14:solidFill>
                    <w14:schemeClr w14:val="tx1"/>
                  </w14:solidFill>
                </w14:textFill>
              </w:rPr>
              <w:t>与</w:t>
            </w:r>
            <w:r>
              <w:rPr>
                <w:rFonts w:hint="eastAsia" w:eastAsia="仿宋"/>
                <w:b/>
                <w:color w:val="000000" w:themeColor="text1"/>
                <w:sz w:val="24"/>
                <w:lang w:val="en-US" w:eastAsia="zh-CN"/>
                <w14:textFill>
                  <w14:solidFill>
                    <w14:schemeClr w14:val="tx1"/>
                  </w14:solidFill>
                </w14:textFill>
              </w:rPr>
              <w:t>生态环境分区管控</w:t>
            </w:r>
            <w:r>
              <w:rPr>
                <w:rFonts w:eastAsia="仿宋"/>
                <w:b/>
                <w:color w:val="000000" w:themeColor="text1"/>
                <w:sz w:val="24"/>
                <w14:textFill>
                  <w14:solidFill>
                    <w14:schemeClr w14:val="tx1"/>
                  </w14:solidFill>
                </w14:textFill>
              </w:rPr>
              <w:t>符合性分析</w:t>
            </w:r>
          </w:p>
          <w:p w14:paraId="31EBDDF2">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根据甘肃省生态环境厅于2024年2月20日发布《关于实施“三线一单”生态环境分区管控动态更新成果的通知》（甘环发〔2024〕18号）、《张掖市生态环境局关于实施“三线一单”生态环境分区管控动态更新成果的通知》（张环发</w:t>
            </w:r>
            <w:r>
              <w:rPr>
                <w:rFonts w:hint="eastAsia" w:eastAsia="仿宋"/>
                <w:color w:val="000000" w:themeColor="text1"/>
                <w:sz w:val="24"/>
                <w14:textFill>
                  <w14:solidFill>
                    <w14:schemeClr w14:val="tx1"/>
                  </w14:solidFill>
                </w14:textFill>
              </w:rPr>
              <w:t>〔2024〕10号</w:t>
            </w:r>
            <w:r>
              <w:rPr>
                <w:rFonts w:eastAsia="仿宋"/>
                <w:color w:val="000000" w:themeColor="text1"/>
                <w:sz w:val="24"/>
                <w14:textFill>
                  <w14:solidFill>
                    <w14:schemeClr w14:val="tx1"/>
                  </w14:solidFill>
                </w14:textFill>
              </w:rPr>
              <w:t>）和《张掖市生态环境准入清单》可知</w:t>
            </w:r>
            <w:r>
              <w:rPr>
                <w:rFonts w:ascii="Times New Roman" w:hAnsi="Times New Roman" w:eastAsia="仿宋" w:cs="Times New Roman"/>
                <w:color w:val="000000" w:themeColor="text1"/>
                <w:sz w:val="24"/>
                <w14:textFill>
                  <w14:solidFill>
                    <w14:schemeClr w14:val="tx1"/>
                  </w14:solidFill>
                </w14:textFill>
              </w:rPr>
              <w:t>，本项目所在地为重点管控单元（</w:t>
            </w:r>
            <w:r>
              <w:rPr>
                <w:rFonts w:hint="eastAsia" w:ascii="Times New Roman" w:hAnsi="Times New Roman" w:eastAsia="仿宋" w:cs="Times New Roman"/>
                <w:color w:val="000000" w:themeColor="text1"/>
                <w:sz w:val="24"/>
                <w:lang w:val="en-US" w:eastAsia="zh-CN"/>
                <w14:textFill>
                  <w14:solidFill>
                    <w14:schemeClr w14:val="tx1"/>
                  </w14:solidFill>
                </w14:textFill>
              </w:rPr>
              <w:t>临泽县城镇空间</w:t>
            </w:r>
            <w:r>
              <w:rPr>
                <w:rFonts w:ascii="Times New Roman" w:hAnsi="Times New Roman" w:eastAsia="仿宋" w:cs="Times New Roman"/>
                <w:color w:val="000000" w:themeColor="text1"/>
                <w:sz w:val="24"/>
                <w14:textFill>
                  <w14:solidFill>
                    <w14:schemeClr w14:val="tx1"/>
                  </w14:solidFill>
                </w14:textFill>
              </w:rPr>
              <w:t>，编码ZH62072320004），</w:t>
            </w:r>
            <w:r>
              <w:rPr>
                <w:rFonts w:hint="eastAsia" w:ascii="Times New Roman" w:hAnsi="Times New Roman" w:eastAsia="仿宋" w:cs="Times New Roman"/>
                <w:color w:val="000000" w:themeColor="text1"/>
                <w:sz w:val="24"/>
                <w:lang w:val="en-US" w:eastAsia="zh-CN"/>
                <w14:textFill>
                  <w14:solidFill>
                    <w14:schemeClr w14:val="tx1"/>
                  </w14:solidFill>
                </w14:textFill>
              </w:rPr>
              <w:t>一般</w:t>
            </w:r>
            <w:r>
              <w:rPr>
                <w:rFonts w:ascii="Times New Roman" w:hAnsi="Times New Roman" w:eastAsia="仿宋" w:cs="Times New Roman"/>
                <w:color w:val="000000" w:themeColor="text1"/>
                <w:sz w:val="24"/>
                <w14:textFill>
                  <w14:solidFill>
                    <w14:schemeClr w14:val="tx1"/>
                  </w14:solidFill>
                </w14:textFill>
              </w:rPr>
              <w:t>管控单元（</w:t>
            </w:r>
            <w:r>
              <w:rPr>
                <w:rFonts w:hint="eastAsia" w:ascii="Times New Roman" w:hAnsi="Times New Roman" w:eastAsia="仿宋" w:cs="Times New Roman"/>
                <w:color w:val="000000" w:themeColor="text1"/>
                <w:sz w:val="24"/>
                <w:lang w:val="en-US" w:eastAsia="zh-CN"/>
                <w14:textFill>
                  <w14:solidFill>
                    <w14:schemeClr w14:val="tx1"/>
                  </w14:solidFill>
                </w14:textFill>
              </w:rPr>
              <w:t>临泽县一般管控单元</w:t>
            </w:r>
            <w:r>
              <w:rPr>
                <w:rFonts w:ascii="Times New Roman" w:hAnsi="Times New Roman" w:eastAsia="仿宋" w:cs="Times New Roman"/>
                <w:color w:val="000000" w:themeColor="text1"/>
                <w:sz w:val="24"/>
                <w14:textFill>
                  <w14:solidFill>
                    <w14:schemeClr w14:val="tx1"/>
                  </w14:solidFill>
                </w14:textFill>
              </w:rPr>
              <w:t>，编码ZH62072330001）</w:t>
            </w:r>
            <w:r>
              <w:rPr>
                <w:rFonts w:hint="eastAsia" w:ascii="Times New Roman" w:hAnsi="Times New Roman" w:eastAsia="仿宋" w:cs="Times New Roman"/>
                <w:color w:val="000000" w:themeColor="text1"/>
                <w:sz w:val="24"/>
                <w:lang w:eastAsia="zh-CN"/>
                <w14:textFill>
                  <w14:solidFill>
                    <w14:schemeClr w14:val="tx1"/>
                  </w14:solidFill>
                </w14:textFill>
              </w:rPr>
              <w:t>，</w:t>
            </w:r>
            <w:r>
              <w:rPr>
                <w:rFonts w:ascii="Times New Roman" w:hAnsi="Times New Roman" w:eastAsia="仿宋" w:cs="Times New Roman"/>
                <w:color w:val="000000" w:themeColor="text1"/>
                <w:sz w:val="24"/>
                <w14:textFill>
                  <w14:solidFill>
                    <w14:schemeClr w14:val="tx1"/>
                  </w14:solidFill>
                </w14:textFill>
              </w:rPr>
              <w:t>不涉及</w:t>
            </w:r>
            <w:r>
              <w:rPr>
                <w:rFonts w:eastAsia="仿宋"/>
                <w:color w:val="000000" w:themeColor="text1"/>
                <w:sz w:val="24"/>
                <w14:textFill>
                  <w14:solidFill>
                    <w14:schemeClr w14:val="tx1"/>
                  </w14:solidFill>
                </w14:textFill>
              </w:rPr>
              <w:t>生态红线区域，符合</w:t>
            </w:r>
            <w:r>
              <w:rPr>
                <w:rFonts w:hint="eastAsia" w:ascii="Times New Roman" w:hAnsi="Times New Roman" w:eastAsia="仿宋" w:cs="Times New Roman"/>
                <w:color w:val="000000" w:themeColor="text1"/>
                <w:sz w:val="24"/>
                <w:lang w:val="en-US" w:eastAsia="zh-CN"/>
                <w14:textFill>
                  <w14:solidFill>
                    <w14:schemeClr w14:val="tx1"/>
                  </w14:solidFill>
                </w14:textFill>
              </w:rPr>
              <w:t>生态环境分区管控</w:t>
            </w:r>
            <w:r>
              <w:rPr>
                <w:rFonts w:ascii="Times New Roman" w:hAnsi="Times New Roman" w:eastAsia="仿宋" w:cs="Times New Roman"/>
                <w:color w:val="000000" w:themeColor="text1"/>
                <w:sz w:val="24"/>
                <w14:textFill>
                  <w14:solidFill>
                    <w14:schemeClr w14:val="tx1"/>
                  </w14:solidFill>
                </w14:textFill>
              </w:rPr>
              <w:t>要</w:t>
            </w:r>
            <w:r>
              <w:rPr>
                <w:rFonts w:eastAsia="仿宋"/>
                <w:color w:val="000000" w:themeColor="text1"/>
                <w:sz w:val="24"/>
                <w14:textFill>
                  <w14:solidFill>
                    <w14:schemeClr w14:val="tx1"/>
                  </w14:solidFill>
                </w14:textFill>
              </w:rPr>
              <w:t>求。甘肃省“三线一单”图见图</w:t>
            </w:r>
            <w:r>
              <w:rPr>
                <w:rFonts w:hint="eastAsia" w:eastAsia="仿宋"/>
                <w:color w:val="000000" w:themeColor="text1"/>
                <w:sz w:val="24"/>
                <w:lang w:val="en-US" w:eastAsia="zh-CN"/>
                <w14:textFill>
                  <w14:solidFill>
                    <w14:schemeClr w14:val="tx1"/>
                  </w14:solidFill>
                </w14:textFill>
              </w:rPr>
              <w:t>1</w:t>
            </w:r>
            <w:r>
              <w:rPr>
                <w:rFonts w:eastAsia="仿宋"/>
                <w:color w:val="000000" w:themeColor="text1"/>
                <w:sz w:val="24"/>
                <w14:textFill>
                  <w14:solidFill>
                    <w14:schemeClr w14:val="tx1"/>
                  </w14:solidFill>
                </w14:textFill>
              </w:rPr>
              <w:t>，张掖市“三线一单”图见图</w:t>
            </w:r>
            <w:r>
              <w:rPr>
                <w:rFonts w:hint="eastAsia" w:eastAsia="仿宋"/>
                <w:color w:val="000000" w:themeColor="text1"/>
                <w:sz w:val="24"/>
                <w:lang w:val="en-US" w:eastAsia="zh-CN"/>
                <w14:textFill>
                  <w14:solidFill>
                    <w14:schemeClr w14:val="tx1"/>
                  </w14:solidFill>
                </w14:textFill>
              </w:rPr>
              <w:t>2</w:t>
            </w:r>
            <w:r>
              <w:rPr>
                <w:rFonts w:eastAsia="仿宋"/>
                <w:color w:val="000000" w:themeColor="text1"/>
                <w:sz w:val="24"/>
                <w14:textFill>
                  <w14:solidFill>
                    <w14:schemeClr w14:val="tx1"/>
                  </w14:solidFill>
                </w14:textFill>
              </w:rPr>
              <w:t>。</w:t>
            </w:r>
          </w:p>
          <w:p w14:paraId="5AE38E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pPr>
          </w:p>
          <w:p w14:paraId="4FC01E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pPr>
          </w:p>
          <w:p w14:paraId="532BAF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pPr>
          </w:p>
          <w:p w14:paraId="7CF9D2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pPr>
          </w:p>
          <w:p w14:paraId="47C635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pPr>
          </w:p>
          <w:p w14:paraId="67F324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pPr>
          </w:p>
          <w:p w14:paraId="329D70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pPr>
          </w:p>
          <w:p w14:paraId="2DCB93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pPr>
          </w:p>
          <w:p w14:paraId="72B3CD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pPr>
            <w:r>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t>表</w:t>
            </w:r>
            <w:r>
              <w:rPr>
                <w:rFonts w:hint="eastAsia" w:eastAsia="仿宋" w:cs="Times New Roman"/>
                <w:b/>
                <w:bCs/>
                <w:snapToGrid w:val="0"/>
                <w:color w:val="000000" w:themeColor="text1"/>
                <w:kern w:val="0"/>
                <w:szCs w:val="21"/>
                <w:lang w:val="en-US" w:eastAsia="zh-CN"/>
                <w14:textFill>
                  <w14:solidFill>
                    <w14:schemeClr w14:val="tx1"/>
                  </w14:solidFill>
                </w14:textFill>
              </w:rPr>
              <w:t>2</w:t>
            </w:r>
            <w:r>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t xml:space="preserve">  </w:t>
            </w:r>
            <w:r>
              <w:rPr>
                <w:rFonts w:hint="eastAsia" w:eastAsia="仿宋" w:cs="Times New Roman"/>
                <w:b/>
                <w:bCs/>
                <w:snapToGrid w:val="0"/>
                <w:color w:val="000000" w:themeColor="text1"/>
                <w:kern w:val="0"/>
                <w:szCs w:val="21"/>
                <w:lang w:val="en-US" w:eastAsia="zh-CN"/>
                <w14:textFill>
                  <w14:solidFill>
                    <w14:schemeClr w14:val="tx1"/>
                  </w14:solidFill>
                </w14:textFill>
              </w:rPr>
              <w:t>生态环境分区管控</w:t>
            </w:r>
            <w:r>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t>符合性分析</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92"/>
              <w:gridCol w:w="466"/>
              <w:gridCol w:w="2732"/>
              <w:gridCol w:w="2380"/>
              <w:gridCol w:w="931"/>
            </w:tblGrid>
            <w:tr w14:paraId="13DD04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68" w:hRule="atLeast"/>
                <w:jc w:val="center"/>
              </w:trPr>
              <w:tc>
                <w:tcPr>
                  <w:tcW w:w="792" w:type="dxa"/>
                  <w:tcBorders>
                    <w:tl2br w:val="nil"/>
                    <w:tr2bl w:val="nil"/>
                  </w:tcBorders>
                  <w:noWrap w:val="0"/>
                  <w:vAlign w:val="center"/>
                </w:tcPr>
                <w:p w14:paraId="5FF30E07">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内容</w:t>
                  </w:r>
                </w:p>
              </w:tc>
              <w:tc>
                <w:tcPr>
                  <w:tcW w:w="3198" w:type="dxa"/>
                  <w:gridSpan w:val="2"/>
                  <w:tcBorders>
                    <w:tl2br w:val="nil"/>
                    <w:tr2bl w:val="nil"/>
                  </w:tcBorders>
                  <w:noWrap w:val="0"/>
                  <w:vAlign w:val="center"/>
                </w:tcPr>
                <w:p w14:paraId="62CA5A43">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定义</w:t>
                  </w:r>
                </w:p>
              </w:tc>
              <w:tc>
                <w:tcPr>
                  <w:tcW w:w="2380" w:type="dxa"/>
                  <w:tcBorders>
                    <w:tl2br w:val="nil"/>
                    <w:tr2bl w:val="nil"/>
                  </w:tcBorders>
                  <w:noWrap w:val="0"/>
                  <w:vAlign w:val="center"/>
                </w:tcPr>
                <w:p w14:paraId="1259BC4A">
                  <w:pPr>
                    <w:keepNext w:val="0"/>
                    <w:keepLines w:val="0"/>
                    <w:pageBreakBefore w:val="0"/>
                    <w:kinsoku/>
                    <w:wordWrap/>
                    <w:overflowPunct/>
                    <w:topLinePunct w:val="0"/>
                    <w:autoSpaceDE/>
                    <w:autoSpaceDN/>
                    <w:bidi w:val="0"/>
                    <w:adjustRightInd w:val="0"/>
                    <w:snapToGrid w:val="0"/>
                    <w:ind w:firstLine="420" w:firstLineChars="200"/>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符合性分析</w:t>
                  </w:r>
                </w:p>
              </w:tc>
              <w:tc>
                <w:tcPr>
                  <w:tcW w:w="931" w:type="dxa"/>
                  <w:tcBorders>
                    <w:tl2br w:val="nil"/>
                    <w:tr2bl w:val="nil"/>
                  </w:tcBorders>
                  <w:noWrap w:val="0"/>
                  <w:vAlign w:val="center"/>
                </w:tcPr>
                <w:p w14:paraId="57088263">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符合性</w:t>
                  </w:r>
                </w:p>
              </w:tc>
            </w:tr>
            <w:tr w14:paraId="516BFC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891" w:hRule="atLeast"/>
                <w:jc w:val="center"/>
              </w:trPr>
              <w:tc>
                <w:tcPr>
                  <w:tcW w:w="792" w:type="dxa"/>
                  <w:vMerge w:val="restart"/>
                  <w:tcBorders>
                    <w:tl2br w:val="nil"/>
                    <w:tr2bl w:val="nil"/>
                  </w:tcBorders>
                  <w:noWrap w:val="0"/>
                  <w:vAlign w:val="center"/>
                </w:tcPr>
                <w:p w14:paraId="5FCF1B40">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lang w:val="en-US" w:eastAsia="zh-CN"/>
                      <w14:textFill>
                        <w14:solidFill>
                          <w14:schemeClr w14:val="tx1"/>
                        </w14:solidFill>
                      </w14:textFill>
                    </w:rPr>
                  </w:pPr>
                  <w:r>
                    <w:rPr>
                      <w:rFonts w:hint="default" w:ascii="Times New Roman" w:hAnsi="Times New Roman" w:eastAsia="仿宋" w:cs="Times New Roman"/>
                      <w:color w:val="000000" w:themeColor="text1"/>
                      <w:lang w:val="en-US" w:eastAsia="zh-CN"/>
                      <w14:textFill>
                        <w14:solidFill>
                          <w14:schemeClr w14:val="tx1"/>
                        </w14:solidFill>
                      </w14:textFill>
                    </w:rPr>
                    <w:t>临泽县城镇空间（</w:t>
                  </w:r>
                  <w:r>
                    <w:rPr>
                      <w:rFonts w:hint="default" w:ascii="Times New Roman" w:hAnsi="Times New Roman" w:eastAsia="仿宋" w:cs="Times New Roman"/>
                      <w:color w:val="000000" w:themeColor="text1"/>
                      <w14:textFill>
                        <w14:solidFill>
                          <w14:schemeClr w14:val="tx1"/>
                        </w14:solidFill>
                      </w14:textFill>
                    </w:rPr>
                    <w:t>编码ZH62072320004</w:t>
                  </w:r>
                  <w:r>
                    <w:rPr>
                      <w:rFonts w:hint="default" w:ascii="Times New Roman" w:hAnsi="Times New Roman" w:eastAsia="仿宋" w:cs="Times New Roman"/>
                      <w:color w:val="000000" w:themeColor="text1"/>
                      <w:lang w:val="en-US" w:eastAsia="zh-CN"/>
                      <w14:textFill>
                        <w14:solidFill>
                          <w14:schemeClr w14:val="tx1"/>
                        </w14:solidFill>
                      </w14:textFill>
                    </w:rPr>
                    <w:t>）</w:t>
                  </w:r>
                </w:p>
              </w:tc>
              <w:tc>
                <w:tcPr>
                  <w:tcW w:w="466" w:type="dxa"/>
                  <w:tcBorders>
                    <w:tl2br w:val="nil"/>
                    <w:tr2bl w:val="nil"/>
                  </w:tcBorders>
                  <w:noWrap w:val="0"/>
                  <w:vAlign w:val="center"/>
                </w:tcPr>
                <w:p w14:paraId="63983CC5">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空间布局约束</w:t>
                  </w:r>
                </w:p>
              </w:tc>
              <w:tc>
                <w:tcPr>
                  <w:tcW w:w="2732" w:type="dxa"/>
                  <w:tcBorders>
                    <w:tl2br w:val="nil"/>
                    <w:tr2bl w:val="nil"/>
                  </w:tcBorders>
                  <w:noWrap w:val="0"/>
                  <w:vAlign w:val="center"/>
                </w:tcPr>
                <w:p w14:paraId="165F91E1">
                  <w:pPr>
                    <w:pStyle w:val="52"/>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420" w:firstLineChars="200"/>
                    <w:jc w:val="both"/>
                    <w:textAlignment w:val="auto"/>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t>1.执行全省及张掖市生态环境总体准入清单中关于重点管控单元空间布局约束要求。落实主体功能区规划、国土空间规划等要求。</w:t>
                  </w:r>
                </w:p>
                <w:p w14:paraId="3E7F6445">
                  <w:pPr>
                    <w:pStyle w:val="52"/>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420" w:firstLineChars="200"/>
                    <w:jc w:val="both"/>
                    <w:textAlignment w:val="auto"/>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t>2.不得在县城及乡镇规划区周边500米范围内布局养殖区。</w:t>
                  </w:r>
                </w:p>
              </w:tc>
              <w:tc>
                <w:tcPr>
                  <w:tcW w:w="2380" w:type="dxa"/>
                  <w:tcBorders>
                    <w:tl2br w:val="nil"/>
                    <w:tr2bl w:val="nil"/>
                  </w:tcBorders>
                  <w:noWrap w:val="0"/>
                  <w:vAlign w:val="center"/>
                </w:tcPr>
                <w:p w14:paraId="7AEA81E0">
                  <w:pPr>
                    <w:keepNext w:val="0"/>
                    <w:keepLines w:val="0"/>
                    <w:pageBreakBefore w:val="0"/>
                    <w:numPr>
                      <w:ilvl w:val="0"/>
                      <w:numId w:val="0"/>
                    </w:numPr>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000000" w:themeColor="text1"/>
                      <w:lang w:val="en-US" w:eastAsia="zh-CN"/>
                      <w14:textFill>
                        <w14:solidFill>
                          <w14:schemeClr w14:val="tx1"/>
                        </w14:solidFill>
                      </w14:textFill>
                    </w:rPr>
                  </w:pPr>
                  <w:r>
                    <w:rPr>
                      <w:rFonts w:hint="default" w:ascii="Times New Roman" w:hAnsi="Times New Roman" w:eastAsia="仿宋" w:cs="Times New Roman"/>
                      <w:color w:val="000000" w:themeColor="text1"/>
                      <w:lang w:val="en-US" w:eastAsia="zh-CN"/>
                      <w14:textFill>
                        <w14:solidFill>
                          <w14:schemeClr w14:val="tx1"/>
                        </w14:solidFill>
                      </w14:textFill>
                    </w:rPr>
                    <w:t>本项目位于张掖市临泽县平川镇小黑山，项目附近无自然保护区、风景名胜区等特殊环境敏感区，不涉及生态红线，符合重点管控单元空间布局约束要求，符合主体功能区划、国土空间规划等要求；本项目不属于养殖项目。</w:t>
                  </w:r>
                </w:p>
              </w:tc>
              <w:tc>
                <w:tcPr>
                  <w:tcW w:w="931" w:type="dxa"/>
                  <w:vMerge w:val="restart"/>
                  <w:tcBorders>
                    <w:tl2br w:val="nil"/>
                    <w:tr2bl w:val="nil"/>
                  </w:tcBorders>
                  <w:noWrap w:val="0"/>
                  <w:vAlign w:val="center"/>
                </w:tcPr>
                <w:p w14:paraId="6AFC76CF">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lang w:val="en-US" w:eastAsia="zh-CN"/>
                      <w14:textFill>
                        <w14:solidFill>
                          <w14:schemeClr w14:val="tx1"/>
                        </w14:solidFill>
                      </w14:textFill>
                    </w:rPr>
                  </w:pPr>
                  <w:r>
                    <w:rPr>
                      <w:rFonts w:hint="default" w:ascii="Times New Roman" w:hAnsi="Times New Roman" w:eastAsia="仿宋" w:cs="Times New Roman"/>
                      <w:color w:val="000000" w:themeColor="text1"/>
                      <w:lang w:val="en-US" w:eastAsia="zh-CN"/>
                      <w14:textFill>
                        <w14:solidFill>
                          <w14:schemeClr w14:val="tx1"/>
                        </w14:solidFill>
                      </w14:textFill>
                    </w:rPr>
                    <w:t>符合</w:t>
                  </w:r>
                </w:p>
              </w:tc>
            </w:tr>
            <w:tr w14:paraId="0E089B4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891" w:hRule="atLeast"/>
                <w:jc w:val="center"/>
              </w:trPr>
              <w:tc>
                <w:tcPr>
                  <w:tcW w:w="792" w:type="dxa"/>
                  <w:vMerge w:val="continue"/>
                  <w:tcBorders>
                    <w:tl2br w:val="nil"/>
                    <w:tr2bl w:val="nil"/>
                  </w:tcBorders>
                  <w:noWrap w:val="0"/>
                  <w:vAlign w:val="center"/>
                </w:tcPr>
                <w:p w14:paraId="0D113660">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lang w:val="en-US" w:eastAsia="zh-CN"/>
                      <w14:textFill>
                        <w14:solidFill>
                          <w14:schemeClr w14:val="tx1"/>
                        </w14:solidFill>
                      </w14:textFill>
                    </w:rPr>
                  </w:pPr>
                </w:p>
              </w:tc>
              <w:tc>
                <w:tcPr>
                  <w:tcW w:w="466" w:type="dxa"/>
                  <w:tcBorders>
                    <w:tl2br w:val="nil"/>
                    <w:tr2bl w:val="nil"/>
                  </w:tcBorders>
                  <w:noWrap w:val="0"/>
                  <w:vAlign w:val="center"/>
                </w:tcPr>
                <w:p w14:paraId="7622B350">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污染物排 放管控</w:t>
                  </w:r>
                </w:p>
              </w:tc>
              <w:tc>
                <w:tcPr>
                  <w:tcW w:w="2732" w:type="dxa"/>
                  <w:tcBorders>
                    <w:tl2br w:val="nil"/>
                    <w:tr2bl w:val="nil"/>
                  </w:tcBorders>
                  <w:noWrap w:val="0"/>
                  <w:vAlign w:val="center"/>
                </w:tcPr>
                <w:p w14:paraId="114961FF">
                  <w:pPr>
                    <w:pStyle w:val="52"/>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420" w:firstLineChars="200"/>
                    <w:jc w:val="both"/>
                    <w:textAlignment w:val="auto"/>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t>1.执行甘肃省和张掖市生态环境总体准入清单中重点管控单元污染物排放管控要求。推进重点行业水污染治理升级改造，确保污水稳定达标排放。</w:t>
                  </w:r>
                </w:p>
                <w:p w14:paraId="029AA4F3">
                  <w:pPr>
                    <w:keepNext w:val="0"/>
                    <w:keepLines w:val="0"/>
                    <w:pageBreakBefore w:val="0"/>
                    <w:widowControl w:val="0"/>
                    <w:kinsoku/>
                    <w:wordWrap/>
                    <w:overflowPunct/>
                    <w:topLinePunct w:val="0"/>
                    <w:autoSpaceDE/>
                    <w:autoSpaceDN/>
                    <w:bidi w:val="0"/>
                    <w:adjustRightInd w:val="0"/>
                    <w:snapToGrid w:val="0"/>
                    <w:ind w:left="0" w:right="0" w:firstLine="420" w:firstLineChars="200"/>
                    <w:textAlignment w:val="auto"/>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t>2.按照张掖市污染防治年度工作方案，强化城镇生活污染防治。</w:t>
                  </w:r>
                </w:p>
              </w:tc>
              <w:tc>
                <w:tcPr>
                  <w:tcW w:w="2380" w:type="dxa"/>
                  <w:tcBorders>
                    <w:tl2br w:val="nil"/>
                    <w:tr2bl w:val="nil"/>
                  </w:tcBorders>
                  <w:noWrap w:val="0"/>
                  <w:vAlign w:val="center"/>
                </w:tcPr>
                <w:p w14:paraId="0508FAC9">
                  <w:pPr>
                    <w:keepNext w:val="0"/>
                    <w:keepLines w:val="0"/>
                    <w:pageBreakBefore w:val="0"/>
                    <w:numPr>
                      <w:ilvl w:val="0"/>
                      <w:numId w:val="0"/>
                    </w:numPr>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000000" w:themeColor="text1"/>
                      <w:lang w:val="en-US" w:eastAsia="zh-CN"/>
                      <w14:textFill>
                        <w14:solidFill>
                          <w14:schemeClr w14:val="tx1"/>
                        </w14:solidFill>
                      </w14:textFill>
                    </w:rPr>
                  </w:pPr>
                  <w:r>
                    <w:rPr>
                      <w:rFonts w:hint="default" w:ascii="Times New Roman" w:hAnsi="Times New Roman" w:eastAsia="仿宋" w:cs="Times New Roman"/>
                      <w:color w:val="000000" w:themeColor="text1"/>
                      <w:lang w:val="en-US" w:eastAsia="zh-CN"/>
                      <w14:textFill>
                        <w14:solidFill>
                          <w14:schemeClr w14:val="tx1"/>
                        </w14:solidFill>
                      </w14:textFill>
                    </w:rPr>
                    <w:t>本项目废气、废水、噪声、固废，采取相应的环保治理措施后达标排放，对周围环境影响较小。</w:t>
                  </w:r>
                </w:p>
              </w:tc>
              <w:tc>
                <w:tcPr>
                  <w:tcW w:w="931" w:type="dxa"/>
                  <w:vMerge w:val="continue"/>
                  <w:tcBorders>
                    <w:tl2br w:val="nil"/>
                    <w:tr2bl w:val="nil"/>
                  </w:tcBorders>
                  <w:noWrap w:val="0"/>
                  <w:vAlign w:val="center"/>
                </w:tcPr>
                <w:p w14:paraId="0675A635">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p>
              </w:tc>
            </w:tr>
            <w:tr w14:paraId="26F0C9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891" w:hRule="atLeast"/>
                <w:jc w:val="center"/>
              </w:trPr>
              <w:tc>
                <w:tcPr>
                  <w:tcW w:w="792" w:type="dxa"/>
                  <w:vMerge w:val="continue"/>
                  <w:tcBorders>
                    <w:tl2br w:val="nil"/>
                    <w:tr2bl w:val="nil"/>
                  </w:tcBorders>
                  <w:noWrap w:val="0"/>
                  <w:vAlign w:val="center"/>
                </w:tcPr>
                <w:p w14:paraId="5FC22B59">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lang w:val="en-US" w:eastAsia="zh-CN"/>
                      <w14:textFill>
                        <w14:solidFill>
                          <w14:schemeClr w14:val="tx1"/>
                        </w14:solidFill>
                      </w14:textFill>
                    </w:rPr>
                  </w:pPr>
                </w:p>
              </w:tc>
              <w:tc>
                <w:tcPr>
                  <w:tcW w:w="466" w:type="dxa"/>
                  <w:tcBorders>
                    <w:tl2br w:val="nil"/>
                    <w:tr2bl w:val="nil"/>
                  </w:tcBorders>
                  <w:noWrap w:val="0"/>
                  <w:vAlign w:val="center"/>
                </w:tcPr>
                <w:p w14:paraId="054A7CE0">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环境风险防控</w:t>
                  </w:r>
                </w:p>
              </w:tc>
              <w:tc>
                <w:tcPr>
                  <w:tcW w:w="2732" w:type="dxa"/>
                  <w:tcBorders>
                    <w:tl2br w:val="nil"/>
                    <w:tr2bl w:val="nil"/>
                  </w:tcBorders>
                  <w:noWrap w:val="0"/>
                  <w:vAlign w:val="center"/>
                </w:tcPr>
                <w:p w14:paraId="1537C73C">
                  <w:pPr>
                    <w:keepNext w:val="0"/>
                    <w:keepLines w:val="0"/>
                    <w:pageBreakBefore w:val="0"/>
                    <w:widowControl w:val="0"/>
                    <w:kinsoku/>
                    <w:wordWrap/>
                    <w:overflowPunct/>
                    <w:topLinePunct w:val="0"/>
                    <w:autoSpaceDE/>
                    <w:autoSpaceDN/>
                    <w:bidi w:val="0"/>
                    <w:adjustRightInd w:val="0"/>
                    <w:snapToGrid w:val="0"/>
                    <w:ind w:left="0" w:right="0" w:firstLine="420" w:firstLineChars="200"/>
                    <w:textAlignment w:val="auto"/>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t>执行甘肃省和张掖市生态环境总体准入清单中重点管控单元的环境风险防控要求。</w:t>
                  </w:r>
                </w:p>
              </w:tc>
              <w:tc>
                <w:tcPr>
                  <w:tcW w:w="2380" w:type="dxa"/>
                  <w:tcBorders>
                    <w:tl2br w:val="nil"/>
                    <w:tr2bl w:val="nil"/>
                  </w:tcBorders>
                  <w:noWrap w:val="0"/>
                  <w:vAlign w:val="center"/>
                </w:tcPr>
                <w:p w14:paraId="0DA56366">
                  <w:pPr>
                    <w:keepNext w:val="0"/>
                    <w:keepLines w:val="0"/>
                    <w:pageBreakBefore w:val="0"/>
                    <w:numPr>
                      <w:ilvl w:val="0"/>
                      <w:numId w:val="0"/>
                    </w:numPr>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000000" w:themeColor="text1"/>
                      <w:lang w:val="en-US" w:eastAsia="zh-CN"/>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本项目</w:t>
                  </w:r>
                  <w:r>
                    <w:rPr>
                      <w:rFonts w:hint="default" w:ascii="Times New Roman" w:hAnsi="Times New Roman" w:eastAsia="仿宋" w:cs="Times New Roman"/>
                      <w:color w:val="000000" w:themeColor="text1"/>
                      <w:lang w:val="en-US" w:eastAsia="zh-CN"/>
                      <w14:textFill>
                        <w14:solidFill>
                          <w14:schemeClr w14:val="tx1"/>
                        </w14:solidFill>
                      </w14:textFill>
                    </w:rPr>
                    <w:t>风险物质主要为废润滑油</w:t>
                  </w:r>
                  <w:r>
                    <w:rPr>
                      <w:rFonts w:hint="default" w:ascii="Times New Roman" w:hAnsi="Times New Roman" w:eastAsia="仿宋" w:cs="Times New Roman"/>
                      <w:color w:val="000000" w:themeColor="text1"/>
                      <w14:textFill>
                        <w14:solidFill>
                          <w14:schemeClr w14:val="tx1"/>
                        </w14:solidFill>
                      </w14:textFill>
                    </w:rPr>
                    <w:t>，</w:t>
                  </w:r>
                  <w:r>
                    <w:rPr>
                      <w:rFonts w:hint="default" w:ascii="Times New Roman" w:hAnsi="Times New Roman" w:eastAsia="仿宋" w:cs="Times New Roman"/>
                      <w:color w:val="000000" w:themeColor="text1"/>
                      <w:lang w:val="en-US" w:eastAsia="zh-CN"/>
                      <w14:textFill>
                        <w14:solidFill>
                          <w14:schemeClr w14:val="tx1"/>
                        </w14:solidFill>
                      </w14:textFill>
                    </w:rPr>
                    <w:t>通过对危废贮存点采取防渗等措施后，</w:t>
                  </w:r>
                  <w:r>
                    <w:rPr>
                      <w:rFonts w:hint="default" w:ascii="Times New Roman" w:hAnsi="Times New Roman" w:eastAsia="仿宋" w:cs="Times New Roman"/>
                      <w:color w:val="000000" w:themeColor="text1"/>
                      <w14:textFill>
                        <w14:solidFill>
                          <w14:schemeClr w14:val="tx1"/>
                        </w14:solidFill>
                      </w14:textFill>
                    </w:rPr>
                    <w:t>对周围环境风险影响较小。</w:t>
                  </w:r>
                </w:p>
              </w:tc>
              <w:tc>
                <w:tcPr>
                  <w:tcW w:w="931" w:type="dxa"/>
                  <w:vMerge w:val="continue"/>
                  <w:tcBorders>
                    <w:tl2br w:val="nil"/>
                    <w:tr2bl w:val="nil"/>
                  </w:tcBorders>
                  <w:noWrap w:val="0"/>
                  <w:vAlign w:val="center"/>
                </w:tcPr>
                <w:p w14:paraId="41E4D7A5">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p>
              </w:tc>
            </w:tr>
            <w:tr w14:paraId="302A1E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1891" w:hRule="atLeast"/>
                <w:jc w:val="center"/>
              </w:trPr>
              <w:tc>
                <w:tcPr>
                  <w:tcW w:w="792" w:type="dxa"/>
                  <w:vMerge w:val="continue"/>
                  <w:tcBorders>
                    <w:tl2br w:val="nil"/>
                    <w:tr2bl w:val="nil"/>
                  </w:tcBorders>
                  <w:noWrap w:val="0"/>
                  <w:vAlign w:val="center"/>
                </w:tcPr>
                <w:p w14:paraId="28C528A6">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lang w:val="en-US" w:eastAsia="zh-CN"/>
                      <w14:textFill>
                        <w14:solidFill>
                          <w14:schemeClr w14:val="tx1"/>
                        </w14:solidFill>
                      </w14:textFill>
                    </w:rPr>
                  </w:pPr>
                </w:p>
              </w:tc>
              <w:tc>
                <w:tcPr>
                  <w:tcW w:w="466" w:type="dxa"/>
                  <w:tcBorders>
                    <w:tl2br w:val="nil"/>
                    <w:tr2bl w:val="nil"/>
                  </w:tcBorders>
                  <w:noWrap w:val="0"/>
                  <w:vAlign w:val="center"/>
                </w:tcPr>
                <w:p w14:paraId="61FBB90F">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资源利用 效率</w:t>
                  </w:r>
                </w:p>
              </w:tc>
              <w:tc>
                <w:tcPr>
                  <w:tcW w:w="2732" w:type="dxa"/>
                  <w:tcBorders>
                    <w:tl2br w:val="nil"/>
                    <w:tr2bl w:val="nil"/>
                  </w:tcBorders>
                  <w:noWrap w:val="0"/>
                  <w:vAlign w:val="center"/>
                </w:tcPr>
                <w:p w14:paraId="120C352A">
                  <w:pPr>
                    <w:pStyle w:val="52"/>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420" w:firstLineChars="200"/>
                    <w:jc w:val="both"/>
                    <w:textAlignment w:val="auto"/>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t>1.执行甘肃省和张掖市生态环境总体准入清单中重点管控单元的资源利用效率要求。</w:t>
                  </w:r>
                </w:p>
                <w:p w14:paraId="6322EBA0">
                  <w:pPr>
                    <w:pStyle w:val="52"/>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420" w:firstLineChars="200"/>
                    <w:jc w:val="both"/>
                    <w:textAlignment w:val="auto"/>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t>2.推广使用清洁能源，禁止新建、扩建使用高污染燃料的设施。</w:t>
                  </w:r>
                </w:p>
                <w:p w14:paraId="1E92BB4B">
                  <w:pPr>
                    <w:keepNext w:val="0"/>
                    <w:keepLines w:val="0"/>
                    <w:pageBreakBefore w:val="0"/>
                    <w:widowControl w:val="0"/>
                    <w:kinsoku/>
                    <w:wordWrap/>
                    <w:overflowPunct/>
                    <w:topLinePunct w:val="0"/>
                    <w:autoSpaceDE/>
                    <w:autoSpaceDN/>
                    <w:bidi w:val="0"/>
                    <w:adjustRightInd w:val="0"/>
                    <w:snapToGrid w:val="0"/>
                    <w:ind w:left="0" w:right="0" w:firstLine="420" w:firstLineChars="200"/>
                    <w:textAlignment w:val="auto"/>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4"/>
                      <w:lang w:val="en-US" w:eastAsia="zh-CN" w:bidi="ar-SA"/>
                      <w14:textFill>
                        <w14:solidFill>
                          <w14:schemeClr w14:val="tx1"/>
                        </w14:solidFill>
                      </w14:textFill>
                    </w:rPr>
                    <w:t>3.禁燃区内禁止销售和使用高污染燃料，禁止新建、扩建燃用高污染燃料的设施。现有燃用煤炭、重油、渣油等高污染燃料的设施应当在城市人民政府规定的期限内改用清洁能源。</w:t>
                  </w:r>
                </w:p>
              </w:tc>
              <w:tc>
                <w:tcPr>
                  <w:tcW w:w="2380" w:type="dxa"/>
                  <w:tcBorders>
                    <w:tl2br w:val="nil"/>
                    <w:tr2bl w:val="nil"/>
                  </w:tcBorders>
                  <w:noWrap w:val="0"/>
                  <w:vAlign w:val="center"/>
                </w:tcPr>
                <w:p w14:paraId="55421A84">
                  <w:pPr>
                    <w:keepNext w:val="0"/>
                    <w:keepLines w:val="0"/>
                    <w:pageBreakBefore w:val="0"/>
                    <w:numPr>
                      <w:ilvl w:val="0"/>
                      <w:numId w:val="0"/>
                    </w:numPr>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000000" w:themeColor="text1"/>
                      <w:lang w:val="en-US" w:eastAsia="zh-CN"/>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本项目</w:t>
                  </w:r>
                  <w:r>
                    <w:rPr>
                      <w:rFonts w:hint="default" w:ascii="Times New Roman" w:hAnsi="Times New Roman" w:eastAsia="仿宋" w:cs="Times New Roman"/>
                      <w:color w:val="000000" w:themeColor="text1"/>
                      <w:lang w:val="en-US" w:eastAsia="zh-CN"/>
                      <w14:textFill>
                        <w14:solidFill>
                          <w14:schemeClr w14:val="tx1"/>
                        </w14:solidFill>
                      </w14:textFill>
                    </w:rPr>
                    <w:t>不新建、扩建使用高污染燃料的设施</w:t>
                  </w:r>
                  <w:r>
                    <w:rPr>
                      <w:rFonts w:hint="default" w:ascii="Times New Roman" w:hAnsi="Times New Roman" w:eastAsia="仿宋" w:cs="Times New Roman"/>
                      <w:color w:val="000000" w:themeColor="text1"/>
                      <w14:textFill>
                        <w14:solidFill>
                          <w14:schemeClr w14:val="tx1"/>
                        </w14:solidFill>
                      </w14:textFill>
                    </w:rPr>
                    <w:t>。</w:t>
                  </w:r>
                </w:p>
              </w:tc>
              <w:tc>
                <w:tcPr>
                  <w:tcW w:w="931" w:type="dxa"/>
                  <w:vMerge w:val="continue"/>
                  <w:tcBorders>
                    <w:tl2br w:val="nil"/>
                    <w:tr2bl w:val="nil"/>
                  </w:tcBorders>
                  <w:noWrap w:val="0"/>
                  <w:vAlign w:val="center"/>
                </w:tcPr>
                <w:p w14:paraId="2390F8A0">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p>
              </w:tc>
            </w:tr>
            <w:tr w14:paraId="24C588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891" w:hRule="atLeast"/>
                <w:jc w:val="center"/>
              </w:trPr>
              <w:tc>
                <w:tcPr>
                  <w:tcW w:w="792" w:type="dxa"/>
                  <w:vMerge w:val="restart"/>
                  <w:tcBorders>
                    <w:tl2br w:val="nil"/>
                    <w:tr2bl w:val="nil"/>
                  </w:tcBorders>
                  <w:noWrap w:val="0"/>
                  <w:vAlign w:val="center"/>
                </w:tcPr>
                <w:p w14:paraId="09451BBE">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lang w:val="en-US" w:eastAsia="zh-CN"/>
                      <w14:textFill>
                        <w14:solidFill>
                          <w14:schemeClr w14:val="tx1"/>
                        </w14:solidFill>
                      </w14:textFill>
                    </w:rPr>
                    <w:t>临泽县一般管控单元（</w:t>
                  </w:r>
                  <w:r>
                    <w:rPr>
                      <w:rFonts w:hint="default" w:ascii="Times New Roman" w:hAnsi="Times New Roman" w:eastAsia="仿宋" w:cs="Times New Roman"/>
                      <w:color w:val="000000" w:themeColor="text1"/>
                      <w14:textFill>
                        <w14:solidFill>
                          <w14:schemeClr w14:val="tx1"/>
                        </w14:solidFill>
                      </w14:textFill>
                    </w:rPr>
                    <w:t>编码ZH62072330001</w:t>
                  </w:r>
                  <w:r>
                    <w:rPr>
                      <w:rFonts w:hint="default" w:ascii="Times New Roman" w:hAnsi="Times New Roman" w:eastAsia="仿宋" w:cs="Times New Roman"/>
                      <w:color w:val="000000" w:themeColor="text1"/>
                      <w:lang w:val="en-US" w:eastAsia="zh-CN"/>
                      <w14:textFill>
                        <w14:solidFill>
                          <w14:schemeClr w14:val="tx1"/>
                        </w14:solidFill>
                      </w14:textFill>
                    </w:rPr>
                    <w:t>）</w:t>
                  </w:r>
                </w:p>
              </w:tc>
              <w:tc>
                <w:tcPr>
                  <w:tcW w:w="466" w:type="dxa"/>
                  <w:tcBorders>
                    <w:tl2br w:val="nil"/>
                    <w:tr2bl w:val="nil"/>
                  </w:tcBorders>
                  <w:noWrap w:val="0"/>
                  <w:vAlign w:val="center"/>
                </w:tcPr>
                <w:p w14:paraId="423372A9">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空间布局约束</w:t>
                  </w:r>
                </w:p>
              </w:tc>
              <w:tc>
                <w:tcPr>
                  <w:tcW w:w="2732" w:type="dxa"/>
                  <w:tcBorders>
                    <w:tl2br w:val="nil"/>
                    <w:tr2bl w:val="nil"/>
                  </w:tcBorders>
                  <w:noWrap w:val="0"/>
                  <w:vAlign w:val="center"/>
                </w:tcPr>
                <w:p w14:paraId="00DA5F8F">
                  <w:pPr>
                    <w:keepNext w:val="0"/>
                    <w:keepLines w:val="0"/>
                    <w:pageBreakBefore w:val="0"/>
                    <w:widowControl w:val="0"/>
                    <w:kinsoku/>
                    <w:wordWrap/>
                    <w:overflowPunct/>
                    <w:topLinePunct w:val="0"/>
                    <w:autoSpaceDE/>
                    <w:autoSpaceDN/>
                    <w:bidi w:val="0"/>
                    <w:adjustRightInd w:val="0"/>
                    <w:snapToGrid w:val="0"/>
                    <w:ind w:left="0" w:right="0" w:firstLine="420" w:firstLineChars="200"/>
                    <w:textAlignment w:val="auto"/>
                    <w:rPr>
                      <w:rFonts w:hint="default" w:ascii="Times New Roman" w:hAnsi="Times New Roman" w:eastAsia="仿宋" w:cs="Times New Roman"/>
                      <w:color w:val="000000" w:themeColor="text1"/>
                      <w:lang w:val="en-US" w:eastAsia="zh-CN"/>
                      <w14:textFill>
                        <w14:solidFill>
                          <w14:schemeClr w14:val="tx1"/>
                        </w14:solidFill>
                      </w14:textFill>
                    </w:rPr>
                  </w:pPr>
                  <w:r>
                    <w:rPr>
                      <w:rFonts w:hint="default" w:ascii="Times New Roman" w:hAnsi="Times New Roman" w:eastAsia="仿宋" w:cs="Times New Roman"/>
                      <w:color w:val="000000" w:themeColor="text1"/>
                      <w:lang w:val="en-US" w:eastAsia="zh-CN"/>
                      <w14:textFill>
                        <w14:solidFill>
                          <w14:schemeClr w14:val="tx1"/>
                        </w14:solidFill>
                      </w14:textFill>
                    </w:rPr>
                    <w:t>执行全省和张掖市生态环境总体准入清单中一般管控单元的空间布局约束要求。</w:t>
                  </w:r>
                </w:p>
              </w:tc>
              <w:tc>
                <w:tcPr>
                  <w:tcW w:w="2380" w:type="dxa"/>
                  <w:tcBorders>
                    <w:tl2br w:val="nil"/>
                    <w:tr2bl w:val="nil"/>
                  </w:tcBorders>
                  <w:noWrap w:val="0"/>
                  <w:vAlign w:val="center"/>
                </w:tcPr>
                <w:p w14:paraId="36854274">
                  <w:pPr>
                    <w:keepNext w:val="0"/>
                    <w:keepLines w:val="0"/>
                    <w:pageBreakBefore w:val="0"/>
                    <w:numPr>
                      <w:ilvl w:val="0"/>
                      <w:numId w:val="0"/>
                    </w:numPr>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000000" w:themeColor="text1"/>
                      <w:lang w:val="en-US" w:eastAsia="zh-CN"/>
                      <w14:textFill>
                        <w14:solidFill>
                          <w14:schemeClr w14:val="tx1"/>
                        </w14:solidFill>
                      </w14:textFill>
                    </w:rPr>
                  </w:pPr>
                  <w:r>
                    <w:rPr>
                      <w:rFonts w:hint="default" w:ascii="Times New Roman" w:hAnsi="Times New Roman" w:eastAsia="仿宋" w:cs="Times New Roman"/>
                      <w:color w:val="000000" w:themeColor="text1"/>
                      <w:lang w:val="en-US" w:eastAsia="zh-CN"/>
                      <w14:textFill>
                        <w14:solidFill>
                          <w14:schemeClr w14:val="tx1"/>
                        </w14:solidFill>
                      </w14:textFill>
                    </w:rPr>
                    <w:t>本项目位于张掖市临泽县平川镇小黑山，项目附近无自然保护区、风景名胜区等特殊环境敏感区，不涉及生态红线，符合一般管控单元空间布局约束要求，符合主体功能区划、国土空间规划等要求。</w:t>
                  </w:r>
                </w:p>
              </w:tc>
              <w:tc>
                <w:tcPr>
                  <w:tcW w:w="931" w:type="dxa"/>
                  <w:vMerge w:val="restart"/>
                  <w:tcBorders>
                    <w:tl2br w:val="nil"/>
                    <w:tr2bl w:val="nil"/>
                  </w:tcBorders>
                  <w:noWrap w:val="0"/>
                  <w:vAlign w:val="center"/>
                </w:tcPr>
                <w:p w14:paraId="3879FA80">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符合</w:t>
                  </w:r>
                </w:p>
              </w:tc>
            </w:tr>
            <w:tr w14:paraId="1FE5F1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792" w:type="dxa"/>
                  <w:vMerge w:val="continue"/>
                  <w:tcBorders>
                    <w:tl2br w:val="nil"/>
                    <w:tr2bl w:val="nil"/>
                  </w:tcBorders>
                  <w:noWrap w:val="0"/>
                  <w:vAlign w:val="center"/>
                </w:tcPr>
                <w:p w14:paraId="2C15B01E">
                  <w:pPr>
                    <w:keepNext w:val="0"/>
                    <w:keepLines w:val="0"/>
                    <w:pageBreakBefore w:val="0"/>
                    <w:widowControl/>
                    <w:kinsoku/>
                    <w:wordWrap/>
                    <w:overflowPunct/>
                    <w:topLinePunct w:val="0"/>
                    <w:autoSpaceDE/>
                    <w:autoSpaceDN/>
                    <w:bidi w:val="0"/>
                    <w:adjustRightInd w:val="0"/>
                    <w:snapToGrid w:val="0"/>
                    <w:jc w:val="left"/>
                    <w:textAlignment w:val="auto"/>
                    <w:rPr>
                      <w:rFonts w:hint="default" w:ascii="Times New Roman" w:hAnsi="Times New Roman" w:eastAsia="仿宋" w:cs="Times New Roman"/>
                      <w:color w:val="000000" w:themeColor="text1"/>
                      <w:szCs w:val="21"/>
                      <w14:textFill>
                        <w14:solidFill>
                          <w14:schemeClr w14:val="tx1"/>
                        </w14:solidFill>
                      </w14:textFill>
                    </w:rPr>
                  </w:pPr>
                </w:p>
              </w:tc>
              <w:tc>
                <w:tcPr>
                  <w:tcW w:w="466" w:type="dxa"/>
                  <w:tcBorders>
                    <w:tl2br w:val="nil"/>
                    <w:tr2bl w:val="nil"/>
                  </w:tcBorders>
                  <w:noWrap w:val="0"/>
                  <w:vAlign w:val="center"/>
                </w:tcPr>
                <w:p w14:paraId="717FD790">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污染物排 放管控</w:t>
                  </w:r>
                </w:p>
              </w:tc>
              <w:tc>
                <w:tcPr>
                  <w:tcW w:w="2732" w:type="dxa"/>
                  <w:tcBorders>
                    <w:tl2br w:val="nil"/>
                    <w:tr2bl w:val="nil"/>
                  </w:tcBorders>
                  <w:noWrap w:val="0"/>
                  <w:vAlign w:val="center"/>
                </w:tcPr>
                <w:p w14:paraId="73AC2CE1">
                  <w:pPr>
                    <w:keepNext w:val="0"/>
                    <w:keepLines w:val="0"/>
                    <w:pageBreakBefore w:val="0"/>
                    <w:widowControl w:val="0"/>
                    <w:kinsoku/>
                    <w:wordWrap/>
                    <w:overflowPunct/>
                    <w:topLinePunct w:val="0"/>
                    <w:autoSpaceDE/>
                    <w:autoSpaceDN/>
                    <w:bidi w:val="0"/>
                    <w:adjustRightInd w:val="0"/>
                    <w:snapToGrid w:val="0"/>
                    <w:ind w:left="0" w:right="0" w:firstLine="420" w:firstLineChars="200"/>
                    <w:textAlignment w:val="auto"/>
                    <w:rPr>
                      <w:rFonts w:hint="default" w:ascii="Times New Roman" w:hAnsi="Times New Roman" w:eastAsia="仿宋" w:cs="Times New Roman"/>
                      <w:color w:val="000000" w:themeColor="text1"/>
                      <w:lang w:val="en-US" w:eastAsia="zh-CN"/>
                      <w14:textFill>
                        <w14:solidFill>
                          <w14:schemeClr w14:val="tx1"/>
                        </w14:solidFill>
                      </w14:textFill>
                    </w:rPr>
                  </w:pPr>
                  <w:r>
                    <w:rPr>
                      <w:rFonts w:hint="default" w:ascii="Times New Roman" w:hAnsi="Times New Roman" w:eastAsia="仿宋" w:cs="Times New Roman"/>
                      <w:color w:val="000000" w:themeColor="text1"/>
                      <w:lang w:val="en-US" w:eastAsia="zh-CN"/>
                      <w14:textFill>
                        <w14:solidFill>
                          <w14:schemeClr w14:val="tx1"/>
                        </w14:solidFill>
                      </w14:textFill>
                    </w:rPr>
                    <w:t>执行全省和张掖市生态环境总体准入清单中一般管控单元的污染物排放管控要求。</w:t>
                  </w:r>
                </w:p>
              </w:tc>
              <w:tc>
                <w:tcPr>
                  <w:tcW w:w="2380" w:type="dxa"/>
                  <w:tcBorders>
                    <w:tl2br w:val="nil"/>
                    <w:tr2bl w:val="nil"/>
                  </w:tcBorders>
                  <w:noWrap w:val="0"/>
                  <w:vAlign w:val="center"/>
                </w:tcPr>
                <w:p w14:paraId="735BDDF4">
                  <w:pPr>
                    <w:keepNext w:val="0"/>
                    <w:keepLines w:val="0"/>
                    <w:pageBreakBefore w:val="0"/>
                    <w:kinsoku/>
                    <w:wordWrap/>
                    <w:overflowPunct/>
                    <w:topLinePunct w:val="0"/>
                    <w:autoSpaceDE/>
                    <w:autoSpaceDN/>
                    <w:bidi w:val="0"/>
                    <w:adjustRightInd w:val="0"/>
                    <w:snapToGrid w:val="0"/>
                    <w:ind w:firstLine="420" w:firstLineChars="200"/>
                    <w:textAlignment w:val="auto"/>
                    <w:rPr>
                      <w:rFonts w:hint="default" w:ascii="Times New Roman" w:hAnsi="Times New Roman" w:eastAsia="仿宋" w:cs="Times New Roman"/>
                      <w:color w:val="000000" w:themeColor="text1"/>
                      <w:lang w:val="en-US"/>
                      <w14:textFill>
                        <w14:solidFill>
                          <w14:schemeClr w14:val="tx1"/>
                        </w14:solidFill>
                      </w14:textFill>
                    </w:rPr>
                  </w:pPr>
                  <w:r>
                    <w:rPr>
                      <w:rFonts w:hint="default" w:ascii="Times New Roman" w:hAnsi="Times New Roman" w:eastAsia="仿宋" w:cs="Times New Roman"/>
                      <w:color w:val="000000" w:themeColor="text1"/>
                      <w:lang w:val="en-US" w:eastAsia="zh-CN"/>
                      <w14:textFill>
                        <w14:solidFill>
                          <w14:schemeClr w14:val="tx1"/>
                        </w14:solidFill>
                      </w14:textFill>
                    </w:rPr>
                    <w:t>本项目废气、废水、噪声、固废，采取相应的环保治理措施后达标排放，对周围环境影响较小。</w:t>
                  </w:r>
                </w:p>
              </w:tc>
              <w:tc>
                <w:tcPr>
                  <w:tcW w:w="931" w:type="dxa"/>
                  <w:vMerge w:val="continue"/>
                  <w:tcBorders>
                    <w:tl2br w:val="nil"/>
                    <w:tr2bl w:val="nil"/>
                  </w:tcBorders>
                  <w:noWrap w:val="0"/>
                  <w:vAlign w:val="center"/>
                </w:tcPr>
                <w:p w14:paraId="39605D7C">
                  <w:pPr>
                    <w:keepNext w:val="0"/>
                    <w:keepLines w:val="0"/>
                    <w:pageBreakBefore w:val="0"/>
                    <w:widowControl/>
                    <w:kinsoku/>
                    <w:wordWrap/>
                    <w:overflowPunct/>
                    <w:topLinePunct w:val="0"/>
                    <w:autoSpaceDE/>
                    <w:autoSpaceDN/>
                    <w:bidi w:val="0"/>
                    <w:adjustRightInd w:val="0"/>
                    <w:snapToGrid w:val="0"/>
                    <w:jc w:val="left"/>
                    <w:textAlignment w:val="auto"/>
                    <w:rPr>
                      <w:rFonts w:hint="default" w:ascii="Times New Roman" w:hAnsi="Times New Roman" w:eastAsia="仿宋" w:cs="Times New Roman"/>
                      <w:color w:val="000000" w:themeColor="text1"/>
                      <w:szCs w:val="21"/>
                      <w14:textFill>
                        <w14:solidFill>
                          <w14:schemeClr w14:val="tx1"/>
                        </w14:solidFill>
                      </w14:textFill>
                    </w:rPr>
                  </w:pPr>
                </w:p>
              </w:tc>
            </w:tr>
            <w:tr w14:paraId="212704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44" w:hRule="atLeast"/>
                <w:jc w:val="center"/>
              </w:trPr>
              <w:tc>
                <w:tcPr>
                  <w:tcW w:w="792" w:type="dxa"/>
                  <w:vMerge w:val="continue"/>
                  <w:tcBorders>
                    <w:tl2br w:val="nil"/>
                    <w:tr2bl w:val="nil"/>
                  </w:tcBorders>
                  <w:noWrap w:val="0"/>
                  <w:vAlign w:val="center"/>
                </w:tcPr>
                <w:p w14:paraId="39147045">
                  <w:pPr>
                    <w:keepNext w:val="0"/>
                    <w:keepLines w:val="0"/>
                    <w:pageBreakBefore w:val="0"/>
                    <w:widowControl/>
                    <w:kinsoku/>
                    <w:wordWrap/>
                    <w:overflowPunct/>
                    <w:topLinePunct w:val="0"/>
                    <w:autoSpaceDE/>
                    <w:autoSpaceDN/>
                    <w:bidi w:val="0"/>
                    <w:adjustRightInd w:val="0"/>
                    <w:snapToGrid w:val="0"/>
                    <w:jc w:val="left"/>
                    <w:textAlignment w:val="auto"/>
                    <w:rPr>
                      <w:rFonts w:hint="default" w:ascii="Times New Roman" w:hAnsi="Times New Roman" w:eastAsia="仿宋" w:cs="Times New Roman"/>
                      <w:color w:val="000000" w:themeColor="text1"/>
                      <w:szCs w:val="21"/>
                      <w14:textFill>
                        <w14:solidFill>
                          <w14:schemeClr w14:val="tx1"/>
                        </w14:solidFill>
                      </w14:textFill>
                    </w:rPr>
                  </w:pPr>
                </w:p>
              </w:tc>
              <w:tc>
                <w:tcPr>
                  <w:tcW w:w="466" w:type="dxa"/>
                  <w:tcBorders>
                    <w:tl2br w:val="nil"/>
                    <w:tr2bl w:val="nil"/>
                  </w:tcBorders>
                  <w:noWrap w:val="0"/>
                  <w:vAlign w:val="center"/>
                </w:tcPr>
                <w:p w14:paraId="5F68D70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环境风险防控</w:t>
                  </w:r>
                </w:p>
              </w:tc>
              <w:tc>
                <w:tcPr>
                  <w:tcW w:w="2732" w:type="dxa"/>
                  <w:tcBorders>
                    <w:tl2br w:val="nil"/>
                    <w:tr2bl w:val="nil"/>
                  </w:tcBorders>
                  <w:noWrap w:val="0"/>
                  <w:vAlign w:val="center"/>
                </w:tcPr>
                <w:p w14:paraId="07A4DF11">
                  <w:pPr>
                    <w:keepNext w:val="0"/>
                    <w:keepLines w:val="0"/>
                    <w:pageBreakBefore w:val="0"/>
                    <w:widowControl w:val="0"/>
                    <w:kinsoku/>
                    <w:wordWrap/>
                    <w:overflowPunct/>
                    <w:topLinePunct w:val="0"/>
                    <w:autoSpaceDE/>
                    <w:autoSpaceDN/>
                    <w:bidi w:val="0"/>
                    <w:adjustRightInd w:val="0"/>
                    <w:snapToGrid w:val="0"/>
                    <w:ind w:left="0" w:right="0" w:firstLine="420" w:firstLineChars="200"/>
                    <w:textAlignment w:val="auto"/>
                    <w:rPr>
                      <w:rFonts w:hint="default" w:ascii="Times New Roman" w:hAnsi="Times New Roman" w:eastAsia="仿宋" w:cs="Times New Roman"/>
                      <w:color w:val="000000" w:themeColor="text1"/>
                      <w:lang w:val="en-US" w:eastAsia="zh-CN"/>
                      <w14:textFill>
                        <w14:solidFill>
                          <w14:schemeClr w14:val="tx1"/>
                        </w14:solidFill>
                      </w14:textFill>
                    </w:rPr>
                  </w:pPr>
                  <w:r>
                    <w:rPr>
                      <w:rFonts w:hint="default" w:ascii="Times New Roman" w:hAnsi="Times New Roman" w:eastAsia="仿宋" w:cs="Times New Roman"/>
                      <w:color w:val="000000" w:themeColor="text1"/>
                      <w:lang w:val="en-US" w:eastAsia="zh-CN"/>
                      <w14:textFill>
                        <w14:solidFill>
                          <w14:schemeClr w14:val="tx1"/>
                        </w14:solidFill>
                      </w14:textFill>
                    </w:rPr>
                    <w:t xml:space="preserve">执行全省和张掖市生态环境总体准入清单中一般管控单元的环境风险防控要求。 </w:t>
                  </w:r>
                </w:p>
              </w:tc>
              <w:tc>
                <w:tcPr>
                  <w:tcW w:w="2380" w:type="dxa"/>
                  <w:tcBorders>
                    <w:tl2br w:val="nil"/>
                    <w:tr2bl w:val="nil"/>
                  </w:tcBorders>
                  <w:noWrap w:val="0"/>
                  <w:vAlign w:val="center"/>
                </w:tcPr>
                <w:p w14:paraId="64B18AF4">
                  <w:pPr>
                    <w:keepNext w:val="0"/>
                    <w:keepLines w:val="0"/>
                    <w:pageBreakBefore w:val="0"/>
                    <w:kinsoku/>
                    <w:wordWrap/>
                    <w:overflowPunct/>
                    <w:topLinePunct w:val="0"/>
                    <w:autoSpaceDE/>
                    <w:autoSpaceDN/>
                    <w:bidi w:val="0"/>
                    <w:adjustRightInd w:val="0"/>
                    <w:snapToGrid w:val="0"/>
                    <w:ind w:firstLine="420" w:firstLineChars="200"/>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本项目</w:t>
                  </w:r>
                  <w:r>
                    <w:rPr>
                      <w:rFonts w:hint="default" w:ascii="Times New Roman" w:hAnsi="Times New Roman" w:eastAsia="仿宋" w:cs="Times New Roman"/>
                      <w:color w:val="000000" w:themeColor="text1"/>
                      <w:lang w:val="en-US" w:eastAsia="zh-CN"/>
                      <w14:textFill>
                        <w14:solidFill>
                          <w14:schemeClr w14:val="tx1"/>
                        </w14:solidFill>
                      </w14:textFill>
                    </w:rPr>
                    <w:t>风险物质主要为废润滑油</w:t>
                  </w:r>
                  <w:r>
                    <w:rPr>
                      <w:rFonts w:hint="default" w:ascii="Times New Roman" w:hAnsi="Times New Roman" w:eastAsia="仿宋" w:cs="Times New Roman"/>
                      <w:color w:val="000000" w:themeColor="text1"/>
                      <w14:textFill>
                        <w14:solidFill>
                          <w14:schemeClr w14:val="tx1"/>
                        </w14:solidFill>
                      </w14:textFill>
                    </w:rPr>
                    <w:t>，</w:t>
                  </w:r>
                  <w:r>
                    <w:rPr>
                      <w:rFonts w:hint="default" w:ascii="Times New Roman" w:hAnsi="Times New Roman" w:eastAsia="仿宋" w:cs="Times New Roman"/>
                      <w:color w:val="000000" w:themeColor="text1"/>
                      <w:lang w:val="en-US" w:eastAsia="zh-CN"/>
                      <w14:textFill>
                        <w14:solidFill>
                          <w14:schemeClr w14:val="tx1"/>
                        </w14:solidFill>
                      </w14:textFill>
                    </w:rPr>
                    <w:t>通过对危废贮存点采取防渗等措施后，</w:t>
                  </w:r>
                  <w:r>
                    <w:rPr>
                      <w:rFonts w:hint="default" w:ascii="Times New Roman" w:hAnsi="Times New Roman" w:eastAsia="仿宋" w:cs="Times New Roman"/>
                      <w:color w:val="000000" w:themeColor="text1"/>
                      <w14:textFill>
                        <w14:solidFill>
                          <w14:schemeClr w14:val="tx1"/>
                        </w14:solidFill>
                      </w14:textFill>
                    </w:rPr>
                    <w:t>对周围环境风险影响较小。</w:t>
                  </w:r>
                </w:p>
              </w:tc>
              <w:tc>
                <w:tcPr>
                  <w:tcW w:w="931" w:type="dxa"/>
                  <w:vMerge w:val="continue"/>
                  <w:tcBorders>
                    <w:tl2br w:val="nil"/>
                    <w:tr2bl w:val="nil"/>
                  </w:tcBorders>
                  <w:noWrap w:val="0"/>
                  <w:vAlign w:val="center"/>
                </w:tcPr>
                <w:p w14:paraId="650FB1BF">
                  <w:pPr>
                    <w:keepNext w:val="0"/>
                    <w:keepLines w:val="0"/>
                    <w:pageBreakBefore w:val="0"/>
                    <w:widowControl/>
                    <w:kinsoku/>
                    <w:wordWrap/>
                    <w:overflowPunct/>
                    <w:topLinePunct w:val="0"/>
                    <w:autoSpaceDE/>
                    <w:autoSpaceDN/>
                    <w:bidi w:val="0"/>
                    <w:adjustRightInd w:val="0"/>
                    <w:snapToGrid w:val="0"/>
                    <w:jc w:val="left"/>
                    <w:textAlignment w:val="auto"/>
                    <w:rPr>
                      <w:rFonts w:hint="default" w:ascii="Times New Roman" w:hAnsi="Times New Roman" w:eastAsia="仿宋" w:cs="Times New Roman"/>
                      <w:color w:val="000000" w:themeColor="text1"/>
                      <w:szCs w:val="21"/>
                      <w14:textFill>
                        <w14:solidFill>
                          <w14:schemeClr w14:val="tx1"/>
                        </w14:solidFill>
                      </w14:textFill>
                    </w:rPr>
                  </w:pPr>
                </w:p>
              </w:tc>
            </w:tr>
            <w:tr w14:paraId="24FEB2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continue"/>
                  <w:tcBorders>
                    <w:tl2br w:val="nil"/>
                    <w:tr2bl w:val="nil"/>
                  </w:tcBorders>
                  <w:noWrap w:val="0"/>
                  <w:vAlign w:val="center"/>
                </w:tcPr>
                <w:p w14:paraId="708B4225">
                  <w:pPr>
                    <w:keepNext w:val="0"/>
                    <w:keepLines w:val="0"/>
                    <w:pageBreakBefore w:val="0"/>
                    <w:widowControl/>
                    <w:kinsoku/>
                    <w:wordWrap/>
                    <w:overflowPunct/>
                    <w:topLinePunct w:val="0"/>
                    <w:autoSpaceDE/>
                    <w:autoSpaceDN/>
                    <w:bidi w:val="0"/>
                    <w:adjustRightInd w:val="0"/>
                    <w:snapToGrid w:val="0"/>
                    <w:jc w:val="left"/>
                    <w:textAlignment w:val="auto"/>
                    <w:rPr>
                      <w:rFonts w:hint="default" w:ascii="Times New Roman" w:hAnsi="Times New Roman" w:eastAsia="仿宋" w:cs="Times New Roman"/>
                      <w:color w:val="000000" w:themeColor="text1"/>
                      <w:szCs w:val="21"/>
                      <w14:textFill>
                        <w14:solidFill>
                          <w14:schemeClr w14:val="tx1"/>
                        </w14:solidFill>
                      </w14:textFill>
                    </w:rPr>
                  </w:pPr>
                </w:p>
              </w:tc>
              <w:tc>
                <w:tcPr>
                  <w:tcW w:w="466" w:type="dxa"/>
                  <w:tcBorders>
                    <w:tl2br w:val="nil"/>
                    <w:tr2bl w:val="nil"/>
                  </w:tcBorders>
                  <w:noWrap w:val="0"/>
                  <w:vAlign w:val="center"/>
                </w:tcPr>
                <w:p w14:paraId="3132B2DE">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资源利用 效率</w:t>
                  </w:r>
                </w:p>
              </w:tc>
              <w:tc>
                <w:tcPr>
                  <w:tcW w:w="2732" w:type="dxa"/>
                  <w:tcBorders>
                    <w:tl2br w:val="nil"/>
                    <w:tr2bl w:val="nil"/>
                  </w:tcBorders>
                  <w:noWrap w:val="0"/>
                  <w:vAlign w:val="center"/>
                </w:tcPr>
                <w:p w14:paraId="5F257C3A">
                  <w:pPr>
                    <w:keepNext w:val="0"/>
                    <w:keepLines w:val="0"/>
                    <w:pageBreakBefore w:val="0"/>
                    <w:widowControl w:val="0"/>
                    <w:kinsoku/>
                    <w:wordWrap/>
                    <w:overflowPunct/>
                    <w:topLinePunct w:val="0"/>
                    <w:autoSpaceDE/>
                    <w:autoSpaceDN/>
                    <w:bidi w:val="0"/>
                    <w:adjustRightInd w:val="0"/>
                    <w:snapToGrid w:val="0"/>
                    <w:ind w:left="0" w:right="0" w:firstLine="420" w:firstLineChars="200"/>
                    <w:textAlignment w:val="auto"/>
                    <w:rPr>
                      <w:rFonts w:hint="default" w:ascii="Times New Roman" w:hAnsi="Times New Roman" w:eastAsia="仿宋" w:cs="Times New Roman"/>
                      <w:color w:val="000000" w:themeColor="text1"/>
                      <w:lang w:val="en-US" w:eastAsia="zh-CN"/>
                      <w14:textFill>
                        <w14:solidFill>
                          <w14:schemeClr w14:val="tx1"/>
                        </w14:solidFill>
                      </w14:textFill>
                    </w:rPr>
                  </w:pPr>
                  <w:r>
                    <w:rPr>
                      <w:rFonts w:hint="default" w:ascii="Times New Roman" w:hAnsi="Times New Roman" w:eastAsia="仿宋" w:cs="Times New Roman"/>
                      <w:color w:val="000000" w:themeColor="text1"/>
                      <w:lang w:val="en-US" w:eastAsia="zh-CN"/>
                      <w14:textFill>
                        <w14:solidFill>
                          <w14:schemeClr w14:val="tx1"/>
                        </w14:solidFill>
                      </w14:textFill>
                    </w:rPr>
                    <w:t>执行全省和张掖市生态环境总体准入清单中一般管控单元的资源利用效率要求。</w:t>
                  </w:r>
                </w:p>
              </w:tc>
              <w:tc>
                <w:tcPr>
                  <w:tcW w:w="2380" w:type="dxa"/>
                  <w:tcBorders>
                    <w:tl2br w:val="nil"/>
                    <w:tr2bl w:val="nil"/>
                  </w:tcBorders>
                  <w:noWrap w:val="0"/>
                  <w:vAlign w:val="center"/>
                </w:tcPr>
                <w:p w14:paraId="3EAA1D9D">
                  <w:pPr>
                    <w:keepNext w:val="0"/>
                    <w:keepLines w:val="0"/>
                    <w:pageBreakBefore w:val="0"/>
                    <w:kinsoku/>
                    <w:wordWrap/>
                    <w:overflowPunct/>
                    <w:topLinePunct w:val="0"/>
                    <w:autoSpaceDE/>
                    <w:autoSpaceDN/>
                    <w:bidi w:val="0"/>
                    <w:adjustRightInd w:val="0"/>
                    <w:snapToGrid w:val="0"/>
                    <w:ind w:firstLine="420" w:firstLineChars="200"/>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本项目</w:t>
                  </w:r>
                  <w:r>
                    <w:rPr>
                      <w:rFonts w:hint="default" w:ascii="Times New Roman" w:hAnsi="Times New Roman" w:eastAsia="仿宋" w:cs="Times New Roman"/>
                      <w:color w:val="000000" w:themeColor="text1"/>
                      <w:lang w:val="en-US" w:eastAsia="zh-CN"/>
                      <w14:textFill>
                        <w14:solidFill>
                          <w14:schemeClr w14:val="tx1"/>
                        </w14:solidFill>
                      </w14:textFill>
                    </w:rPr>
                    <w:t>不开采地下水，不使用高污染燃料</w:t>
                  </w:r>
                  <w:r>
                    <w:rPr>
                      <w:rFonts w:hint="default" w:ascii="Times New Roman" w:hAnsi="Times New Roman" w:eastAsia="仿宋" w:cs="Times New Roman"/>
                      <w:color w:val="000000" w:themeColor="text1"/>
                      <w14:textFill>
                        <w14:solidFill>
                          <w14:schemeClr w14:val="tx1"/>
                        </w14:solidFill>
                      </w14:textFill>
                    </w:rPr>
                    <w:t>。</w:t>
                  </w:r>
                </w:p>
              </w:tc>
              <w:tc>
                <w:tcPr>
                  <w:tcW w:w="931" w:type="dxa"/>
                  <w:vMerge w:val="continue"/>
                  <w:tcBorders>
                    <w:tl2br w:val="nil"/>
                    <w:tr2bl w:val="nil"/>
                  </w:tcBorders>
                  <w:noWrap w:val="0"/>
                  <w:vAlign w:val="center"/>
                </w:tcPr>
                <w:p w14:paraId="7D339B31">
                  <w:pPr>
                    <w:keepNext w:val="0"/>
                    <w:keepLines w:val="0"/>
                    <w:pageBreakBefore w:val="0"/>
                    <w:widowControl/>
                    <w:kinsoku/>
                    <w:wordWrap/>
                    <w:overflowPunct/>
                    <w:topLinePunct w:val="0"/>
                    <w:autoSpaceDE/>
                    <w:autoSpaceDN/>
                    <w:bidi w:val="0"/>
                    <w:adjustRightInd w:val="0"/>
                    <w:snapToGrid w:val="0"/>
                    <w:jc w:val="left"/>
                    <w:textAlignment w:val="auto"/>
                    <w:rPr>
                      <w:rFonts w:hint="default" w:ascii="Times New Roman" w:hAnsi="Times New Roman" w:eastAsia="仿宋" w:cs="Times New Roman"/>
                      <w:color w:val="000000" w:themeColor="text1"/>
                      <w:szCs w:val="21"/>
                      <w14:textFill>
                        <w14:solidFill>
                          <w14:schemeClr w14:val="tx1"/>
                        </w14:solidFill>
                      </w14:textFill>
                    </w:rPr>
                  </w:pPr>
                </w:p>
              </w:tc>
            </w:tr>
          </w:tbl>
          <w:p w14:paraId="3A4A57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pPr>
            <w:r>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t>表</w:t>
            </w:r>
            <w:r>
              <w:rPr>
                <w:rFonts w:hint="eastAsia" w:eastAsia="仿宋" w:cs="Times New Roman"/>
                <w:b/>
                <w:bCs/>
                <w:snapToGrid w:val="0"/>
                <w:color w:val="000000" w:themeColor="text1"/>
                <w:kern w:val="0"/>
                <w:szCs w:val="21"/>
                <w:lang w:val="en-US" w:eastAsia="zh-CN"/>
                <w14:textFill>
                  <w14:solidFill>
                    <w14:schemeClr w14:val="tx1"/>
                  </w14:solidFill>
                </w14:textFill>
              </w:rPr>
              <w:t>3</w:t>
            </w:r>
            <w:r>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t xml:space="preserve">  甘肃省管控单元符合性分析</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92"/>
              <w:gridCol w:w="466"/>
              <w:gridCol w:w="3345"/>
              <w:gridCol w:w="1766"/>
              <w:gridCol w:w="932"/>
            </w:tblGrid>
            <w:tr w14:paraId="7E5A704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68" w:hRule="atLeast"/>
                <w:jc w:val="center"/>
              </w:trPr>
              <w:tc>
                <w:tcPr>
                  <w:tcW w:w="792" w:type="dxa"/>
                  <w:tcBorders>
                    <w:tl2br w:val="nil"/>
                    <w:tr2bl w:val="nil"/>
                  </w:tcBorders>
                  <w:noWrap w:val="0"/>
                  <w:vAlign w:val="center"/>
                </w:tcPr>
                <w:p w14:paraId="1C57DDE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内容</w:t>
                  </w:r>
                </w:p>
              </w:tc>
              <w:tc>
                <w:tcPr>
                  <w:tcW w:w="3811" w:type="dxa"/>
                  <w:gridSpan w:val="2"/>
                  <w:tcBorders>
                    <w:tl2br w:val="nil"/>
                    <w:tr2bl w:val="nil"/>
                  </w:tcBorders>
                  <w:noWrap w:val="0"/>
                  <w:vAlign w:val="center"/>
                </w:tcPr>
                <w:p w14:paraId="697F7AE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定义</w:t>
                  </w:r>
                </w:p>
              </w:tc>
              <w:tc>
                <w:tcPr>
                  <w:tcW w:w="1766" w:type="dxa"/>
                  <w:tcBorders>
                    <w:tl2br w:val="nil"/>
                    <w:tr2bl w:val="nil"/>
                  </w:tcBorders>
                  <w:noWrap w:val="0"/>
                  <w:vAlign w:val="center"/>
                </w:tcPr>
                <w:p w14:paraId="04A9FD6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符合性分析</w:t>
                  </w:r>
                </w:p>
              </w:tc>
              <w:tc>
                <w:tcPr>
                  <w:tcW w:w="932" w:type="dxa"/>
                  <w:tcBorders>
                    <w:tl2br w:val="nil"/>
                    <w:tr2bl w:val="nil"/>
                  </w:tcBorders>
                  <w:noWrap w:val="0"/>
                  <w:vAlign w:val="center"/>
                </w:tcPr>
                <w:p w14:paraId="637407CA">
                  <w:pPr>
                    <w:keepNext w:val="0"/>
                    <w:keepLines w:val="0"/>
                    <w:pageBreakBefore w:val="0"/>
                    <w:kinsoku/>
                    <w:wordWrap/>
                    <w:overflowPunct/>
                    <w:topLinePunct w:val="0"/>
                    <w:autoSpaceDE/>
                    <w:autoSpaceDN/>
                    <w:bidi w:val="0"/>
                    <w:adjustRightInd w:val="0"/>
                    <w:snapToGrid w:val="0"/>
                    <w:spacing w:line="240" w:lineRule="auto"/>
                    <w:jc w:val="center"/>
                    <w:textAlignment w:val="auto"/>
                    <w:rPr>
                      <w:rFonts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符合性</w:t>
                  </w:r>
                </w:p>
              </w:tc>
            </w:tr>
            <w:tr w14:paraId="197406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restart"/>
                  <w:tcBorders>
                    <w:tl2br w:val="nil"/>
                    <w:tr2bl w:val="nil"/>
                  </w:tcBorders>
                  <w:noWrap w:val="0"/>
                  <w:vAlign w:val="center"/>
                </w:tcPr>
                <w:p w14:paraId="55CE549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000000" w:themeColor="text1"/>
                      <w:lang w:val="en-US" w:eastAsia="zh-CN"/>
                      <w14:textFill>
                        <w14:solidFill>
                          <w14:schemeClr w14:val="tx1"/>
                        </w14:solidFill>
                      </w14:textFill>
                    </w:rPr>
                  </w:pPr>
                  <w:r>
                    <w:rPr>
                      <w:rFonts w:hint="eastAsia" w:eastAsia="仿宋" w:cs="Times New Roman"/>
                      <w:color w:val="000000" w:themeColor="text1"/>
                      <w:lang w:val="en-US" w:eastAsia="zh-CN"/>
                      <w14:textFill>
                        <w14:solidFill>
                          <w14:schemeClr w14:val="tx1"/>
                        </w14:solidFill>
                      </w14:textFill>
                    </w:rPr>
                    <w:t>重点管控单元</w:t>
                  </w:r>
                </w:p>
              </w:tc>
              <w:tc>
                <w:tcPr>
                  <w:tcW w:w="466" w:type="dxa"/>
                  <w:tcBorders>
                    <w:tl2br w:val="nil"/>
                    <w:tr2bl w:val="nil"/>
                  </w:tcBorders>
                  <w:noWrap w:val="0"/>
                  <w:vAlign w:val="center"/>
                </w:tcPr>
                <w:p w14:paraId="11BC57F3">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 w:hAnsi="仿宋" w:eastAsia="仿宋" w:cs="Times New Roman"/>
                      <w:color w:val="000000" w:themeColor="text1"/>
                      <w14:textFill>
                        <w14:solidFill>
                          <w14:schemeClr w14:val="tx1"/>
                        </w14:solidFill>
                      </w14:textFill>
                    </w:rPr>
                  </w:pPr>
                  <w:r>
                    <w:rPr>
                      <w:rFonts w:ascii="仿宋" w:hAnsi="仿宋" w:eastAsia="仿宋" w:cs="Times New Roman"/>
                      <w:color w:val="000000" w:themeColor="text1"/>
                      <w14:textFill>
                        <w14:solidFill>
                          <w14:schemeClr w14:val="tx1"/>
                        </w14:solidFill>
                      </w14:textFill>
                    </w:rPr>
                    <w:t>空间布局约束</w:t>
                  </w:r>
                </w:p>
              </w:tc>
              <w:tc>
                <w:tcPr>
                  <w:tcW w:w="3345" w:type="dxa"/>
                  <w:tcBorders>
                    <w:tl2br w:val="nil"/>
                    <w:tr2bl w:val="nil"/>
                  </w:tcBorders>
                  <w:noWrap w:val="0"/>
                  <w:vAlign w:val="center"/>
                </w:tcPr>
                <w:p w14:paraId="6A2614C8">
                  <w:pPr>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仿宋" w:hAnsi="仿宋" w:eastAsia="仿宋" w:cs="Times New Roman"/>
                      <w:color w:val="000000" w:themeColor="text1"/>
                      <w:kern w:val="2"/>
                      <w:sz w:val="21"/>
                      <w:szCs w:val="24"/>
                      <w:lang w:val="en-US" w:eastAsia="zh-CN" w:bidi="ar-SA"/>
                      <w14:textFill>
                        <w14:solidFill>
                          <w14:schemeClr w14:val="tx1"/>
                        </w14:solidFill>
                      </w14:textFill>
                    </w:rPr>
                  </w:pPr>
                  <w:r>
                    <w:rPr>
                      <w:rFonts w:ascii="Times New Roman" w:hAnsi="Times New Roman" w:eastAsia="仿宋"/>
                      <w:color w:val="000000" w:themeColor="text1"/>
                      <w:kern w:val="2"/>
                      <w:sz w:val="21"/>
                      <w:szCs w:val="24"/>
                      <w14:textFill>
                        <w14:solidFill>
                          <w14:schemeClr w14:val="tx1"/>
                        </w14:solidFill>
                      </w14:textFill>
                    </w:rPr>
                    <w:t>严格执行园区（集聚区）规划和规划环评要求，根据国家产业政策、园区（集聚区）主导产业定位、《甘肃省国家重点生态功能区产业准入负面清单（试行）》等，建立差别化的产业准入要求；根据园区发展定位、环境特征等强化环境准入约束。合理规划居住区与工业功能区，在居住区和工业区、工业企业之间设置防护绿地、生活绿地等隔离带。落实《减污降碳协同增效实施方案》《“十四五”节能减排综合工作方案》《2030年前碳达峰行动方案》《中共中央 国务院关于完整准确全面贯彻新发展理念做好碳达峰碳中和工作的意见</w:t>
                  </w:r>
                  <w:r>
                    <w:rPr>
                      <w:rFonts w:hint="eastAsia" w:eastAsia="仿宋"/>
                      <w:color w:val="000000" w:themeColor="text1"/>
                      <w:kern w:val="2"/>
                      <w:sz w:val="21"/>
                      <w:szCs w:val="24"/>
                      <w:lang w:eastAsia="zh-CN"/>
                      <w14:textFill>
                        <w14:solidFill>
                          <w14:schemeClr w14:val="tx1"/>
                        </w14:solidFill>
                      </w14:textFill>
                    </w:rPr>
                    <w:t>》等</w:t>
                  </w:r>
                  <w:r>
                    <w:rPr>
                      <w:rFonts w:ascii="Times New Roman" w:hAnsi="Times New Roman" w:eastAsia="仿宋"/>
                      <w:color w:val="000000" w:themeColor="text1"/>
                      <w:kern w:val="2"/>
                      <w:sz w:val="21"/>
                      <w:szCs w:val="24"/>
                      <w14:textFill>
                        <w14:solidFill>
                          <w14:schemeClr w14:val="tx1"/>
                        </w14:solidFill>
                      </w14:textFill>
                    </w:rPr>
                    <w:t>相关要求，坚决遏制高耗能、高排放、低水平项目盲目发展，高耗能、高排放项目审批要严格落实国家产业规划、产业政策、环评审批、取水许可审批、节能审查以及污染物区域削减替代等要求，采取先进适用的工艺技术和装备，提升高耗能项目能耗准入标准，能耗、物耗、水耗要达到清洁生产先进水平。严格落实《甘肃省环境保护条例》相关要求，新建化工石化、有色冶金、制浆造纸以及国家有明确要求的工业项目，应当进入工业园区或者工业集聚区。对污染物排放不符合要求的生物质锅炉及时进行整改或淘汰。</w:t>
                  </w:r>
                </w:p>
              </w:tc>
              <w:tc>
                <w:tcPr>
                  <w:tcW w:w="1766" w:type="dxa"/>
                  <w:tcBorders>
                    <w:tl2br w:val="nil"/>
                    <w:tr2bl w:val="nil"/>
                  </w:tcBorders>
                  <w:noWrap w:val="0"/>
                  <w:vAlign w:val="center"/>
                </w:tcPr>
                <w:p w14:paraId="426DAE81">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0" w:firstLineChars="200"/>
                    <w:jc w:val="both"/>
                    <w:textAlignment w:val="auto"/>
                    <w:rPr>
                      <w:rFonts w:hint="eastAsia" w:ascii="Times New Roman" w:hAnsi="Times New Roman" w:eastAsia="仿宋" w:cs="Times New Roman"/>
                      <w:color w:val="000000" w:themeColor="text1"/>
                      <w:lang w:val="en-US" w:eastAsia="zh-CN"/>
                      <w14:textFill>
                        <w14:solidFill>
                          <w14:schemeClr w14:val="tx1"/>
                        </w14:solidFill>
                      </w14:textFill>
                    </w:rPr>
                  </w:pPr>
                  <w:r>
                    <w:rPr>
                      <w:rFonts w:hint="default" w:ascii="Times New Roman" w:hAnsi="Times New Roman" w:eastAsia="仿宋" w:cs="Times New Roman"/>
                      <w:color w:val="000000" w:themeColor="text1"/>
                      <w:lang w:val="en-US" w:eastAsia="zh-CN"/>
                      <w14:textFill>
                        <w14:solidFill>
                          <w14:schemeClr w14:val="tx1"/>
                        </w14:solidFill>
                      </w14:textFill>
                    </w:rPr>
                    <w:t>本项目位于</w:t>
                  </w:r>
                  <w:r>
                    <w:rPr>
                      <w:rFonts w:hint="eastAsia" w:ascii="Times New Roman" w:hAnsi="Times New Roman" w:eastAsia="仿宋" w:cs="Times New Roman"/>
                      <w:color w:val="000000" w:themeColor="text1"/>
                      <w:lang w:val="en-US" w:eastAsia="zh-CN"/>
                      <w14:textFill>
                        <w14:solidFill>
                          <w14:schemeClr w14:val="tx1"/>
                        </w14:solidFill>
                      </w14:textFill>
                    </w:rPr>
                    <w:t>张掖</w:t>
                  </w:r>
                  <w:r>
                    <w:rPr>
                      <w:rFonts w:hint="default" w:ascii="Times New Roman" w:hAnsi="Times New Roman" w:eastAsia="仿宋" w:cs="Times New Roman"/>
                      <w:color w:val="000000" w:themeColor="text1"/>
                      <w:lang w:val="en-US" w:eastAsia="zh-CN"/>
                      <w14:textFill>
                        <w14:solidFill>
                          <w14:schemeClr w14:val="tx1"/>
                        </w14:solidFill>
                      </w14:textFill>
                    </w:rPr>
                    <w:t>市</w:t>
                  </w:r>
                  <w:r>
                    <w:rPr>
                      <w:rFonts w:hint="eastAsia" w:ascii="Times New Roman" w:hAnsi="Times New Roman" w:eastAsia="仿宋" w:cs="Times New Roman"/>
                      <w:color w:val="000000" w:themeColor="text1"/>
                      <w:lang w:val="en-US" w:eastAsia="zh-CN"/>
                      <w14:textFill>
                        <w14:solidFill>
                          <w14:schemeClr w14:val="tx1"/>
                        </w14:solidFill>
                      </w14:textFill>
                    </w:rPr>
                    <w:t>临泽县平川镇小黑山</w:t>
                  </w:r>
                  <w:r>
                    <w:rPr>
                      <w:rFonts w:hint="default" w:ascii="Times New Roman" w:hAnsi="Times New Roman" w:eastAsia="仿宋" w:cs="Times New Roman"/>
                      <w:color w:val="000000" w:themeColor="text1"/>
                      <w:lang w:val="en-US" w:eastAsia="zh-CN"/>
                      <w14:textFill>
                        <w14:solidFill>
                          <w14:schemeClr w14:val="tx1"/>
                        </w14:solidFill>
                      </w14:textFill>
                    </w:rPr>
                    <w:t>，</w:t>
                  </w:r>
                  <w:r>
                    <w:rPr>
                      <w:rFonts w:eastAsia="仿宋"/>
                      <w:color w:val="000000" w:themeColor="text1"/>
                      <w14:textFill>
                        <w14:solidFill>
                          <w14:schemeClr w14:val="tx1"/>
                        </w14:solidFill>
                      </w14:textFill>
                    </w:rPr>
                    <w:t>本项目</w:t>
                  </w:r>
                  <w:r>
                    <w:rPr>
                      <w:rFonts w:hint="eastAsia" w:eastAsia="仿宋"/>
                      <w:color w:val="000000" w:themeColor="text1"/>
                      <w:lang w:val="en-US" w:eastAsia="zh-CN"/>
                      <w14:textFill>
                        <w14:solidFill>
                          <w14:schemeClr w14:val="tx1"/>
                        </w14:solidFill>
                      </w14:textFill>
                    </w:rPr>
                    <w:t>不属于高耗能、高排放、</w:t>
                  </w:r>
                  <w:r>
                    <w:rPr>
                      <w:rFonts w:ascii="Times New Roman" w:hAnsi="Times New Roman" w:eastAsia="仿宋"/>
                      <w:color w:val="000000" w:themeColor="text1"/>
                      <w:kern w:val="2"/>
                      <w:sz w:val="21"/>
                      <w:szCs w:val="24"/>
                      <w14:textFill>
                        <w14:solidFill>
                          <w14:schemeClr w14:val="tx1"/>
                        </w14:solidFill>
                      </w14:textFill>
                    </w:rPr>
                    <w:t>化工石化、有色冶金、制浆造纸</w:t>
                  </w:r>
                  <w:r>
                    <w:rPr>
                      <w:rFonts w:hint="eastAsia" w:eastAsia="仿宋"/>
                      <w:color w:val="000000" w:themeColor="text1"/>
                      <w:kern w:val="2"/>
                      <w:sz w:val="21"/>
                      <w:szCs w:val="24"/>
                      <w:lang w:val="en-US" w:eastAsia="zh-CN"/>
                      <w14:textFill>
                        <w14:solidFill>
                          <w14:schemeClr w14:val="tx1"/>
                        </w14:solidFill>
                      </w14:textFill>
                    </w:rPr>
                    <w:t>等</w:t>
                  </w:r>
                  <w:r>
                    <w:rPr>
                      <w:rFonts w:ascii="Times New Roman" w:hAnsi="Times New Roman" w:eastAsia="仿宋"/>
                      <w:color w:val="000000" w:themeColor="text1"/>
                      <w:kern w:val="2"/>
                      <w:sz w:val="21"/>
                      <w:szCs w:val="24"/>
                      <w14:textFill>
                        <w14:solidFill>
                          <w14:schemeClr w14:val="tx1"/>
                        </w14:solidFill>
                      </w14:textFill>
                    </w:rPr>
                    <w:t>工业项目</w:t>
                  </w:r>
                  <w:r>
                    <w:rPr>
                      <w:rFonts w:hint="eastAsia" w:eastAsia="仿宋"/>
                      <w:color w:val="000000" w:themeColor="text1"/>
                      <w:kern w:val="2"/>
                      <w:sz w:val="21"/>
                      <w:szCs w:val="24"/>
                      <w:lang w:eastAsia="zh-CN"/>
                      <w14:textFill>
                        <w14:solidFill>
                          <w14:schemeClr w14:val="tx1"/>
                        </w14:solidFill>
                      </w14:textFill>
                    </w:rPr>
                    <w:t>；</w:t>
                  </w:r>
                  <w:r>
                    <w:rPr>
                      <w:rFonts w:hint="eastAsia" w:eastAsia="仿宋"/>
                      <w:color w:val="000000" w:themeColor="text1"/>
                      <w:kern w:val="2"/>
                      <w:sz w:val="21"/>
                      <w:szCs w:val="24"/>
                      <w:lang w:val="en-US" w:eastAsia="zh-CN"/>
                      <w14:textFill>
                        <w14:solidFill>
                          <w14:schemeClr w14:val="tx1"/>
                        </w14:solidFill>
                      </w14:textFill>
                    </w:rPr>
                    <w:t>本项目不建设锅炉</w:t>
                  </w:r>
                  <w:r>
                    <w:rPr>
                      <w:rFonts w:eastAsia="仿宋"/>
                      <w:color w:val="000000" w:themeColor="text1"/>
                      <w14:textFill>
                        <w14:solidFill>
                          <w14:schemeClr w14:val="tx1"/>
                        </w14:solidFill>
                      </w14:textFill>
                    </w:rPr>
                    <w:t>。</w:t>
                  </w:r>
                </w:p>
              </w:tc>
              <w:tc>
                <w:tcPr>
                  <w:tcW w:w="932" w:type="dxa"/>
                  <w:vMerge w:val="restart"/>
                  <w:tcBorders>
                    <w:tl2br w:val="nil"/>
                    <w:tr2bl w:val="nil"/>
                  </w:tcBorders>
                  <w:noWrap w:val="0"/>
                  <w:vAlign w:val="center"/>
                </w:tcPr>
                <w:p w14:paraId="43CB09D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000000" w:themeColor="text1"/>
                      <w:lang w:val="en-US" w:eastAsia="zh-CN"/>
                      <w14:textFill>
                        <w14:solidFill>
                          <w14:schemeClr w14:val="tx1"/>
                        </w14:solidFill>
                      </w14:textFill>
                    </w:rPr>
                  </w:pPr>
                  <w:r>
                    <w:rPr>
                      <w:rFonts w:hint="eastAsia" w:eastAsia="仿宋" w:cs="Times New Roman"/>
                      <w:color w:val="000000" w:themeColor="text1"/>
                      <w:lang w:val="en-US" w:eastAsia="zh-CN"/>
                      <w14:textFill>
                        <w14:solidFill>
                          <w14:schemeClr w14:val="tx1"/>
                        </w14:solidFill>
                      </w14:textFill>
                    </w:rPr>
                    <w:t>符合</w:t>
                  </w:r>
                </w:p>
              </w:tc>
            </w:tr>
            <w:tr w14:paraId="356F33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continue"/>
                  <w:tcBorders>
                    <w:tl2br w:val="nil"/>
                    <w:tr2bl w:val="nil"/>
                  </w:tcBorders>
                  <w:noWrap w:val="0"/>
                  <w:vAlign w:val="center"/>
                </w:tcPr>
                <w:p w14:paraId="66230A1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color w:val="000000" w:themeColor="text1"/>
                      <w:lang w:val="en-US" w:eastAsia="zh-CN"/>
                      <w14:textFill>
                        <w14:solidFill>
                          <w14:schemeClr w14:val="tx1"/>
                        </w14:solidFill>
                      </w14:textFill>
                    </w:rPr>
                  </w:pPr>
                </w:p>
              </w:tc>
              <w:tc>
                <w:tcPr>
                  <w:tcW w:w="466" w:type="dxa"/>
                  <w:tcBorders>
                    <w:tl2br w:val="nil"/>
                    <w:tr2bl w:val="nil"/>
                  </w:tcBorders>
                  <w:noWrap w:val="0"/>
                  <w:vAlign w:val="center"/>
                </w:tcPr>
                <w:p w14:paraId="5376F25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仿宋" w:hAnsi="仿宋" w:eastAsia="仿宋" w:cs="Times New Roman"/>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污染物排</w:t>
                  </w:r>
                  <w:r>
                    <w:rPr>
                      <w:rFonts w:eastAsia="仿宋"/>
                      <w:color w:val="000000" w:themeColor="text1"/>
                      <w14:textFill>
                        <w14:solidFill>
                          <w14:schemeClr w14:val="tx1"/>
                        </w14:solidFill>
                      </w14:textFill>
                    </w:rPr>
                    <w:t xml:space="preserve"> </w:t>
                  </w:r>
                  <w:r>
                    <w:rPr>
                      <w:rFonts w:ascii="仿宋" w:hAnsi="仿宋" w:eastAsia="仿宋"/>
                      <w:color w:val="000000" w:themeColor="text1"/>
                      <w14:textFill>
                        <w14:solidFill>
                          <w14:schemeClr w14:val="tx1"/>
                        </w14:solidFill>
                      </w14:textFill>
                    </w:rPr>
                    <w:t>放管控</w:t>
                  </w:r>
                </w:p>
              </w:tc>
              <w:tc>
                <w:tcPr>
                  <w:tcW w:w="3345" w:type="dxa"/>
                  <w:tcBorders>
                    <w:tl2br w:val="nil"/>
                    <w:tr2bl w:val="nil"/>
                  </w:tcBorders>
                  <w:noWrap w:val="0"/>
                  <w:vAlign w:val="center"/>
                </w:tcPr>
                <w:p w14:paraId="37C8EFAF">
                  <w:pPr>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仿宋" w:hAnsi="仿宋" w:eastAsia="仿宋" w:cs="Times New Roman"/>
                      <w:color w:val="000000" w:themeColor="text1"/>
                      <w:kern w:val="2"/>
                      <w:sz w:val="21"/>
                      <w:szCs w:val="24"/>
                      <w:lang w:val="en-US" w:eastAsia="zh-CN" w:bidi="ar-SA"/>
                      <w14:textFill>
                        <w14:solidFill>
                          <w14:schemeClr w14:val="tx1"/>
                        </w14:solidFill>
                      </w14:textFill>
                    </w:rPr>
                  </w:pPr>
                  <w:r>
                    <w:rPr>
                      <w:rFonts w:hint="eastAsia" w:eastAsia="仿宋"/>
                      <w:color w:val="000000" w:themeColor="text1"/>
                      <w:kern w:val="2"/>
                      <w:sz w:val="21"/>
                      <w:szCs w:val="24"/>
                      <w:lang w:eastAsia="zh-CN"/>
                      <w14:textFill>
                        <w14:solidFill>
                          <w14:schemeClr w14:val="tx1"/>
                        </w14:solidFill>
                      </w14:textFill>
                    </w:rPr>
                    <w:t>1.</w:t>
                  </w:r>
                  <w:r>
                    <w:rPr>
                      <w:rFonts w:ascii="Times New Roman" w:hAnsi="Times New Roman" w:eastAsia="仿宋"/>
                      <w:color w:val="000000" w:themeColor="text1"/>
                      <w:kern w:val="2"/>
                      <w:sz w:val="21"/>
                      <w:szCs w:val="24"/>
                      <w14:textFill>
                        <w14:solidFill>
                          <w14:schemeClr w14:val="tx1"/>
                        </w14:solidFill>
                      </w14:textFill>
                    </w:rPr>
                    <w:t>各类工业园区（集聚区）：严格实行污染物总量控制制度，根据区域环境质量改善目标，削减污染物排放总量。严格执行环境影响评价制度，同步规划、建设和完善污水、垃圾集中处置等污染治理设施，工业园区（集聚区）内各企业工业废水必须经预处理达到集中处理要求，方可进入工业园区（集聚区）污水集中处理设施。加强土壤和地下水污染防治与修复，发现污染扩散的，有关责任主体要及时采取污染物隔离、阻断等环境风险管控措施。落实《关于加强高耗能、高排放建设项目生态环境源头防控的指导意见》加强规划约束、严格“两高”项目环评审批、推进“两高”行业减污降碳协同控制等要求，加强“两高”项目生态环境源头防控。严格执行《地下水管理条例》中污染防治相关要求。落实《甘肃省减污降碳协同增效实施方案》相关要求，依法实施“双超</w:t>
                  </w:r>
                  <w:r>
                    <w:rPr>
                      <w:rFonts w:hint="eastAsia" w:ascii="Times New Roman" w:hAnsi="Times New Roman" w:eastAsia="仿宋"/>
                      <w:color w:val="000000" w:themeColor="text1"/>
                      <w:kern w:val="2"/>
                      <w:sz w:val="21"/>
                      <w:szCs w:val="24"/>
                      <w14:textFill>
                        <w14:solidFill>
                          <w14:schemeClr w14:val="tx1"/>
                        </w14:solidFill>
                      </w14:textFill>
                    </w:rPr>
                    <w:t>双优</w:t>
                  </w:r>
                  <w:r>
                    <w:rPr>
                      <w:rFonts w:ascii="Times New Roman" w:hAnsi="Times New Roman" w:eastAsia="仿宋"/>
                      <w:color w:val="000000" w:themeColor="text1"/>
                      <w:kern w:val="2"/>
                      <w:sz w:val="21"/>
                      <w:szCs w:val="24"/>
                      <w14:textFill>
                        <w14:solidFill>
                          <w14:schemeClr w14:val="tx1"/>
                        </w14:solidFill>
                      </w14:textFill>
                    </w:rPr>
                    <w:t>高耗能”企业强制性清洁生产审核。全省新建钢铁项目原则上要达到超低排放水平。新、改、扩建涉重金属重点行业建设项目遵循重金属污染物排放“等量替换”原则，在环境影响评价文件及其批复中明确重金属污染物排放总量及来源。有色金属行业、铅蓄电池制造业等涉重金属重点行业企业继续依法依规开展落后产能淘汰工作，有色金属采选冶炼、铅酸蓄电池制造、皮革、化学原料及化学制品生产、电镀等涉重金属重点行业企业生产工艺设备实施升级改造。</w:t>
                  </w:r>
                </w:p>
              </w:tc>
              <w:tc>
                <w:tcPr>
                  <w:tcW w:w="1766" w:type="dxa"/>
                  <w:tcBorders>
                    <w:tl2br w:val="nil"/>
                    <w:tr2bl w:val="nil"/>
                  </w:tcBorders>
                  <w:noWrap w:val="0"/>
                  <w:vAlign w:val="center"/>
                </w:tcPr>
                <w:p w14:paraId="5AD8AB03">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0" w:firstLineChars="200"/>
                    <w:jc w:val="both"/>
                    <w:textAlignment w:val="auto"/>
                    <w:rPr>
                      <w:rFonts w:hint="eastAsia" w:ascii="Times New Roman" w:hAnsi="Times New Roman" w:eastAsia="仿宋" w:cs="Times New Roman"/>
                      <w:color w:val="000000" w:themeColor="text1"/>
                      <w:lang w:val="en-US" w:eastAsia="zh-CN"/>
                      <w14:textFill>
                        <w14:solidFill>
                          <w14:schemeClr w14:val="tx1"/>
                        </w14:solidFill>
                      </w14:textFill>
                    </w:rPr>
                  </w:pPr>
                  <w:r>
                    <w:rPr>
                      <w:rFonts w:eastAsia="仿宋"/>
                      <w:color w:val="000000" w:themeColor="text1"/>
                      <w14:textFill>
                        <w14:solidFill>
                          <w14:schemeClr w14:val="tx1"/>
                        </w14:solidFill>
                      </w14:textFill>
                    </w:rPr>
                    <w:t>本项目不属于“两高”项目，本项目生产过程中对废气、废水、噪声采用相应治理措施，实现达标排放，固废得到合理有效</w:t>
                  </w:r>
                  <w:r>
                    <w:rPr>
                      <w:rFonts w:hint="eastAsia" w:eastAsia="仿宋"/>
                      <w:color w:val="000000" w:themeColor="text1"/>
                      <w:lang w:eastAsia="zh-CN"/>
                      <w14:textFill>
                        <w14:solidFill>
                          <w14:schemeClr w14:val="tx1"/>
                        </w14:solidFill>
                      </w14:textFill>
                    </w:rPr>
                    <w:t>的</w:t>
                  </w:r>
                  <w:r>
                    <w:rPr>
                      <w:rFonts w:eastAsia="仿宋"/>
                      <w:color w:val="000000" w:themeColor="text1"/>
                      <w14:textFill>
                        <w14:solidFill>
                          <w14:schemeClr w14:val="tx1"/>
                        </w14:solidFill>
                      </w14:textFill>
                    </w:rPr>
                    <w:t>处置措施，减少对周围环境的影响。</w:t>
                  </w:r>
                </w:p>
              </w:tc>
              <w:tc>
                <w:tcPr>
                  <w:tcW w:w="932" w:type="dxa"/>
                  <w:vMerge w:val="continue"/>
                  <w:tcBorders>
                    <w:tl2br w:val="nil"/>
                    <w:tr2bl w:val="nil"/>
                  </w:tcBorders>
                  <w:noWrap w:val="0"/>
                  <w:vAlign w:val="center"/>
                </w:tcPr>
                <w:p w14:paraId="4C5F8BF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color w:val="000000" w:themeColor="text1"/>
                      <w:lang w:val="en-US" w:eastAsia="zh-CN"/>
                      <w14:textFill>
                        <w14:solidFill>
                          <w14:schemeClr w14:val="tx1"/>
                        </w14:solidFill>
                      </w14:textFill>
                    </w:rPr>
                  </w:pPr>
                </w:p>
              </w:tc>
            </w:tr>
            <w:tr w14:paraId="33A55E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continue"/>
                  <w:tcBorders>
                    <w:tl2br w:val="nil"/>
                    <w:tr2bl w:val="nil"/>
                  </w:tcBorders>
                  <w:noWrap w:val="0"/>
                  <w:vAlign w:val="center"/>
                </w:tcPr>
                <w:p w14:paraId="1C05D93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color w:val="000000" w:themeColor="text1"/>
                      <w:lang w:val="en-US" w:eastAsia="zh-CN"/>
                      <w14:textFill>
                        <w14:solidFill>
                          <w14:schemeClr w14:val="tx1"/>
                        </w14:solidFill>
                      </w14:textFill>
                    </w:rPr>
                  </w:pPr>
                </w:p>
              </w:tc>
              <w:tc>
                <w:tcPr>
                  <w:tcW w:w="466" w:type="dxa"/>
                  <w:tcBorders>
                    <w:tl2br w:val="nil"/>
                    <w:tr2bl w:val="nil"/>
                  </w:tcBorders>
                  <w:noWrap w:val="0"/>
                  <w:vAlign w:val="center"/>
                </w:tcPr>
                <w:p w14:paraId="507E509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仿宋" w:hAnsi="仿宋" w:eastAsia="仿宋" w:cs="Times New Roman"/>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环境风险防控</w:t>
                  </w:r>
                </w:p>
              </w:tc>
              <w:tc>
                <w:tcPr>
                  <w:tcW w:w="3345" w:type="dxa"/>
                  <w:tcBorders>
                    <w:tl2br w:val="nil"/>
                    <w:tr2bl w:val="nil"/>
                  </w:tcBorders>
                  <w:noWrap w:val="0"/>
                  <w:vAlign w:val="center"/>
                </w:tcPr>
                <w:p w14:paraId="7ECAC09C">
                  <w:pPr>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仿宋" w:hAnsi="仿宋" w:eastAsia="仿宋" w:cs="Times New Roman"/>
                      <w:color w:val="000000" w:themeColor="text1"/>
                      <w:kern w:val="2"/>
                      <w:sz w:val="21"/>
                      <w:szCs w:val="24"/>
                      <w:lang w:val="en-US" w:eastAsia="zh-CN" w:bidi="ar-SA"/>
                      <w14:textFill>
                        <w14:solidFill>
                          <w14:schemeClr w14:val="tx1"/>
                        </w14:solidFill>
                      </w14:textFill>
                    </w:rPr>
                  </w:pPr>
                  <w:r>
                    <w:rPr>
                      <w:rFonts w:hint="eastAsia" w:eastAsia="仿宋"/>
                      <w:color w:val="000000" w:themeColor="text1"/>
                      <w:kern w:val="2"/>
                      <w:sz w:val="21"/>
                      <w:szCs w:val="24"/>
                      <w:lang w:eastAsia="zh-CN"/>
                      <w14:textFill>
                        <w14:solidFill>
                          <w14:schemeClr w14:val="tx1"/>
                        </w14:solidFill>
                      </w14:textFill>
                    </w:rPr>
                    <w:t>1.</w:t>
                  </w:r>
                  <w:r>
                    <w:rPr>
                      <w:rFonts w:ascii="Times New Roman" w:hAnsi="Times New Roman" w:eastAsia="仿宋"/>
                      <w:color w:val="000000" w:themeColor="text1"/>
                      <w:kern w:val="2"/>
                      <w:sz w:val="21"/>
                      <w:szCs w:val="24"/>
                      <w14:textFill>
                        <w14:solidFill>
                          <w14:schemeClr w14:val="tx1"/>
                        </w14:solidFill>
                      </w14:textFill>
                    </w:rPr>
                    <w:t>各类工业园区（集聚区）：强化工业园区（集聚区）企业环境风险防范设施建设和正常运行监管，建立常态化的企业环境风险隐患排查整治机制，加强园区（集聚区）风险防控体系建设。严格落实《甘肃省环境保护条例》相关要求，企业事业单位和其他生产经营者应当定期排查环境安全隐患，开展环境风险评估，依法编制突发环境事件应急预案，报所在地生态环境主管部门和有关部门备案，并定期组织演练。</w:t>
                  </w:r>
                </w:p>
              </w:tc>
              <w:tc>
                <w:tcPr>
                  <w:tcW w:w="1766" w:type="dxa"/>
                  <w:tcBorders>
                    <w:tl2br w:val="nil"/>
                    <w:tr2bl w:val="nil"/>
                  </w:tcBorders>
                  <w:noWrap w:val="0"/>
                  <w:vAlign w:val="center"/>
                </w:tcPr>
                <w:p w14:paraId="771BAAE9">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0" w:firstLineChars="200"/>
                    <w:jc w:val="both"/>
                    <w:textAlignment w:val="auto"/>
                    <w:rPr>
                      <w:rFonts w:hint="eastAsia" w:ascii="Times New Roman" w:hAnsi="Times New Roman" w:eastAsia="仿宋" w:cs="Times New Roman"/>
                      <w:color w:val="000000" w:themeColor="text1"/>
                      <w:lang w:val="en-US" w:eastAsia="zh-CN"/>
                      <w14:textFill>
                        <w14:solidFill>
                          <w14:schemeClr w14:val="tx1"/>
                        </w14:solidFill>
                      </w14:textFill>
                    </w:rPr>
                  </w:pPr>
                  <w:r>
                    <w:rPr>
                      <w:rFonts w:eastAsia="仿宋"/>
                      <w:color w:val="000000" w:themeColor="text1"/>
                      <w:szCs w:val="21"/>
                      <w14:textFill>
                        <w14:solidFill>
                          <w14:schemeClr w14:val="tx1"/>
                        </w14:solidFill>
                      </w14:textFill>
                    </w:rPr>
                    <w:t>本项目环境风险为简单分析，加强管理可减少环境风险；同时根据要求编制突发环境事件应急预案并加强应急演练。</w:t>
                  </w:r>
                </w:p>
              </w:tc>
              <w:tc>
                <w:tcPr>
                  <w:tcW w:w="932" w:type="dxa"/>
                  <w:vMerge w:val="continue"/>
                  <w:tcBorders>
                    <w:tl2br w:val="nil"/>
                    <w:tr2bl w:val="nil"/>
                  </w:tcBorders>
                  <w:noWrap w:val="0"/>
                  <w:vAlign w:val="center"/>
                </w:tcPr>
                <w:p w14:paraId="07B8698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color w:val="000000" w:themeColor="text1"/>
                      <w:lang w:val="en-US" w:eastAsia="zh-CN"/>
                      <w14:textFill>
                        <w14:solidFill>
                          <w14:schemeClr w14:val="tx1"/>
                        </w14:solidFill>
                      </w14:textFill>
                    </w:rPr>
                  </w:pPr>
                </w:p>
              </w:tc>
            </w:tr>
            <w:tr w14:paraId="1CECAFF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continue"/>
                  <w:tcBorders>
                    <w:tl2br w:val="nil"/>
                    <w:tr2bl w:val="nil"/>
                  </w:tcBorders>
                  <w:noWrap w:val="0"/>
                  <w:vAlign w:val="center"/>
                </w:tcPr>
                <w:p w14:paraId="556D5A4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color w:val="000000" w:themeColor="text1"/>
                      <w:lang w:val="en-US" w:eastAsia="zh-CN"/>
                      <w14:textFill>
                        <w14:solidFill>
                          <w14:schemeClr w14:val="tx1"/>
                        </w14:solidFill>
                      </w14:textFill>
                    </w:rPr>
                  </w:pPr>
                </w:p>
              </w:tc>
              <w:tc>
                <w:tcPr>
                  <w:tcW w:w="466" w:type="dxa"/>
                  <w:tcBorders>
                    <w:tl2br w:val="nil"/>
                    <w:tr2bl w:val="nil"/>
                  </w:tcBorders>
                  <w:noWrap w:val="0"/>
                  <w:vAlign w:val="center"/>
                </w:tcPr>
                <w:p w14:paraId="3A78640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仿宋" w:hAnsi="仿宋" w:eastAsia="仿宋" w:cs="Times New Roman"/>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资源利用</w:t>
                  </w:r>
                  <w:r>
                    <w:rPr>
                      <w:rFonts w:eastAsia="仿宋"/>
                      <w:color w:val="000000" w:themeColor="text1"/>
                      <w14:textFill>
                        <w14:solidFill>
                          <w14:schemeClr w14:val="tx1"/>
                        </w14:solidFill>
                      </w14:textFill>
                    </w:rPr>
                    <w:t xml:space="preserve"> </w:t>
                  </w:r>
                  <w:r>
                    <w:rPr>
                      <w:rFonts w:ascii="仿宋" w:hAnsi="仿宋" w:eastAsia="仿宋"/>
                      <w:color w:val="000000" w:themeColor="text1"/>
                      <w14:textFill>
                        <w14:solidFill>
                          <w14:schemeClr w14:val="tx1"/>
                        </w14:solidFill>
                      </w14:textFill>
                    </w:rPr>
                    <w:t>效率</w:t>
                  </w:r>
                </w:p>
              </w:tc>
              <w:tc>
                <w:tcPr>
                  <w:tcW w:w="3345" w:type="dxa"/>
                  <w:tcBorders>
                    <w:tl2br w:val="nil"/>
                    <w:tr2bl w:val="nil"/>
                  </w:tcBorders>
                  <w:noWrap w:val="0"/>
                  <w:vAlign w:val="center"/>
                </w:tcPr>
                <w:p w14:paraId="5B7DFA7F">
                  <w:pPr>
                    <w:pStyle w:val="9"/>
                    <w:adjustRightInd w:val="0"/>
                    <w:snapToGrid w:val="0"/>
                    <w:ind w:firstLine="420" w:firstLineChars="200"/>
                    <w:jc w:val="both"/>
                    <w:rPr>
                      <w:rFonts w:eastAsia="仿宋"/>
                      <w:color w:val="000000" w:themeColor="text1"/>
                      <w:kern w:val="2"/>
                      <w:sz w:val="21"/>
                      <w:szCs w:val="24"/>
                      <w14:textFill>
                        <w14:solidFill>
                          <w14:schemeClr w14:val="tx1"/>
                        </w14:solidFill>
                      </w14:textFill>
                    </w:rPr>
                  </w:pPr>
                  <w:r>
                    <w:rPr>
                      <w:rFonts w:hint="eastAsia" w:eastAsia="仿宋"/>
                      <w:color w:val="000000" w:themeColor="text1"/>
                      <w:kern w:val="2"/>
                      <w:sz w:val="21"/>
                      <w:szCs w:val="24"/>
                      <w:lang w:eastAsia="zh-CN"/>
                      <w14:textFill>
                        <w14:solidFill>
                          <w14:schemeClr w14:val="tx1"/>
                        </w14:solidFill>
                      </w14:textFill>
                    </w:rPr>
                    <w:t>1.</w:t>
                  </w:r>
                  <w:r>
                    <w:rPr>
                      <w:rFonts w:eastAsia="仿宋"/>
                      <w:color w:val="000000" w:themeColor="text1"/>
                      <w:kern w:val="2"/>
                      <w:sz w:val="21"/>
                      <w:szCs w:val="24"/>
                      <w14:textFill>
                        <w14:solidFill>
                          <w14:schemeClr w14:val="tx1"/>
                        </w14:solidFill>
                      </w14:textFill>
                    </w:rPr>
                    <w:t>落实《甘肃省“十四五”能源发展规划》《甘肃省十四五节能减排综合工作方案》提高能源资源利用效率相关要求，严格落实能耗管控制度，有效抑制石油消费增量，引导扩大天然气消费，提高农村用能效率。</w:t>
                  </w:r>
                  <w:r>
                    <w:rPr>
                      <w:rFonts w:hint="eastAsia" w:eastAsia="仿宋"/>
                      <w:color w:val="000000" w:themeColor="text1"/>
                      <w:kern w:val="2"/>
                      <w:sz w:val="21"/>
                      <w:szCs w:val="24"/>
                      <w14:textFill>
                        <w14:solidFill>
                          <w14:schemeClr w14:val="tx1"/>
                        </w14:solidFill>
                      </w14:textFill>
                    </w:rPr>
                    <w:t>“十四五”时期</w:t>
                  </w:r>
                  <w:r>
                    <w:rPr>
                      <w:rFonts w:eastAsia="仿宋"/>
                      <w:color w:val="000000" w:themeColor="text1"/>
                      <w:kern w:val="2"/>
                      <w:sz w:val="21"/>
                      <w:szCs w:val="24"/>
                      <w14:textFill>
                        <w14:solidFill>
                          <w14:schemeClr w14:val="tx1"/>
                        </w14:solidFill>
                      </w14:textFill>
                    </w:rPr>
                    <w:t>，规模以上工业单位增加值能耗下降13.5</w:t>
                  </w:r>
                  <w:r>
                    <w:rPr>
                      <w:rFonts w:hint="eastAsia" w:eastAsia="仿宋"/>
                      <w:color w:val="000000" w:themeColor="text1"/>
                      <w:kern w:val="2"/>
                      <w:sz w:val="21"/>
                      <w:szCs w:val="24"/>
                      <w:lang w:val="en-US" w:eastAsia="zh-CN"/>
                      <w14:textFill>
                        <w14:solidFill>
                          <w14:schemeClr w14:val="tx1"/>
                        </w14:solidFill>
                      </w14:textFill>
                    </w:rPr>
                    <w:t>%</w:t>
                  </w:r>
                  <w:r>
                    <w:rPr>
                      <w:rFonts w:eastAsia="仿宋"/>
                      <w:color w:val="000000" w:themeColor="text1"/>
                      <w:kern w:val="2"/>
                      <w:sz w:val="21"/>
                      <w:szCs w:val="24"/>
                      <w14:textFill>
                        <w14:solidFill>
                          <w14:schemeClr w14:val="tx1"/>
                        </w14:solidFill>
                      </w14:textFill>
                    </w:rPr>
                    <w:t>，万元工业增加值用水量下降12.9</w:t>
                  </w:r>
                  <w:r>
                    <w:rPr>
                      <w:rFonts w:hint="eastAsia" w:eastAsia="仿宋"/>
                      <w:color w:val="000000" w:themeColor="text1"/>
                      <w:kern w:val="2"/>
                      <w:sz w:val="21"/>
                      <w:szCs w:val="24"/>
                      <w:lang w:val="en-US" w:eastAsia="zh-CN"/>
                      <w14:textFill>
                        <w14:solidFill>
                          <w14:schemeClr w14:val="tx1"/>
                        </w14:solidFill>
                      </w14:textFill>
                    </w:rPr>
                    <w:t>%</w:t>
                  </w:r>
                  <w:r>
                    <w:rPr>
                      <w:rFonts w:eastAsia="仿宋"/>
                      <w:color w:val="000000" w:themeColor="text1"/>
                      <w:kern w:val="2"/>
                      <w:sz w:val="21"/>
                      <w:szCs w:val="24"/>
                      <w14:textFill>
                        <w14:solidFill>
                          <w14:schemeClr w14:val="tx1"/>
                        </w14:solidFill>
                      </w14:textFill>
                    </w:rPr>
                    <w:t>。</w:t>
                  </w:r>
                </w:p>
                <w:p w14:paraId="1F7B4D20">
                  <w:pPr>
                    <w:pStyle w:val="9"/>
                    <w:adjustRightInd w:val="0"/>
                    <w:snapToGrid w:val="0"/>
                    <w:ind w:firstLine="420" w:firstLineChars="200"/>
                    <w:jc w:val="both"/>
                    <w:rPr>
                      <w:rFonts w:eastAsia="仿宋"/>
                      <w:color w:val="000000" w:themeColor="text1"/>
                      <w:kern w:val="2"/>
                      <w:sz w:val="21"/>
                      <w:szCs w:val="24"/>
                      <w14:textFill>
                        <w14:solidFill>
                          <w14:schemeClr w14:val="tx1"/>
                        </w14:solidFill>
                      </w14:textFill>
                    </w:rPr>
                  </w:pPr>
                  <w:r>
                    <w:rPr>
                      <w:rFonts w:hint="eastAsia" w:eastAsia="仿宋"/>
                      <w:color w:val="000000" w:themeColor="text1"/>
                      <w:kern w:val="2"/>
                      <w:sz w:val="21"/>
                      <w:szCs w:val="24"/>
                      <w:lang w:eastAsia="zh-CN"/>
                      <w14:textFill>
                        <w14:solidFill>
                          <w14:schemeClr w14:val="tx1"/>
                        </w14:solidFill>
                      </w14:textFill>
                    </w:rPr>
                    <w:t>2.</w:t>
                  </w:r>
                  <w:r>
                    <w:rPr>
                      <w:rFonts w:eastAsia="仿宋"/>
                      <w:color w:val="000000" w:themeColor="text1"/>
                      <w:kern w:val="2"/>
                      <w:sz w:val="21"/>
                      <w:szCs w:val="24"/>
                      <w14:textFill>
                        <w14:solidFill>
                          <w14:schemeClr w14:val="tx1"/>
                        </w14:solidFill>
                      </w14:textFill>
                    </w:rPr>
                    <w:t>落实《关于进一步加强水资源节约集约利用的意见》《甘肃省“十四五”水利发展规划</w:t>
                  </w:r>
                  <w:r>
                    <w:rPr>
                      <w:rFonts w:hint="eastAsia" w:eastAsia="仿宋"/>
                      <w:color w:val="000000" w:themeColor="text1"/>
                      <w:kern w:val="2"/>
                      <w:sz w:val="21"/>
                      <w:szCs w:val="24"/>
                      <w:lang w:eastAsia="zh-CN"/>
                      <w14:textFill>
                        <w14:solidFill>
                          <w14:schemeClr w14:val="tx1"/>
                        </w14:solidFill>
                      </w14:textFill>
                    </w:rPr>
                    <w:t>》等</w:t>
                  </w:r>
                  <w:r>
                    <w:rPr>
                      <w:rFonts w:eastAsia="仿宋"/>
                      <w:color w:val="000000" w:themeColor="text1"/>
                      <w:kern w:val="2"/>
                      <w:sz w:val="21"/>
                      <w:szCs w:val="24"/>
                      <w14:textFill>
                        <w14:solidFill>
                          <w14:schemeClr w14:val="tx1"/>
                        </w14:solidFill>
                      </w14:textFill>
                    </w:rPr>
                    <w:t>相关要求，落实最严格水资源管理制度，严格用水总量和强度双控，落实各级行政区用水效率管控指标，加强污水资源化利用。</w:t>
                  </w:r>
                </w:p>
                <w:p w14:paraId="1491AE98">
                  <w:pPr>
                    <w:pStyle w:val="20"/>
                    <w:adjustRightInd w:val="0"/>
                    <w:snapToGrid w:val="0"/>
                    <w:spacing w:before="0" w:beforeAutospacing="0" w:after="0" w:afterAutospacing="0"/>
                    <w:ind w:firstLine="420" w:firstLineChars="200"/>
                    <w:jc w:val="both"/>
                    <w:rPr>
                      <w:rFonts w:ascii="Times New Roman" w:hAnsi="Times New Roman" w:eastAsia="仿宋"/>
                      <w:color w:val="000000" w:themeColor="text1"/>
                      <w:kern w:val="2"/>
                      <w:sz w:val="21"/>
                      <w:szCs w:val="24"/>
                      <w14:textFill>
                        <w14:solidFill>
                          <w14:schemeClr w14:val="tx1"/>
                        </w14:solidFill>
                      </w14:textFill>
                    </w:rPr>
                  </w:pPr>
                  <w:r>
                    <w:rPr>
                      <w:rFonts w:hint="eastAsia" w:ascii="Times New Roman" w:hAnsi="Times New Roman" w:eastAsia="仿宋"/>
                      <w:color w:val="000000" w:themeColor="text1"/>
                      <w:kern w:val="2"/>
                      <w:sz w:val="21"/>
                      <w:szCs w:val="24"/>
                      <w:lang w:eastAsia="zh-CN"/>
                      <w14:textFill>
                        <w14:solidFill>
                          <w14:schemeClr w14:val="tx1"/>
                        </w14:solidFill>
                      </w14:textFill>
                    </w:rPr>
                    <w:t>3.</w:t>
                  </w:r>
                  <w:r>
                    <w:rPr>
                      <w:rFonts w:ascii="Times New Roman" w:hAnsi="Times New Roman" w:eastAsia="仿宋"/>
                      <w:color w:val="000000" w:themeColor="text1"/>
                      <w:kern w:val="2"/>
                      <w:sz w:val="21"/>
                      <w:szCs w:val="24"/>
                      <w14:textFill>
                        <w14:solidFill>
                          <w14:schemeClr w14:val="tx1"/>
                        </w14:solidFill>
                      </w14:textFill>
                    </w:rPr>
                    <w:t>各类工业园区（集聚区）：推进工业园区（集聚区）循环化改造，强化企业清洁生产改造。按照《关于推进污水资源化利用的指导意见》《关于进一步加强水资源节约集约利用的意见</w:t>
                  </w:r>
                  <w:r>
                    <w:rPr>
                      <w:rFonts w:hint="eastAsia" w:ascii="Times New Roman" w:hAnsi="Times New Roman" w:eastAsia="仿宋"/>
                      <w:color w:val="000000" w:themeColor="text1"/>
                      <w:kern w:val="2"/>
                      <w:sz w:val="21"/>
                      <w:szCs w:val="24"/>
                      <w:lang w:eastAsia="zh-CN"/>
                      <w14:textFill>
                        <w14:solidFill>
                          <w14:schemeClr w14:val="tx1"/>
                        </w14:solidFill>
                      </w14:textFill>
                    </w:rPr>
                    <w:t>》等</w:t>
                  </w:r>
                  <w:r>
                    <w:rPr>
                      <w:rFonts w:ascii="Times New Roman" w:hAnsi="Times New Roman" w:eastAsia="仿宋"/>
                      <w:color w:val="000000" w:themeColor="text1"/>
                      <w:kern w:val="2"/>
                      <w:sz w:val="21"/>
                      <w:szCs w:val="24"/>
                      <w14:textFill>
                        <w14:solidFill>
                          <w14:schemeClr w14:val="tx1"/>
                        </w14:solidFill>
                      </w14:textFill>
                    </w:rPr>
                    <w:t>相关要求，强化工业节水，坚持以水定产，强化企业和园区集约用水，实施节水改造。按照《关于加强高耗能、高排放建设项目生态环境源头防控的指导意见》相关要求，提高能源利用效率，推进“两高”行业减污降碳协同控制。严格执行行业能耗标准和国家产能置换政策要求，控制钢铁、建材、化工等耗煤行业耗煤量。</w:t>
                  </w:r>
                </w:p>
                <w:p w14:paraId="052A1F21">
                  <w:pPr>
                    <w:pStyle w:val="20"/>
                    <w:adjustRightInd w:val="0"/>
                    <w:snapToGrid w:val="0"/>
                    <w:spacing w:before="0" w:beforeAutospacing="0" w:after="0" w:afterAutospacing="0"/>
                    <w:ind w:firstLine="420" w:firstLineChars="200"/>
                    <w:jc w:val="both"/>
                    <w:rPr>
                      <w:rFonts w:ascii="Times New Roman" w:hAnsi="Times New Roman" w:eastAsia="仿宋"/>
                      <w:color w:val="000000" w:themeColor="text1"/>
                      <w:kern w:val="2"/>
                      <w:sz w:val="21"/>
                      <w:szCs w:val="24"/>
                      <w14:textFill>
                        <w14:solidFill>
                          <w14:schemeClr w14:val="tx1"/>
                        </w14:solidFill>
                      </w14:textFill>
                    </w:rPr>
                  </w:pPr>
                  <w:r>
                    <w:rPr>
                      <w:rFonts w:hint="eastAsia" w:ascii="Times New Roman" w:hAnsi="Times New Roman" w:eastAsia="仿宋"/>
                      <w:color w:val="000000" w:themeColor="text1"/>
                      <w:kern w:val="2"/>
                      <w:sz w:val="21"/>
                      <w:szCs w:val="24"/>
                      <w:lang w:eastAsia="zh-CN"/>
                      <w14:textFill>
                        <w14:solidFill>
                          <w14:schemeClr w14:val="tx1"/>
                        </w14:solidFill>
                      </w14:textFill>
                    </w:rPr>
                    <w:t>4.</w:t>
                  </w:r>
                  <w:r>
                    <w:rPr>
                      <w:rFonts w:ascii="Times New Roman" w:hAnsi="Times New Roman" w:eastAsia="仿宋"/>
                      <w:color w:val="000000" w:themeColor="text1"/>
                      <w:kern w:val="2"/>
                      <w:sz w:val="21"/>
                      <w:szCs w:val="24"/>
                      <w14:textFill>
                        <w14:solidFill>
                          <w14:schemeClr w14:val="tx1"/>
                        </w14:solidFill>
                      </w14:textFill>
                    </w:rPr>
                    <w:t>城镇生活类重点管控单元：按照《关于进一步加强水资源节约集约利用的意见》相关要求，坚持以水定城、以水定地、以水定人、以水定产，推行绿色生产生活方式，遏制用水浪费，从严控制高耗水服务业用水，严格用水定额管理。</w:t>
                  </w:r>
                </w:p>
                <w:p w14:paraId="14C4AFC5">
                  <w:pPr>
                    <w:pStyle w:val="20"/>
                    <w:adjustRightInd w:val="0"/>
                    <w:snapToGrid w:val="0"/>
                    <w:spacing w:before="0" w:beforeAutospacing="0" w:after="0" w:afterAutospacing="0"/>
                    <w:ind w:firstLine="420" w:firstLineChars="200"/>
                    <w:jc w:val="both"/>
                    <w:rPr>
                      <w:rFonts w:ascii="Times New Roman" w:hAnsi="Times New Roman" w:eastAsia="仿宋"/>
                      <w:color w:val="000000" w:themeColor="text1"/>
                      <w:kern w:val="2"/>
                      <w:sz w:val="21"/>
                      <w:szCs w:val="24"/>
                      <w14:textFill>
                        <w14:solidFill>
                          <w14:schemeClr w14:val="tx1"/>
                        </w14:solidFill>
                      </w14:textFill>
                    </w:rPr>
                  </w:pPr>
                  <w:r>
                    <w:rPr>
                      <w:rFonts w:hint="eastAsia" w:ascii="Times New Roman" w:hAnsi="Times New Roman" w:eastAsia="仿宋"/>
                      <w:color w:val="000000" w:themeColor="text1"/>
                      <w:kern w:val="2"/>
                      <w:sz w:val="21"/>
                      <w:szCs w:val="24"/>
                      <w:lang w:eastAsia="zh-CN"/>
                      <w14:textFill>
                        <w14:solidFill>
                          <w14:schemeClr w14:val="tx1"/>
                        </w14:solidFill>
                      </w14:textFill>
                    </w:rPr>
                    <w:t>5.</w:t>
                  </w:r>
                  <w:r>
                    <w:rPr>
                      <w:rFonts w:ascii="Times New Roman" w:hAnsi="Times New Roman" w:eastAsia="仿宋"/>
                      <w:color w:val="000000" w:themeColor="text1"/>
                      <w:kern w:val="2"/>
                      <w:sz w:val="21"/>
                      <w:szCs w:val="24"/>
                      <w14:textFill>
                        <w14:solidFill>
                          <w14:schemeClr w14:val="tx1"/>
                        </w14:solidFill>
                      </w14:textFill>
                    </w:rPr>
                    <w:t>严格执行《地下水管理条例》中节约与保护相关要求。取用地下水的单位和个人应当遵守取水总量控制和定额管理要求，使用先进节约用水技术、工艺和设备，采取循环用水、综合利用及废水处理回用等措施，实施技术改造，降低用水消耗。</w:t>
                  </w:r>
                </w:p>
                <w:p w14:paraId="72104535">
                  <w:pPr>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仿宋" w:hAnsi="仿宋" w:eastAsia="仿宋" w:cs="Times New Roman"/>
                      <w:color w:val="000000" w:themeColor="text1"/>
                      <w:kern w:val="2"/>
                      <w:sz w:val="21"/>
                      <w:szCs w:val="24"/>
                      <w:lang w:val="en-US" w:eastAsia="zh-CN" w:bidi="ar-SA"/>
                      <w14:textFill>
                        <w14:solidFill>
                          <w14:schemeClr w14:val="tx1"/>
                        </w14:solidFill>
                      </w14:textFill>
                    </w:rPr>
                  </w:pPr>
                  <w:r>
                    <w:rPr>
                      <w:rFonts w:hint="eastAsia" w:eastAsia="仿宋"/>
                      <w:color w:val="000000" w:themeColor="text1"/>
                      <w:lang w:eastAsia="zh-CN"/>
                      <w14:textFill>
                        <w14:solidFill>
                          <w14:schemeClr w14:val="tx1"/>
                        </w14:solidFill>
                      </w14:textFill>
                    </w:rPr>
                    <w:t>6.</w:t>
                  </w:r>
                  <w:r>
                    <w:rPr>
                      <w:rFonts w:eastAsia="仿宋"/>
                      <w:color w:val="000000" w:themeColor="text1"/>
                      <w14:textFill>
                        <w14:solidFill>
                          <w14:schemeClr w14:val="tx1"/>
                        </w14:solidFill>
                      </w14:textFill>
                    </w:rPr>
                    <w:t>地下水开采重点管控区：严格执行《地下水管理条例》中超采治理相关要求。</w:t>
                  </w:r>
                </w:p>
              </w:tc>
              <w:tc>
                <w:tcPr>
                  <w:tcW w:w="1766" w:type="dxa"/>
                  <w:tcBorders>
                    <w:tl2br w:val="nil"/>
                    <w:tr2bl w:val="nil"/>
                  </w:tcBorders>
                  <w:noWrap w:val="0"/>
                  <w:vAlign w:val="center"/>
                </w:tcPr>
                <w:p w14:paraId="4A4CF44D">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0" w:firstLineChars="200"/>
                    <w:jc w:val="both"/>
                    <w:textAlignment w:val="auto"/>
                    <w:rPr>
                      <w:rFonts w:hint="eastAsia" w:ascii="Times New Roman" w:hAnsi="Times New Roman" w:eastAsia="仿宋" w:cs="Times New Roman"/>
                      <w:color w:val="000000" w:themeColor="text1"/>
                      <w:lang w:val="en-US" w:eastAsia="zh-CN"/>
                      <w14:textFill>
                        <w14:solidFill>
                          <w14:schemeClr w14:val="tx1"/>
                        </w14:solidFill>
                      </w14:textFill>
                    </w:rPr>
                  </w:pPr>
                  <w:r>
                    <w:rPr>
                      <w:rFonts w:eastAsia="仿宋"/>
                      <w:color w:val="000000" w:themeColor="text1"/>
                      <w14:textFill>
                        <w14:solidFill>
                          <w14:schemeClr w14:val="tx1"/>
                        </w14:solidFill>
                      </w14:textFill>
                    </w:rPr>
                    <w:t>本项目</w:t>
                  </w:r>
                  <w:r>
                    <w:rPr>
                      <w:rFonts w:hint="eastAsia" w:eastAsia="仿宋"/>
                      <w:color w:val="000000" w:themeColor="text1"/>
                      <w:lang w:val="en-US" w:eastAsia="zh-CN"/>
                      <w14:textFill>
                        <w14:solidFill>
                          <w14:schemeClr w14:val="tx1"/>
                        </w14:solidFill>
                      </w14:textFill>
                    </w:rPr>
                    <w:t>不属于</w:t>
                  </w:r>
                  <w:r>
                    <w:rPr>
                      <w:rFonts w:ascii="Times New Roman" w:hAnsi="Times New Roman" w:eastAsia="仿宋"/>
                      <w:color w:val="000000" w:themeColor="text1"/>
                      <w:kern w:val="2"/>
                      <w:sz w:val="21"/>
                      <w:szCs w:val="24"/>
                      <w14:textFill>
                        <w14:solidFill>
                          <w14:schemeClr w14:val="tx1"/>
                        </w14:solidFill>
                      </w14:textFill>
                    </w:rPr>
                    <w:t>“两高”行业</w:t>
                  </w:r>
                  <w:r>
                    <w:rPr>
                      <w:rFonts w:hint="eastAsia" w:eastAsia="仿宋"/>
                      <w:color w:val="000000" w:themeColor="text1"/>
                      <w:kern w:val="2"/>
                      <w:sz w:val="21"/>
                      <w:szCs w:val="24"/>
                      <w:lang w:eastAsia="zh-CN"/>
                      <w14:textFill>
                        <w14:solidFill>
                          <w14:schemeClr w14:val="tx1"/>
                        </w14:solidFill>
                      </w14:textFill>
                    </w:rPr>
                    <w:t>，</w:t>
                  </w:r>
                  <w:r>
                    <w:rPr>
                      <w:rFonts w:eastAsia="仿宋"/>
                      <w:color w:val="000000" w:themeColor="text1"/>
                      <w14:textFill>
                        <w14:solidFill>
                          <w14:schemeClr w14:val="tx1"/>
                        </w14:solidFill>
                      </w14:textFill>
                    </w:rPr>
                    <w:t>本项目</w:t>
                  </w:r>
                  <w:r>
                    <w:rPr>
                      <w:rFonts w:hint="eastAsia" w:eastAsia="仿宋"/>
                      <w:color w:val="000000" w:themeColor="text1"/>
                      <w:lang w:val="en-US" w:eastAsia="zh-CN"/>
                      <w14:textFill>
                        <w14:solidFill>
                          <w14:schemeClr w14:val="tx1"/>
                        </w14:solidFill>
                      </w14:textFill>
                    </w:rPr>
                    <w:t>不开采地下水</w:t>
                  </w:r>
                  <w:r>
                    <w:rPr>
                      <w:rFonts w:eastAsia="仿宋"/>
                      <w:color w:val="000000" w:themeColor="text1"/>
                      <w14:textFill>
                        <w14:solidFill>
                          <w14:schemeClr w14:val="tx1"/>
                        </w14:solidFill>
                      </w14:textFill>
                    </w:rPr>
                    <w:t>。</w:t>
                  </w:r>
                </w:p>
              </w:tc>
              <w:tc>
                <w:tcPr>
                  <w:tcW w:w="932" w:type="dxa"/>
                  <w:vMerge w:val="continue"/>
                  <w:tcBorders>
                    <w:tl2br w:val="nil"/>
                    <w:tr2bl w:val="nil"/>
                  </w:tcBorders>
                  <w:noWrap w:val="0"/>
                  <w:vAlign w:val="center"/>
                </w:tcPr>
                <w:p w14:paraId="3DAEC9F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color w:val="000000" w:themeColor="text1"/>
                      <w:lang w:val="en-US" w:eastAsia="zh-CN"/>
                      <w14:textFill>
                        <w14:solidFill>
                          <w14:schemeClr w14:val="tx1"/>
                        </w14:solidFill>
                      </w14:textFill>
                    </w:rPr>
                  </w:pPr>
                </w:p>
              </w:tc>
            </w:tr>
            <w:tr w14:paraId="632A00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792" w:type="dxa"/>
                  <w:vMerge w:val="restart"/>
                  <w:tcBorders>
                    <w:tl2br w:val="nil"/>
                    <w:tr2bl w:val="nil"/>
                  </w:tcBorders>
                  <w:noWrap w:val="0"/>
                  <w:vAlign w:val="center"/>
                </w:tcPr>
                <w:p w14:paraId="5CE070D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eastAsia="仿宋"/>
                      <w:color w:val="000000" w:themeColor="text1"/>
                      <w:szCs w:val="21"/>
                      <w14:textFill>
                        <w14:solidFill>
                          <w14:schemeClr w14:val="tx1"/>
                        </w14:solidFill>
                      </w14:textFill>
                    </w:rPr>
                  </w:pPr>
                  <w:r>
                    <w:rPr>
                      <w:rFonts w:hint="eastAsia" w:ascii="Times New Roman" w:hAnsi="Times New Roman" w:eastAsia="仿宋" w:cs="Times New Roman"/>
                      <w:color w:val="000000" w:themeColor="text1"/>
                      <w:lang w:val="en-US" w:eastAsia="zh-CN"/>
                      <w14:textFill>
                        <w14:solidFill>
                          <w14:schemeClr w14:val="tx1"/>
                        </w14:solidFill>
                      </w14:textFill>
                    </w:rPr>
                    <w:t>一般</w:t>
                  </w:r>
                  <w:r>
                    <w:rPr>
                      <w:rFonts w:hint="default" w:ascii="Times New Roman" w:hAnsi="Times New Roman" w:eastAsia="仿宋" w:cs="Times New Roman"/>
                      <w:color w:val="000000" w:themeColor="text1"/>
                      <w14:textFill>
                        <w14:solidFill>
                          <w14:schemeClr w14:val="tx1"/>
                        </w14:solidFill>
                      </w14:textFill>
                    </w:rPr>
                    <w:t>管控单元</w:t>
                  </w:r>
                </w:p>
              </w:tc>
              <w:tc>
                <w:tcPr>
                  <w:tcW w:w="466" w:type="dxa"/>
                  <w:tcBorders>
                    <w:tl2br w:val="nil"/>
                    <w:tr2bl w:val="nil"/>
                  </w:tcBorders>
                  <w:noWrap w:val="0"/>
                  <w:vAlign w:val="center"/>
                </w:tcPr>
                <w:p w14:paraId="515409D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仿宋" w:hAnsi="仿宋" w:eastAsia="仿宋"/>
                      <w:color w:val="000000" w:themeColor="text1"/>
                      <w14:textFill>
                        <w14:solidFill>
                          <w14:schemeClr w14:val="tx1"/>
                        </w14:solidFill>
                      </w14:textFill>
                    </w:rPr>
                  </w:pPr>
                  <w:r>
                    <w:rPr>
                      <w:rFonts w:ascii="仿宋" w:hAnsi="仿宋" w:eastAsia="仿宋" w:cs="Times New Roman"/>
                      <w:color w:val="000000" w:themeColor="text1"/>
                      <w14:textFill>
                        <w14:solidFill>
                          <w14:schemeClr w14:val="tx1"/>
                        </w14:solidFill>
                      </w14:textFill>
                    </w:rPr>
                    <w:t>空间布局约束</w:t>
                  </w:r>
                </w:p>
              </w:tc>
              <w:tc>
                <w:tcPr>
                  <w:tcW w:w="3345" w:type="dxa"/>
                  <w:tcBorders>
                    <w:tl2br w:val="nil"/>
                    <w:tr2bl w:val="nil"/>
                  </w:tcBorders>
                  <w:noWrap w:val="0"/>
                  <w:vAlign w:val="center"/>
                </w:tcPr>
                <w:p w14:paraId="479D8D92">
                  <w:pPr>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仿宋" w:hAnsi="仿宋" w:eastAsia="仿宋" w:cs="Times New Roman"/>
                      <w:color w:val="000000" w:themeColor="text1"/>
                      <w:kern w:val="2"/>
                      <w:sz w:val="21"/>
                      <w:szCs w:val="24"/>
                      <w:lang w:val="en-US" w:eastAsia="zh-CN" w:bidi="ar-SA"/>
                      <w14:textFill>
                        <w14:solidFill>
                          <w14:schemeClr w14:val="tx1"/>
                        </w14:solidFill>
                      </w14:textFill>
                    </w:rPr>
                  </w:pPr>
                  <w:r>
                    <w:rPr>
                      <w:rFonts w:hint="eastAsia" w:ascii="仿宋" w:hAnsi="仿宋" w:eastAsia="仿宋" w:cs="Times New Roman"/>
                      <w:color w:val="000000" w:themeColor="text1"/>
                      <w:kern w:val="2"/>
                      <w:sz w:val="21"/>
                      <w:szCs w:val="24"/>
                      <w:lang w:val="en-US" w:eastAsia="zh-CN" w:bidi="ar-SA"/>
                      <w14:textFill>
                        <w14:solidFill>
                          <w14:schemeClr w14:val="tx1"/>
                        </w14:solidFill>
                      </w14:textFill>
                    </w:rPr>
                    <w:t>落实生态环境保护基本要求。大力发展生态环保产业。严格执行畜禽养殖禁养区规定，根据区域用地和消纳水平，合理确定养殖规模。加强永久基本农田保护，严格限制非农项目占用耕地。</w:t>
                  </w:r>
                </w:p>
              </w:tc>
              <w:tc>
                <w:tcPr>
                  <w:tcW w:w="1766" w:type="dxa"/>
                  <w:tcBorders>
                    <w:tl2br w:val="nil"/>
                    <w:tr2bl w:val="nil"/>
                  </w:tcBorders>
                  <w:noWrap w:val="0"/>
                  <w:vAlign w:val="center"/>
                </w:tcPr>
                <w:p w14:paraId="1454CA1F">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420" w:firstLineChars="200"/>
                    <w:jc w:val="both"/>
                    <w:textAlignment w:val="auto"/>
                    <w:rPr>
                      <w:rFonts w:ascii="仿宋" w:hAnsi="仿宋" w:eastAsia="仿宋"/>
                      <w:color w:val="000000" w:themeColor="text1"/>
                      <w14:textFill>
                        <w14:solidFill>
                          <w14:schemeClr w14:val="tx1"/>
                        </w14:solidFill>
                      </w14:textFill>
                    </w:rPr>
                  </w:pPr>
                  <w:r>
                    <w:rPr>
                      <w:rFonts w:hint="eastAsia" w:ascii="Times New Roman" w:hAnsi="Times New Roman" w:eastAsia="仿宋" w:cs="Times New Roman"/>
                      <w:color w:val="000000" w:themeColor="text1"/>
                      <w:lang w:val="en-US" w:eastAsia="zh-CN"/>
                      <w14:textFill>
                        <w14:solidFill>
                          <w14:schemeClr w14:val="tx1"/>
                        </w14:solidFill>
                      </w14:textFill>
                    </w:rPr>
                    <w:t>根据《产业结构调整指导目录（2024年本）》，本项目不属于限制、淘汰和鼓励类项目，属于允许类项目。</w:t>
                  </w:r>
                </w:p>
              </w:tc>
              <w:tc>
                <w:tcPr>
                  <w:tcW w:w="932" w:type="dxa"/>
                  <w:vMerge w:val="restart"/>
                  <w:tcBorders>
                    <w:tl2br w:val="nil"/>
                    <w:tr2bl w:val="nil"/>
                  </w:tcBorders>
                  <w:noWrap w:val="0"/>
                  <w:vAlign w:val="center"/>
                </w:tcPr>
                <w:p w14:paraId="2E6D4CD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eastAsia="仿宋"/>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lang w:val="en-US" w:eastAsia="zh-CN"/>
                      <w14:textFill>
                        <w14:solidFill>
                          <w14:schemeClr w14:val="tx1"/>
                        </w14:solidFill>
                      </w14:textFill>
                    </w:rPr>
                    <w:t>符合</w:t>
                  </w:r>
                </w:p>
              </w:tc>
            </w:tr>
            <w:tr w14:paraId="1CAFAD0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continue"/>
                  <w:tcBorders>
                    <w:tl2br w:val="nil"/>
                    <w:tr2bl w:val="nil"/>
                  </w:tcBorders>
                  <w:noWrap w:val="0"/>
                  <w:vAlign w:val="center"/>
                </w:tcPr>
                <w:p w14:paraId="425E033D">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eastAsia="仿宋"/>
                      <w:color w:val="000000" w:themeColor="text1"/>
                      <w:szCs w:val="21"/>
                      <w14:textFill>
                        <w14:solidFill>
                          <w14:schemeClr w14:val="tx1"/>
                        </w14:solidFill>
                      </w14:textFill>
                    </w:rPr>
                  </w:pPr>
                </w:p>
              </w:tc>
              <w:tc>
                <w:tcPr>
                  <w:tcW w:w="466" w:type="dxa"/>
                  <w:tcBorders>
                    <w:tl2br w:val="nil"/>
                    <w:tr2bl w:val="nil"/>
                  </w:tcBorders>
                  <w:noWrap w:val="0"/>
                  <w:vAlign w:val="center"/>
                </w:tcPr>
                <w:p w14:paraId="7961A18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仿宋" w:hAnsi="仿宋"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污染物排</w:t>
                  </w:r>
                  <w:r>
                    <w:rPr>
                      <w:rFonts w:eastAsia="仿宋"/>
                      <w:color w:val="000000" w:themeColor="text1"/>
                      <w14:textFill>
                        <w14:solidFill>
                          <w14:schemeClr w14:val="tx1"/>
                        </w14:solidFill>
                      </w14:textFill>
                    </w:rPr>
                    <w:t xml:space="preserve"> </w:t>
                  </w:r>
                  <w:r>
                    <w:rPr>
                      <w:rFonts w:ascii="仿宋" w:hAnsi="仿宋" w:eastAsia="仿宋"/>
                      <w:color w:val="000000" w:themeColor="text1"/>
                      <w14:textFill>
                        <w14:solidFill>
                          <w14:schemeClr w14:val="tx1"/>
                        </w14:solidFill>
                      </w14:textFill>
                    </w:rPr>
                    <w:t>放管控</w:t>
                  </w:r>
                </w:p>
              </w:tc>
              <w:tc>
                <w:tcPr>
                  <w:tcW w:w="3345" w:type="dxa"/>
                  <w:tcBorders>
                    <w:tl2br w:val="nil"/>
                    <w:tr2bl w:val="nil"/>
                  </w:tcBorders>
                  <w:noWrap w:val="0"/>
                  <w:vAlign w:val="center"/>
                </w:tcPr>
                <w:p w14:paraId="04F61253">
                  <w:pPr>
                    <w:pStyle w:val="20"/>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firstLine="420" w:firstLineChars="200"/>
                    <w:jc w:val="both"/>
                    <w:textAlignment w:val="auto"/>
                    <w:rPr>
                      <w:rFonts w:hint="eastAsia" w:ascii="仿宋" w:hAnsi="仿宋" w:eastAsia="仿宋" w:cs="Times New Roman"/>
                      <w:color w:val="000000" w:themeColor="text1"/>
                      <w:kern w:val="2"/>
                      <w:sz w:val="21"/>
                      <w:szCs w:val="24"/>
                      <w:lang w:val="en-US" w:eastAsia="zh-CN" w:bidi="ar-SA"/>
                      <w14:textFill>
                        <w14:solidFill>
                          <w14:schemeClr w14:val="tx1"/>
                        </w14:solidFill>
                      </w14:textFill>
                    </w:rPr>
                  </w:pPr>
                  <w:r>
                    <w:rPr>
                      <w:rFonts w:hint="eastAsia" w:ascii="仿宋" w:hAnsi="仿宋" w:eastAsia="仿宋" w:cs="Times New Roman"/>
                      <w:color w:val="000000" w:themeColor="text1"/>
                      <w:kern w:val="2"/>
                      <w:sz w:val="21"/>
                      <w:szCs w:val="24"/>
                      <w:lang w:val="en-US" w:eastAsia="zh-CN" w:bidi="ar-SA"/>
                      <w14:textFill>
                        <w14:solidFill>
                          <w14:schemeClr w14:val="tx1"/>
                        </w14:solidFill>
                      </w14:textFill>
                    </w:rPr>
                    <w:t>落实污染物总量控制制度，根据区域环境质量改善目标，削减污染物排放总量。加强生活污染和农业面源污染治理，严格控制化肥农药施加量，合理水产养殖布局，控制水产养殖污染，逐步削减农业面源污染物排放量。</w:t>
                  </w:r>
                </w:p>
                <w:p w14:paraId="6964E6A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firstLine="420" w:firstLineChars="200"/>
                    <w:jc w:val="both"/>
                    <w:textAlignment w:val="auto"/>
                    <w:rPr>
                      <w:rFonts w:hint="eastAsia" w:ascii="仿宋" w:hAnsi="仿宋" w:eastAsia="仿宋" w:cs="Times New Roman"/>
                      <w:color w:val="000000" w:themeColor="text1"/>
                      <w:kern w:val="2"/>
                      <w:sz w:val="21"/>
                      <w:szCs w:val="24"/>
                      <w:lang w:val="en-US" w:eastAsia="zh-CN" w:bidi="ar-SA"/>
                      <w14:textFill>
                        <w14:solidFill>
                          <w14:schemeClr w14:val="tx1"/>
                        </w14:solidFill>
                      </w14:textFill>
                    </w:rPr>
                  </w:pPr>
                </w:p>
              </w:tc>
              <w:tc>
                <w:tcPr>
                  <w:tcW w:w="1766" w:type="dxa"/>
                  <w:tcBorders>
                    <w:tl2br w:val="nil"/>
                    <w:tr2bl w:val="nil"/>
                  </w:tcBorders>
                  <w:noWrap w:val="0"/>
                  <w:vAlign w:val="center"/>
                </w:tcPr>
                <w:p w14:paraId="50B37852">
                  <w:pPr>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ascii="仿宋" w:hAnsi="仿宋" w:eastAsia="仿宋"/>
                      <w:color w:val="000000" w:themeColor="text1"/>
                      <w14:textFill>
                        <w14:solidFill>
                          <w14:schemeClr w14:val="tx1"/>
                        </w14:solidFill>
                      </w14:textFill>
                    </w:rPr>
                  </w:pPr>
                  <w:r>
                    <w:rPr>
                      <w:rFonts w:hint="eastAsia" w:ascii="仿宋" w:hAnsi="仿宋" w:eastAsia="仿宋" w:cs="Times New Roman"/>
                      <w:color w:val="000000" w:themeColor="text1"/>
                      <w:lang w:val="en-US" w:eastAsia="zh-CN"/>
                      <w14:textFill>
                        <w14:solidFill>
                          <w14:schemeClr w14:val="tx1"/>
                        </w14:solidFill>
                      </w14:textFill>
                    </w:rPr>
                    <w:t>本项目生产过程中对废气、废水、噪声采用相应治理措施，实现达标排放，固废得到合理有效的处置措施，减少对周围环境的影响。</w:t>
                  </w:r>
                </w:p>
              </w:tc>
              <w:tc>
                <w:tcPr>
                  <w:tcW w:w="932" w:type="dxa"/>
                  <w:vMerge w:val="continue"/>
                  <w:tcBorders>
                    <w:tl2br w:val="nil"/>
                    <w:tr2bl w:val="nil"/>
                  </w:tcBorders>
                  <w:noWrap w:val="0"/>
                  <w:vAlign w:val="center"/>
                </w:tcPr>
                <w:p w14:paraId="0DD7C0B3">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eastAsia="仿宋"/>
                      <w:color w:val="000000" w:themeColor="text1"/>
                      <w:szCs w:val="21"/>
                      <w14:textFill>
                        <w14:solidFill>
                          <w14:schemeClr w14:val="tx1"/>
                        </w14:solidFill>
                      </w14:textFill>
                    </w:rPr>
                  </w:pPr>
                </w:p>
              </w:tc>
            </w:tr>
            <w:tr w14:paraId="112AC8D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continue"/>
                  <w:tcBorders>
                    <w:tl2br w:val="nil"/>
                    <w:tr2bl w:val="nil"/>
                  </w:tcBorders>
                  <w:noWrap w:val="0"/>
                  <w:vAlign w:val="center"/>
                </w:tcPr>
                <w:p w14:paraId="0F15903E">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eastAsia="仿宋"/>
                      <w:color w:val="000000" w:themeColor="text1"/>
                      <w:szCs w:val="21"/>
                      <w14:textFill>
                        <w14:solidFill>
                          <w14:schemeClr w14:val="tx1"/>
                        </w14:solidFill>
                      </w14:textFill>
                    </w:rPr>
                  </w:pPr>
                </w:p>
              </w:tc>
              <w:tc>
                <w:tcPr>
                  <w:tcW w:w="466" w:type="dxa"/>
                  <w:tcBorders>
                    <w:tl2br w:val="nil"/>
                    <w:tr2bl w:val="nil"/>
                  </w:tcBorders>
                  <w:noWrap w:val="0"/>
                  <w:vAlign w:val="center"/>
                </w:tcPr>
                <w:p w14:paraId="310D599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仿宋" w:hAnsi="仿宋"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环境风险防控</w:t>
                  </w:r>
                </w:p>
              </w:tc>
              <w:tc>
                <w:tcPr>
                  <w:tcW w:w="3345" w:type="dxa"/>
                  <w:tcBorders>
                    <w:tl2br w:val="nil"/>
                    <w:tr2bl w:val="nil"/>
                  </w:tcBorders>
                  <w:noWrap w:val="0"/>
                  <w:vAlign w:val="center"/>
                </w:tcPr>
                <w:p w14:paraId="70AC1B69">
                  <w:pPr>
                    <w:pStyle w:val="20"/>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firstLine="420" w:firstLineChars="200"/>
                    <w:jc w:val="both"/>
                    <w:textAlignment w:val="auto"/>
                    <w:rPr>
                      <w:rFonts w:hint="eastAsia" w:ascii="仿宋" w:hAnsi="仿宋" w:eastAsia="仿宋" w:cs="Times New Roman"/>
                      <w:color w:val="000000" w:themeColor="text1"/>
                      <w:kern w:val="2"/>
                      <w:sz w:val="21"/>
                      <w:szCs w:val="24"/>
                      <w:lang w:val="en-US" w:eastAsia="zh-CN" w:bidi="ar-SA"/>
                      <w14:textFill>
                        <w14:solidFill>
                          <w14:schemeClr w14:val="tx1"/>
                        </w14:solidFill>
                      </w14:textFill>
                    </w:rPr>
                  </w:pPr>
                  <w:r>
                    <w:rPr>
                      <w:rFonts w:hint="eastAsia" w:ascii="仿宋" w:hAnsi="仿宋" w:eastAsia="仿宋" w:cs="Times New Roman"/>
                      <w:color w:val="000000" w:themeColor="text1"/>
                      <w:kern w:val="2"/>
                      <w:sz w:val="21"/>
                      <w:szCs w:val="24"/>
                      <w:lang w:val="en-US" w:eastAsia="zh-CN" w:bidi="ar-SA"/>
                      <w14:textFill>
                        <w14:solidFill>
                          <w14:schemeClr w14:val="tx1"/>
                        </w14:solidFill>
                      </w14:textFill>
                    </w:rPr>
                    <w:t>加强生态公益林保护与建设，防止水土流失。禁止向农用地排放重金属或者其他有毒有害物质含量超标的污水、污泥，以及可能造成土壤污染的清淤底泥、尾矿、矿渣等。</w:t>
                  </w:r>
                </w:p>
                <w:p w14:paraId="739D5AC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firstLine="420" w:firstLineChars="200"/>
                    <w:jc w:val="both"/>
                    <w:textAlignment w:val="auto"/>
                    <w:rPr>
                      <w:rFonts w:hint="eastAsia" w:ascii="仿宋" w:hAnsi="仿宋" w:eastAsia="仿宋" w:cs="Times New Roman"/>
                      <w:color w:val="000000" w:themeColor="text1"/>
                      <w:kern w:val="2"/>
                      <w:sz w:val="21"/>
                      <w:szCs w:val="24"/>
                      <w:lang w:val="en-US" w:eastAsia="zh-CN" w:bidi="ar-SA"/>
                      <w14:textFill>
                        <w14:solidFill>
                          <w14:schemeClr w14:val="tx1"/>
                        </w14:solidFill>
                      </w14:textFill>
                    </w:rPr>
                  </w:pPr>
                </w:p>
              </w:tc>
              <w:tc>
                <w:tcPr>
                  <w:tcW w:w="1766" w:type="dxa"/>
                  <w:tcBorders>
                    <w:tl2br w:val="nil"/>
                    <w:tr2bl w:val="nil"/>
                  </w:tcBorders>
                  <w:noWrap w:val="0"/>
                  <w:vAlign w:val="center"/>
                </w:tcPr>
                <w:p w14:paraId="659AA569">
                  <w:pPr>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ascii="仿宋" w:hAnsi="仿宋" w:eastAsia="仿宋"/>
                      <w:color w:val="000000" w:themeColor="text1"/>
                      <w14:textFill>
                        <w14:solidFill>
                          <w14:schemeClr w14:val="tx1"/>
                        </w14:solidFill>
                      </w14:textFill>
                    </w:rPr>
                  </w:pPr>
                  <w:r>
                    <w:rPr>
                      <w:rFonts w:hint="eastAsia" w:ascii="仿宋" w:hAnsi="仿宋" w:eastAsia="仿宋" w:cs="Times New Roman"/>
                      <w:color w:val="000000" w:themeColor="text1"/>
                      <w:lang w:val="en-US" w:eastAsia="zh-CN"/>
                      <w14:textFill>
                        <w14:solidFill>
                          <w14:schemeClr w14:val="tx1"/>
                        </w14:solidFill>
                      </w14:textFill>
                    </w:rPr>
                    <w:t>本项目生产过程中对废气、废水、噪声采用相应治理措施，实现达标排放，固废得到合理有效的处置措施，减少对周围环境的影响，且本项目不向农用地排放重金属或者其他有毒有害物质含量</w:t>
                  </w:r>
                  <w:r>
                    <w:rPr>
                      <w:rFonts w:hint="eastAsia" w:ascii="仿宋" w:hAnsi="仿宋" w:eastAsia="仿宋" w:cs="Times New Roman"/>
                      <w:color w:val="000000" w:themeColor="text1"/>
                      <w:kern w:val="2"/>
                      <w:sz w:val="21"/>
                      <w:szCs w:val="24"/>
                      <w:lang w:val="en-US" w:eastAsia="zh-CN" w:bidi="ar-SA"/>
                      <w14:textFill>
                        <w14:solidFill>
                          <w14:schemeClr w14:val="tx1"/>
                        </w14:solidFill>
                      </w14:textFill>
                    </w:rPr>
                    <w:t>超标的污水、污泥，以及可能造成土壤污染的清淤底泥、尾矿、矿渣等</w:t>
                  </w: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w:t>
                  </w:r>
                </w:p>
              </w:tc>
              <w:tc>
                <w:tcPr>
                  <w:tcW w:w="932" w:type="dxa"/>
                  <w:vMerge w:val="continue"/>
                  <w:tcBorders>
                    <w:tl2br w:val="nil"/>
                    <w:tr2bl w:val="nil"/>
                  </w:tcBorders>
                  <w:noWrap w:val="0"/>
                  <w:vAlign w:val="center"/>
                </w:tcPr>
                <w:p w14:paraId="74305D08">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eastAsia="仿宋"/>
                      <w:color w:val="000000" w:themeColor="text1"/>
                      <w:szCs w:val="21"/>
                      <w14:textFill>
                        <w14:solidFill>
                          <w14:schemeClr w14:val="tx1"/>
                        </w14:solidFill>
                      </w14:textFill>
                    </w:rPr>
                  </w:pPr>
                </w:p>
              </w:tc>
            </w:tr>
            <w:tr w14:paraId="0D3B0EB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continue"/>
                  <w:tcBorders>
                    <w:tl2br w:val="nil"/>
                    <w:tr2bl w:val="nil"/>
                  </w:tcBorders>
                  <w:noWrap w:val="0"/>
                  <w:vAlign w:val="center"/>
                </w:tcPr>
                <w:p w14:paraId="29325D57">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eastAsia="仿宋"/>
                      <w:color w:val="000000" w:themeColor="text1"/>
                      <w:szCs w:val="21"/>
                      <w14:textFill>
                        <w14:solidFill>
                          <w14:schemeClr w14:val="tx1"/>
                        </w14:solidFill>
                      </w14:textFill>
                    </w:rPr>
                  </w:pPr>
                </w:p>
              </w:tc>
              <w:tc>
                <w:tcPr>
                  <w:tcW w:w="466" w:type="dxa"/>
                  <w:tcBorders>
                    <w:tl2br w:val="nil"/>
                    <w:tr2bl w:val="nil"/>
                  </w:tcBorders>
                  <w:noWrap w:val="0"/>
                  <w:vAlign w:val="center"/>
                </w:tcPr>
                <w:p w14:paraId="2D32E37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仿宋" w:hAnsi="仿宋"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资源利用</w:t>
                  </w:r>
                  <w:r>
                    <w:rPr>
                      <w:rFonts w:eastAsia="仿宋"/>
                      <w:color w:val="000000" w:themeColor="text1"/>
                      <w14:textFill>
                        <w14:solidFill>
                          <w14:schemeClr w14:val="tx1"/>
                        </w14:solidFill>
                      </w14:textFill>
                    </w:rPr>
                    <w:t xml:space="preserve"> </w:t>
                  </w:r>
                  <w:r>
                    <w:rPr>
                      <w:rFonts w:ascii="仿宋" w:hAnsi="仿宋" w:eastAsia="仿宋"/>
                      <w:color w:val="000000" w:themeColor="text1"/>
                      <w14:textFill>
                        <w14:solidFill>
                          <w14:schemeClr w14:val="tx1"/>
                        </w14:solidFill>
                      </w14:textFill>
                    </w:rPr>
                    <w:t>效率</w:t>
                  </w:r>
                </w:p>
              </w:tc>
              <w:tc>
                <w:tcPr>
                  <w:tcW w:w="3345" w:type="dxa"/>
                  <w:tcBorders>
                    <w:tl2br w:val="nil"/>
                    <w:tr2bl w:val="nil"/>
                  </w:tcBorders>
                  <w:noWrap w:val="0"/>
                  <w:vAlign w:val="center"/>
                </w:tcPr>
                <w:p w14:paraId="3D01DF64">
                  <w:pPr>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hint="eastAsia" w:ascii="仿宋" w:hAnsi="仿宋" w:eastAsia="仿宋" w:cs="Times New Roman"/>
                      <w:color w:val="000000" w:themeColor="text1"/>
                      <w:lang w:val="en-US" w:eastAsia="zh-CN"/>
                      <w14:textFill>
                        <w14:solidFill>
                          <w14:schemeClr w14:val="tx1"/>
                        </w14:solidFill>
                      </w14:textFill>
                    </w:rPr>
                  </w:pPr>
                  <w:r>
                    <w:rPr>
                      <w:rFonts w:hint="eastAsia" w:ascii="仿宋" w:hAnsi="仿宋" w:eastAsia="仿宋" w:cs="Times New Roman"/>
                      <w:color w:val="000000" w:themeColor="text1"/>
                      <w:lang w:val="en-US" w:eastAsia="zh-CN"/>
                      <w14:textFill>
                        <w14:solidFill>
                          <w14:schemeClr w14:val="tx1"/>
                        </w14:solidFill>
                      </w14:textFill>
                    </w:rPr>
                    <w:t>实行煤炭、水资源消耗总量和强度双控，优化能源结构，加强能源清洁利用。推进农业节水，提高农业用水效率。</w:t>
                  </w:r>
                </w:p>
              </w:tc>
              <w:tc>
                <w:tcPr>
                  <w:tcW w:w="1766" w:type="dxa"/>
                  <w:tcBorders>
                    <w:tl2br w:val="nil"/>
                    <w:tr2bl w:val="nil"/>
                  </w:tcBorders>
                  <w:noWrap w:val="0"/>
                  <w:vAlign w:val="center"/>
                </w:tcPr>
                <w:p w14:paraId="60FA7BA7">
                  <w:pPr>
                    <w:keepNext w:val="0"/>
                    <w:keepLines w:val="0"/>
                    <w:pageBreakBefore w:val="0"/>
                    <w:kinsoku/>
                    <w:wordWrap/>
                    <w:overflowPunct/>
                    <w:topLinePunct w:val="0"/>
                    <w:autoSpaceDE/>
                    <w:autoSpaceDN/>
                    <w:bidi w:val="0"/>
                    <w:adjustRightInd w:val="0"/>
                    <w:snapToGrid w:val="0"/>
                    <w:spacing w:line="240" w:lineRule="auto"/>
                    <w:ind w:firstLine="420" w:firstLineChars="200"/>
                    <w:textAlignment w:val="auto"/>
                    <w:rPr>
                      <w:rFonts w:ascii="仿宋" w:hAnsi="仿宋"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本项目运营过程中有一定量电、水资源的消耗，项目资源消耗量相对区域资源利用量较少。</w:t>
                  </w:r>
                </w:p>
              </w:tc>
              <w:tc>
                <w:tcPr>
                  <w:tcW w:w="932" w:type="dxa"/>
                  <w:vMerge w:val="continue"/>
                  <w:tcBorders>
                    <w:tl2br w:val="nil"/>
                    <w:tr2bl w:val="nil"/>
                  </w:tcBorders>
                  <w:noWrap w:val="0"/>
                  <w:vAlign w:val="center"/>
                </w:tcPr>
                <w:p w14:paraId="2B66CA8D">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eastAsia="仿宋"/>
                      <w:color w:val="000000" w:themeColor="text1"/>
                      <w:szCs w:val="21"/>
                      <w14:textFill>
                        <w14:solidFill>
                          <w14:schemeClr w14:val="tx1"/>
                        </w14:solidFill>
                      </w14:textFill>
                    </w:rPr>
                  </w:pPr>
                </w:p>
              </w:tc>
            </w:tr>
          </w:tbl>
          <w:p w14:paraId="31A576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pPr>
            <w:r>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t>表</w:t>
            </w:r>
            <w:r>
              <w:rPr>
                <w:rFonts w:hint="eastAsia" w:eastAsia="仿宋" w:cs="Times New Roman"/>
                <w:b/>
                <w:bCs/>
                <w:snapToGrid w:val="0"/>
                <w:color w:val="000000" w:themeColor="text1"/>
                <w:kern w:val="0"/>
                <w:szCs w:val="21"/>
                <w:lang w:val="en-US" w:eastAsia="zh-CN"/>
                <w14:textFill>
                  <w14:solidFill>
                    <w14:schemeClr w14:val="tx1"/>
                  </w14:solidFill>
                </w14:textFill>
              </w:rPr>
              <w:t>4</w:t>
            </w:r>
            <w:r>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t xml:space="preserve">  </w:t>
            </w:r>
            <w:r>
              <w:rPr>
                <w:rFonts w:hint="eastAsia" w:eastAsia="仿宋" w:cs="Times New Roman"/>
                <w:b/>
                <w:bCs/>
                <w:snapToGrid w:val="0"/>
                <w:color w:val="000000" w:themeColor="text1"/>
                <w:kern w:val="0"/>
                <w:szCs w:val="21"/>
                <w:lang w:val="en-US" w:eastAsia="zh-CN"/>
                <w14:textFill>
                  <w14:solidFill>
                    <w14:schemeClr w14:val="tx1"/>
                  </w14:solidFill>
                </w14:textFill>
              </w:rPr>
              <w:t>张掖</w:t>
            </w:r>
            <w:r>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t>市管控单元符合性分析</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92"/>
              <w:gridCol w:w="466"/>
              <w:gridCol w:w="3345"/>
              <w:gridCol w:w="1766"/>
              <w:gridCol w:w="932"/>
            </w:tblGrid>
            <w:tr w14:paraId="71CB1D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68" w:hRule="atLeast"/>
                <w:jc w:val="center"/>
              </w:trPr>
              <w:tc>
                <w:tcPr>
                  <w:tcW w:w="792" w:type="dxa"/>
                  <w:tcBorders>
                    <w:tl2br w:val="nil"/>
                    <w:tr2bl w:val="nil"/>
                  </w:tcBorders>
                  <w:noWrap w:val="0"/>
                  <w:vAlign w:val="center"/>
                </w:tcPr>
                <w:p w14:paraId="494577AA">
                  <w:pPr>
                    <w:keepNext w:val="0"/>
                    <w:keepLines w:val="0"/>
                    <w:pageBreakBefore w:val="0"/>
                    <w:kinsoku/>
                    <w:wordWrap/>
                    <w:overflowPunct/>
                    <w:topLinePunct w:val="0"/>
                    <w:autoSpaceDE/>
                    <w:autoSpaceDN/>
                    <w:bidi w:val="0"/>
                    <w:adjustRightInd w:val="0"/>
                    <w:snapToGrid w:val="0"/>
                    <w:jc w:val="center"/>
                    <w:textAlignment w:val="auto"/>
                    <w:rPr>
                      <w:rFonts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内容</w:t>
                  </w:r>
                </w:p>
              </w:tc>
              <w:tc>
                <w:tcPr>
                  <w:tcW w:w="3811" w:type="dxa"/>
                  <w:gridSpan w:val="2"/>
                  <w:tcBorders>
                    <w:tl2br w:val="nil"/>
                    <w:tr2bl w:val="nil"/>
                  </w:tcBorders>
                  <w:noWrap w:val="0"/>
                  <w:vAlign w:val="center"/>
                </w:tcPr>
                <w:p w14:paraId="2D56FE10">
                  <w:pPr>
                    <w:keepNext w:val="0"/>
                    <w:keepLines w:val="0"/>
                    <w:pageBreakBefore w:val="0"/>
                    <w:kinsoku/>
                    <w:wordWrap/>
                    <w:overflowPunct/>
                    <w:topLinePunct w:val="0"/>
                    <w:autoSpaceDE/>
                    <w:autoSpaceDN/>
                    <w:bidi w:val="0"/>
                    <w:adjustRightInd w:val="0"/>
                    <w:snapToGrid w:val="0"/>
                    <w:jc w:val="center"/>
                    <w:textAlignment w:val="auto"/>
                    <w:rPr>
                      <w:rFonts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定义</w:t>
                  </w:r>
                </w:p>
              </w:tc>
              <w:tc>
                <w:tcPr>
                  <w:tcW w:w="1766" w:type="dxa"/>
                  <w:tcBorders>
                    <w:tl2br w:val="nil"/>
                    <w:tr2bl w:val="nil"/>
                  </w:tcBorders>
                  <w:noWrap w:val="0"/>
                  <w:vAlign w:val="center"/>
                </w:tcPr>
                <w:p w14:paraId="1537BB05">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符合性分析</w:t>
                  </w:r>
                </w:p>
              </w:tc>
              <w:tc>
                <w:tcPr>
                  <w:tcW w:w="932" w:type="dxa"/>
                  <w:tcBorders>
                    <w:tl2br w:val="nil"/>
                    <w:tr2bl w:val="nil"/>
                  </w:tcBorders>
                  <w:noWrap w:val="0"/>
                  <w:vAlign w:val="center"/>
                </w:tcPr>
                <w:p w14:paraId="75184A00">
                  <w:pPr>
                    <w:keepNext w:val="0"/>
                    <w:keepLines w:val="0"/>
                    <w:pageBreakBefore w:val="0"/>
                    <w:kinsoku/>
                    <w:wordWrap/>
                    <w:overflowPunct/>
                    <w:topLinePunct w:val="0"/>
                    <w:autoSpaceDE/>
                    <w:autoSpaceDN/>
                    <w:bidi w:val="0"/>
                    <w:adjustRightInd w:val="0"/>
                    <w:snapToGrid w:val="0"/>
                    <w:jc w:val="center"/>
                    <w:textAlignment w:val="auto"/>
                    <w:rPr>
                      <w:rFonts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符合性</w:t>
                  </w:r>
                </w:p>
              </w:tc>
            </w:tr>
            <w:tr w14:paraId="1D54BB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restart"/>
                  <w:tcBorders>
                    <w:tl2br w:val="nil"/>
                    <w:tr2bl w:val="nil"/>
                  </w:tcBorders>
                  <w:noWrap w:val="0"/>
                  <w:vAlign w:val="center"/>
                </w:tcPr>
                <w:p w14:paraId="12FA5FF7">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eastAsia="仿宋" w:cs="Times New Roman"/>
                      <w:color w:val="000000" w:themeColor="text1"/>
                      <w:sz w:val="21"/>
                      <w:szCs w:val="21"/>
                      <w:lang w:val="en-US" w:eastAsia="zh-CN"/>
                      <w14:textFill>
                        <w14:solidFill>
                          <w14:schemeClr w14:val="tx1"/>
                        </w14:solidFill>
                      </w14:textFill>
                    </w:rPr>
                    <w:t>重点管控单元</w:t>
                  </w:r>
                </w:p>
              </w:tc>
              <w:tc>
                <w:tcPr>
                  <w:tcW w:w="466" w:type="dxa"/>
                  <w:tcBorders>
                    <w:tl2br w:val="nil"/>
                    <w:tr2bl w:val="nil"/>
                  </w:tcBorders>
                  <w:noWrap w:val="0"/>
                  <w:vAlign w:val="center"/>
                </w:tcPr>
                <w:p w14:paraId="7CFAA862">
                  <w:pPr>
                    <w:keepNext w:val="0"/>
                    <w:keepLines w:val="0"/>
                    <w:pageBreakBefore w:val="0"/>
                    <w:kinsoku/>
                    <w:wordWrap/>
                    <w:overflowPunct/>
                    <w:topLinePunct w:val="0"/>
                    <w:autoSpaceDE/>
                    <w:autoSpaceDN/>
                    <w:bidi w:val="0"/>
                    <w:adjustRightInd w:val="0"/>
                    <w:snapToGrid w:val="0"/>
                    <w:jc w:val="center"/>
                    <w:textAlignment w:val="auto"/>
                    <w:rPr>
                      <w:rFonts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空间布局约束</w:t>
                  </w:r>
                </w:p>
              </w:tc>
              <w:tc>
                <w:tcPr>
                  <w:tcW w:w="3345" w:type="dxa"/>
                  <w:tcBorders>
                    <w:tl2br w:val="nil"/>
                    <w:tr2bl w:val="nil"/>
                  </w:tcBorders>
                  <w:noWrap w:val="0"/>
                  <w:vAlign w:val="center"/>
                </w:tcPr>
                <w:p w14:paraId="7DA42AFD">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1.</w:t>
                  </w:r>
                  <w:r>
                    <w:rPr>
                      <w:rFonts w:eastAsia="仿宋"/>
                      <w:color w:val="000000" w:themeColor="text1"/>
                      <w:sz w:val="21"/>
                      <w:szCs w:val="21"/>
                      <w14:textFill>
                        <w14:solidFill>
                          <w14:schemeClr w14:val="tx1"/>
                        </w14:solidFill>
                      </w14:textFill>
                    </w:rPr>
                    <w:t>执行中共中央 国务院《关于深入打好污染防治攻坚战的意见</w:t>
                  </w:r>
                  <w:r>
                    <w:rPr>
                      <w:rFonts w:hint="eastAsia" w:eastAsia="仿宋"/>
                      <w:color w:val="000000" w:themeColor="text1"/>
                      <w:sz w:val="21"/>
                      <w:szCs w:val="21"/>
                      <w14:textFill>
                        <w14:solidFill>
                          <w14:schemeClr w14:val="tx1"/>
                        </w14:solidFill>
                      </w14:textFill>
                    </w:rPr>
                    <w:t>》《</w:t>
                  </w:r>
                  <w:r>
                    <w:rPr>
                      <w:rFonts w:eastAsia="仿宋"/>
                      <w:color w:val="000000" w:themeColor="text1"/>
                      <w:sz w:val="21"/>
                      <w:szCs w:val="21"/>
                      <w14:textFill>
                        <w14:solidFill>
                          <w14:schemeClr w14:val="tx1"/>
                        </w14:solidFill>
                      </w14:textFill>
                    </w:rPr>
                    <w:t>关于加强高耗能、高排放建设项目生态环境源头防控的指导意见》（环环评</w:t>
                  </w:r>
                  <w:r>
                    <w:rPr>
                      <w:rFonts w:hint="eastAsia" w:eastAsia="仿宋"/>
                      <w:color w:val="000000" w:themeColor="text1"/>
                      <w:sz w:val="21"/>
                      <w:szCs w:val="21"/>
                      <w14:textFill>
                        <w14:solidFill>
                          <w14:schemeClr w14:val="tx1"/>
                        </w14:solidFill>
                      </w14:textFill>
                    </w:rPr>
                    <w:t>〔2021〕</w:t>
                  </w:r>
                  <w:r>
                    <w:rPr>
                      <w:rFonts w:eastAsia="仿宋"/>
                      <w:color w:val="000000" w:themeColor="text1"/>
                      <w:sz w:val="21"/>
                      <w:szCs w:val="21"/>
                      <w14:textFill>
                        <w14:solidFill>
                          <w14:schemeClr w14:val="tx1"/>
                        </w14:solidFill>
                      </w14:textFill>
                    </w:rPr>
                    <w:t>45号）等中的落后产能淘汰等空间布局约束的相关要求。坚决遏制高耗能、高排放项目盲目发展。严格落实污染物排放区域削减要求，对不符合规定的项目坚决停批停建。依法依规淘汰落后产能和化解过剩产能。</w:t>
                  </w:r>
                </w:p>
                <w:p w14:paraId="5E23D53F">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2.</w:t>
                  </w:r>
                  <w:r>
                    <w:rPr>
                      <w:rFonts w:eastAsia="仿宋"/>
                      <w:color w:val="000000" w:themeColor="text1"/>
                      <w:sz w:val="21"/>
                      <w:szCs w:val="21"/>
                      <w14:textFill>
                        <w14:solidFill>
                          <w14:schemeClr w14:val="tx1"/>
                        </w14:solidFill>
                      </w14:textFill>
                    </w:rPr>
                    <w:t>执行《甘肃省大气污染治理领导小组办公室关于做好重点行业挥发性有机物综合治理工作的通知》（甘大气治理领办发</w:t>
                  </w:r>
                  <w:r>
                    <w:rPr>
                      <w:rFonts w:hint="eastAsia" w:eastAsia="仿宋"/>
                      <w:color w:val="000000" w:themeColor="text1"/>
                      <w:sz w:val="21"/>
                      <w:szCs w:val="21"/>
                      <w14:textFill>
                        <w14:solidFill>
                          <w14:schemeClr w14:val="tx1"/>
                        </w14:solidFill>
                      </w14:textFill>
                    </w:rPr>
                    <w:t>〔2019〕</w:t>
                  </w:r>
                  <w:r>
                    <w:rPr>
                      <w:rFonts w:eastAsia="仿宋"/>
                      <w:color w:val="000000" w:themeColor="text1"/>
                      <w:sz w:val="21"/>
                      <w:szCs w:val="21"/>
                      <w14:textFill>
                        <w14:solidFill>
                          <w14:schemeClr w14:val="tx1"/>
                        </w14:solidFill>
                      </w14:textFill>
                    </w:rPr>
                    <w:t>15号）、《重点行业挥发性有机物综合治理方案》（环大气</w:t>
                  </w:r>
                  <w:r>
                    <w:rPr>
                      <w:rFonts w:hint="eastAsia" w:eastAsia="仿宋"/>
                      <w:color w:val="000000" w:themeColor="text1"/>
                      <w:sz w:val="21"/>
                      <w:szCs w:val="21"/>
                      <w14:textFill>
                        <w14:solidFill>
                          <w14:schemeClr w14:val="tx1"/>
                        </w14:solidFill>
                      </w14:textFill>
                    </w:rPr>
                    <w:t>〔2019〕</w:t>
                  </w:r>
                  <w:r>
                    <w:rPr>
                      <w:rFonts w:eastAsia="仿宋"/>
                      <w:color w:val="000000" w:themeColor="text1"/>
                      <w:sz w:val="21"/>
                      <w:szCs w:val="21"/>
                      <w14:textFill>
                        <w14:solidFill>
                          <w14:schemeClr w14:val="tx1"/>
                        </w14:solidFill>
                      </w14:textFill>
                    </w:rPr>
                    <w:t>53号）等中使用先进工艺等空间布局约束的相关要求。</w:t>
                  </w:r>
                </w:p>
                <w:p w14:paraId="7AAC287C">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3.</w:t>
                  </w:r>
                  <w:r>
                    <w:rPr>
                      <w:rFonts w:eastAsia="仿宋"/>
                      <w:color w:val="000000" w:themeColor="text1"/>
                      <w:sz w:val="21"/>
                      <w:szCs w:val="21"/>
                      <w14:textFill>
                        <w14:solidFill>
                          <w14:schemeClr w14:val="tx1"/>
                        </w14:solidFill>
                      </w14:textFill>
                    </w:rPr>
                    <w:t>矿产资源开发活动执行《矿山生态环境保护与污染防治技术政策》（环发</w:t>
                  </w:r>
                  <w:r>
                    <w:rPr>
                      <w:rFonts w:hint="eastAsia" w:eastAsia="仿宋"/>
                      <w:color w:val="000000" w:themeColor="text1"/>
                      <w:sz w:val="21"/>
                      <w:szCs w:val="21"/>
                      <w14:textFill>
                        <w14:solidFill>
                          <w14:schemeClr w14:val="tx1"/>
                        </w14:solidFill>
                      </w14:textFill>
                    </w:rPr>
                    <w:t>〔2005〕</w:t>
                  </w:r>
                  <w:r>
                    <w:rPr>
                      <w:rFonts w:eastAsia="仿宋"/>
                      <w:color w:val="000000" w:themeColor="text1"/>
                      <w:sz w:val="21"/>
                      <w:szCs w:val="21"/>
                      <w14:textFill>
                        <w14:solidFill>
                          <w14:schemeClr w14:val="tx1"/>
                        </w14:solidFill>
                      </w14:textFill>
                    </w:rPr>
                    <w:t>109号）等相关要求。矿产资源开发应符合国家产业政策要求，选址、布局应符合所在地的区域发展规划。</w:t>
                  </w:r>
                </w:p>
                <w:p w14:paraId="5D4C6F6E">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4.</w:t>
                  </w:r>
                  <w:r>
                    <w:rPr>
                      <w:rFonts w:eastAsia="仿宋"/>
                      <w:color w:val="000000" w:themeColor="text1"/>
                      <w:sz w:val="21"/>
                      <w:szCs w:val="21"/>
                      <w14:textFill>
                        <w14:solidFill>
                          <w14:schemeClr w14:val="tx1"/>
                        </w14:solidFill>
                      </w14:textFill>
                    </w:rPr>
                    <w:t>落实《土壤污染防治行动计划》（国发</w:t>
                  </w:r>
                  <w:r>
                    <w:rPr>
                      <w:rFonts w:hint="eastAsia" w:eastAsia="仿宋"/>
                      <w:color w:val="000000" w:themeColor="text1"/>
                      <w:sz w:val="21"/>
                      <w:szCs w:val="21"/>
                      <w14:textFill>
                        <w14:solidFill>
                          <w14:schemeClr w14:val="tx1"/>
                        </w14:solidFill>
                      </w14:textFill>
                    </w:rPr>
                    <w:t>〔2016〕</w:t>
                  </w:r>
                  <w:r>
                    <w:rPr>
                      <w:rFonts w:eastAsia="仿宋"/>
                      <w:color w:val="000000" w:themeColor="text1"/>
                      <w:sz w:val="21"/>
                      <w:szCs w:val="21"/>
                      <w14:textFill>
                        <w14:solidFill>
                          <w14:schemeClr w14:val="tx1"/>
                        </w14:solidFill>
                      </w14:textFill>
                    </w:rPr>
                    <w:t>31号）、《关于加强涉重金属行业污染防控的意见》（环土壤</w:t>
                  </w:r>
                  <w:r>
                    <w:rPr>
                      <w:rFonts w:hint="eastAsia" w:eastAsia="仿宋"/>
                      <w:color w:val="000000" w:themeColor="text1"/>
                      <w:sz w:val="21"/>
                      <w:szCs w:val="21"/>
                      <w14:textFill>
                        <w14:solidFill>
                          <w14:schemeClr w14:val="tx1"/>
                        </w14:solidFill>
                      </w14:textFill>
                    </w:rPr>
                    <w:t>〔2018〕</w:t>
                  </w:r>
                  <w:r>
                    <w:rPr>
                      <w:rFonts w:eastAsia="仿宋"/>
                      <w:color w:val="000000" w:themeColor="text1"/>
                      <w:sz w:val="21"/>
                      <w:szCs w:val="21"/>
                      <w14:textFill>
                        <w14:solidFill>
                          <w14:schemeClr w14:val="tx1"/>
                        </w14:solidFill>
                      </w14:textFill>
                    </w:rPr>
                    <w:t>22号）等中的淘汰落后产能等空间布局约束的相关要求。加强对严格管控类耕地的用途管理，依法划定特定农产品禁止生产区域，严禁种植食用农产品。</w:t>
                  </w:r>
                </w:p>
                <w:p w14:paraId="0D3C79EC">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5.</w:t>
                  </w:r>
                  <w:r>
                    <w:rPr>
                      <w:rFonts w:eastAsia="仿宋"/>
                      <w:color w:val="000000" w:themeColor="text1"/>
                      <w:sz w:val="21"/>
                      <w:szCs w:val="21"/>
                      <w14:textFill>
                        <w14:solidFill>
                          <w14:schemeClr w14:val="tx1"/>
                        </w14:solidFill>
                      </w14:textFill>
                    </w:rPr>
                    <w:t>执行《产业结构调整指导目录》和相关行业企业布局选址要求，禁止在居民区、学校、医疗和养老机构等周边新建有色金属冶炼、焦化等行业企业；结合推进新型城镇化建设、产业结构调整和化解过剩产能等，有序搬迁或依法关闭对土壤造成严重污染的现有企业。结合区域功能定位和土壤污染防治需要，科学布局生活垃圾处理、危险废物处置、废旧资源再生利用等设施和场所，合理确定畜禽养殖布局和规模。</w:t>
                  </w:r>
                </w:p>
                <w:p w14:paraId="05410769">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6.</w:t>
                  </w:r>
                  <w:r>
                    <w:rPr>
                      <w:rFonts w:eastAsia="仿宋"/>
                      <w:color w:val="000000" w:themeColor="text1"/>
                      <w:sz w:val="21"/>
                      <w:szCs w:val="21"/>
                      <w14:textFill>
                        <w14:solidFill>
                          <w14:schemeClr w14:val="tx1"/>
                        </w14:solidFill>
                      </w14:textFill>
                    </w:rPr>
                    <w:t>执行《地下水管理条例》中地下水调查与规划、节约与保护、超采治理等有关空间布局准入要求。同时通过控采限量、节水增效、种植结构调整等措施，推进地下水超采区治理。取水总量接近用水总量控制指标的地区，对该区域内新建、改建、扩建项目取水许可申请限制审批，取水总量已达到或超过总量控制指标的地区，除通过水权转让方式获得用水指标外，暂停审批建设项目新增用水。</w:t>
                  </w:r>
                </w:p>
                <w:p w14:paraId="25984FBF">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7.</w:t>
                  </w:r>
                  <w:r>
                    <w:rPr>
                      <w:rFonts w:eastAsia="仿宋"/>
                      <w:color w:val="000000" w:themeColor="text1"/>
                      <w:sz w:val="21"/>
                      <w:szCs w:val="21"/>
                      <w14:textFill>
                        <w14:solidFill>
                          <w14:schemeClr w14:val="tx1"/>
                        </w14:solidFill>
                      </w14:textFill>
                    </w:rPr>
                    <w:t>调整能源结构，坚持减煤增气（电）并举，减少煤炭消费，加强散煤治理，提高能源利用效率。同时积极引导国有资本从高耗能行业向现代服务业和循环农业转移，提升结构节能能力。加快“零碳”城市建设步伐，大力推动能源清洁低碳转型，国家“零碳城市”创建完成阶段性目标，绿色低碳循环生产生活方式加快形成。同时加快化石能源清洁高效利用，把推动煤炭等化石能源清洁高效开发利用作为能源转型发展的首要任务，实施新上耗煤项目能耗等量减量置换，加速调控化石能源消费向清洁能源转型。</w:t>
                  </w:r>
                </w:p>
                <w:p w14:paraId="03F3D343">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8.</w:t>
                  </w:r>
                  <w:r>
                    <w:rPr>
                      <w:rFonts w:eastAsia="仿宋"/>
                      <w:color w:val="000000" w:themeColor="text1"/>
                      <w:sz w:val="21"/>
                      <w:szCs w:val="21"/>
                      <w14:textFill>
                        <w14:solidFill>
                          <w14:schemeClr w14:val="tx1"/>
                        </w14:solidFill>
                      </w14:textFill>
                    </w:rPr>
                    <w:t>调整产业结构，优化产业布局，实施“双碳”战略，遏制“两高”盲目发展，依法依规推动落后产能退出，推动传统高耗能行业绿色化、低碳化改造，积极创建绿色制造产业体系；有序推动“两高”企业开展节能降碳技术改造；督促企业开展节能技术改造，推动重点用能行业提高能源利用效率，不断提升行业整体用能水平。推进工业能源消费结构低碳化和产业结构低碳化，持续开展能源“双控”行动，加大重点耗能行业节能力度，强化对高耗能行业项目重点把控。发展节能环保服务业，强化对制造业绿色发展的支撑作用。</w:t>
                  </w:r>
                </w:p>
                <w:p w14:paraId="198A6793">
                  <w:pPr>
                    <w:adjustRightInd w:val="0"/>
                    <w:snapToGrid w:val="0"/>
                    <w:ind w:firstLine="420" w:firstLineChars="200"/>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9.</w:t>
                  </w:r>
                  <w:r>
                    <w:rPr>
                      <w:rFonts w:eastAsia="仿宋"/>
                      <w:color w:val="000000" w:themeColor="text1"/>
                      <w:sz w:val="21"/>
                      <w:szCs w:val="21"/>
                      <w14:textFill>
                        <w14:solidFill>
                          <w14:schemeClr w14:val="tx1"/>
                        </w14:solidFill>
                      </w14:textFill>
                    </w:rPr>
                    <w:t>统筹协调与流域综合规划、防洪规划、城市总体规划等相关规划的关系，在不影响防洪、河势稳定、水生态环境等的情况下，考虑经济社会发展需要，合理论证，合理布局，节约、集约利用，提高岸线资源利用效率，充分发挥岸线资源的综合效益。</w:t>
                  </w:r>
                </w:p>
              </w:tc>
              <w:tc>
                <w:tcPr>
                  <w:tcW w:w="1766" w:type="dxa"/>
                  <w:tcBorders>
                    <w:tl2br w:val="nil"/>
                    <w:tr2bl w:val="nil"/>
                  </w:tcBorders>
                  <w:noWrap w:val="0"/>
                  <w:vAlign w:val="center"/>
                </w:tcPr>
                <w:p w14:paraId="4816188F">
                  <w:pPr>
                    <w:adjustRightInd w:val="0"/>
                    <w:snapToGrid w:val="0"/>
                    <w:ind w:firstLine="420" w:firstLineChars="200"/>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eastAsia="仿宋"/>
                      <w:color w:val="000000" w:themeColor="text1"/>
                      <w:sz w:val="21"/>
                      <w:szCs w:val="21"/>
                      <w14:textFill>
                        <w14:solidFill>
                          <w14:schemeClr w14:val="tx1"/>
                        </w14:solidFill>
                      </w14:textFill>
                    </w:rPr>
                    <w:t>根据《产业结构调整指导目录（2024年本）》，本项目不属于限制、淘汰和鼓励类项目，属于允许类项目</w:t>
                  </w:r>
                  <w:r>
                    <w:rPr>
                      <w:rFonts w:hint="eastAsia" w:eastAsia="仿宋"/>
                      <w:color w:val="000000" w:themeColor="text1"/>
                      <w:sz w:val="21"/>
                      <w:szCs w:val="21"/>
                      <w14:textFill>
                        <w14:solidFill>
                          <w14:schemeClr w14:val="tx1"/>
                        </w14:solidFill>
                      </w14:textFill>
                    </w:rPr>
                    <w:t>，本项目不属于“两高”项目，</w:t>
                  </w:r>
                  <w:r>
                    <w:rPr>
                      <w:rFonts w:hint="eastAsia" w:eastAsia="仿宋"/>
                      <w:color w:val="000000" w:themeColor="text1"/>
                      <w:sz w:val="21"/>
                      <w:szCs w:val="21"/>
                      <w:lang w:val="en-US" w:eastAsia="zh-CN"/>
                      <w14:textFill>
                        <w14:solidFill>
                          <w14:schemeClr w14:val="tx1"/>
                        </w14:solidFill>
                      </w14:textFill>
                    </w:rPr>
                    <w:t>本项目属于</w:t>
                  </w:r>
                  <w:r>
                    <w:rPr>
                      <w:rFonts w:eastAsia="仿宋"/>
                      <w:color w:val="000000" w:themeColor="text1"/>
                      <w:sz w:val="21"/>
                      <w:szCs w:val="21"/>
                      <w14:textFill>
                        <w14:solidFill>
                          <w14:schemeClr w14:val="tx1"/>
                        </w14:solidFill>
                      </w14:textFill>
                    </w:rPr>
                    <w:t>矿产资源开发执行《矿山生态环境保护与污染防治技术政策》（环发</w:t>
                  </w:r>
                  <w:r>
                    <w:rPr>
                      <w:rFonts w:hint="eastAsia" w:eastAsia="仿宋"/>
                      <w:color w:val="000000" w:themeColor="text1"/>
                      <w:sz w:val="21"/>
                      <w:szCs w:val="21"/>
                      <w14:textFill>
                        <w14:solidFill>
                          <w14:schemeClr w14:val="tx1"/>
                        </w14:solidFill>
                      </w14:textFill>
                    </w:rPr>
                    <w:t>〔2005〕</w:t>
                  </w:r>
                  <w:r>
                    <w:rPr>
                      <w:rFonts w:eastAsia="仿宋"/>
                      <w:color w:val="000000" w:themeColor="text1"/>
                      <w:sz w:val="21"/>
                      <w:szCs w:val="21"/>
                      <w14:textFill>
                        <w14:solidFill>
                          <w14:schemeClr w14:val="tx1"/>
                        </w14:solidFill>
                      </w14:textFill>
                    </w:rPr>
                    <w:t>109号）等相关要求。矿产资源开发符合国家产业政策要求，选址、布局应符合所在地的区域发展规划</w:t>
                  </w:r>
                  <w:r>
                    <w:rPr>
                      <w:rFonts w:hint="eastAsia" w:eastAsia="仿宋"/>
                      <w:color w:val="000000" w:themeColor="text1"/>
                      <w:sz w:val="21"/>
                      <w:szCs w:val="21"/>
                      <w:lang w:eastAsia="zh-CN"/>
                      <w14:textFill>
                        <w14:solidFill>
                          <w14:schemeClr w14:val="tx1"/>
                        </w14:solidFill>
                      </w14:textFill>
                    </w:rPr>
                    <w:t>。</w:t>
                  </w:r>
                </w:p>
              </w:tc>
              <w:tc>
                <w:tcPr>
                  <w:tcW w:w="932" w:type="dxa"/>
                  <w:vMerge w:val="restart"/>
                  <w:tcBorders>
                    <w:tl2br w:val="nil"/>
                    <w:tr2bl w:val="nil"/>
                  </w:tcBorders>
                  <w:noWrap w:val="0"/>
                  <w:vAlign w:val="center"/>
                </w:tcPr>
                <w:p w14:paraId="40FE1ED3">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eastAsia="仿宋" w:cs="Times New Roman"/>
                      <w:color w:val="000000" w:themeColor="text1"/>
                      <w:sz w:val="21"/>
                      <w:szCs w:val="21"/>
                      <w:lang w:val="en-US" w:eastAsia="zh-CN"/>
                      <w14:textFill>
                        <w14:solidFill>
                          <w14:schemeClr w14:val="tx1"/>
                        </w14:solidFill>
                      </w14:textFill>
                    </w:rPr>
                    <w:t>符合</w:t>
                  </w:r>
                </w:p>
              </w:tc>
            </w:tr>
            <w:tr w14:paraId="41E2F97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continue"/>
                  <w:tcBorders>
                    <w:tl2br w:val="nil"/>
                    <w:tr2bl w:val="nil"/>
                  </w:tcBorders>
                  <w:noWrap w:val="0"/>
                  <w:vAlign w:val="center"/>
                </w:tcPr>
                <w:p w14:paraId="664A2F2A">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p>
              </w:tc>
              <w:tc>
                <w:tcPr>
                  <w:tcW w:w="466" w:type="dxa"/>
                  <w:tcBorders>
                    <w:tl2br w:val="nil"/>
                    <w:tr2bl w:val="nil"/>
                  </w:tcBorders>
                  <w:noWrap w:val="0"/>
                  <w:vAlign w:val="center"/>
                </w:tcPr>
                <w:p w14:paraId="68C2B3AB">
                  <w:pPr>
                    <w:keepNext w:val="0"/>
                    <w:keepLines w:val="0"/>
                    <w:pageBreakBefore w:val="0"/>
                    <w:widowControl/>
                    <w:kinsoku/>
                    <w:wordWrap/>
                    <w:overflowPunct/>
                    <w:topLinePunct w:val="0"/>
                    <w:autoSpaceDE/>
                    <w:autoSpaceDN/>
                    <w:bidi w:val="0"/>
                    <w:adjustRightInd w:val="0"/>
                    <w:snapToGrid w:val="0"/>
                    <w:jc w:val="center"/>
                    <w:textAlignment w:val="auto"/>
                    <w:rPr>
                      <w:rFonts w:ascii="仿宋" w:hAnsi="仿宋" w:eastAsia="仿宋" w:cs="Times New Roman"/>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污染物排</w:t>
                  </w:r>
                  <w:r>
                    <w:rPr>
                      <w:rFonts w:eastAsia="仿宋"/>
                      <w:color w:val="000000" w:themeColor="text1"/>
                      <w:sz w:val="21"/>
                      <w:szCs w:val="21"/>
                      <w14:textFill>
                        <w14:solidFill>
                          <w14:schemeClr w14:val="tx1"/>
                        </w14:solidFill>
                      </w14:textFill>
                    </w:rPr>
                    <w:t xml:space="preserve"> </w:t>
                  </w:r>
                  <w:r>
                    <w:rPr>
                      <w:rFonts w:ascii="仿宋" w:hAnsi="仿宋" w:eastAsia="仿宋"/>
                      <w:color w:val="000000" w:themeColor="text1"/>
                      <w:sz w:val="21"/>
                      <w:szCs w:val="21"/>
                      <w14:textFill>
                        <w14:solidFill>
                          <w14:schemeClr w14:val="tx1"/>
                        </w14:solidFill>
                      </w14:textFill>
                    </w:rPr>
                    <w:t>放管控</w:t>
                  </w:r>
                </w:p>
              </w:tc>
              <w:tc>
                <w:tcPr>
                  <w:tcW w:w="3345" w:type="dxa"/>
                  <w:tcBorders>
                    <w:tl2br w:val="nil"/>
                    <w:tr2bl w:val="nil"/>
                  </w:tcBorders>
                  <w:noWrap w:val="0"/>
                  <w:vAlign w:val="center"/>
                </w:tcPr>
                <w:p w14:paraId="7C8708F8">
                  <w:pPr>
                    <w:pStyle w:val="6"/>
                    <w:adjustRightInd w:val="0"/>
                    <w:snapToGrid w:val="0"/>
                    <w:spacing w:after="0"/>
                    <w:ind w:left="0" w:leftChars="0" w:firstLineChars="200"/>
                    <w:rPr>
                      <w:rFonts w:eastAsia="仿宋"/>
                      <w:color w:val="000000" w:themeColor="text1"/>
                      <w:kern w:val="2"/>
                      <w:sz w:val="21"/>
                      <w:szCs w:val="21"/>
                      <w14:textFill>
                        <w14:solidFill>
                          <w14:schemeClr w14:val="tx1"/>
                        </w14:solidFill>
                      </w14:textFill>
                    </w:rPr>
                  </w:pPr>
                  <w:r>
                    <w:rPr>
                      <w:rFonts w:hint="eastAsia" w:eastAsia="仿宋"/>
                      <w:color w:val="000000" w:themeColor="text1"/>
                      <w:kern w:val="2"/>
                      <w:sz w:val="21"/>
                      <w:szCs w:val="21"/>
                      <w:lang w:eastAsia="zh-CN"/>
                      <w14:textFill>
                        <w14:solidFill>
                          <w14:schemeClr w14:val="tx1"/>
                        </w14:solidFill>
                      </w14:textFill>
                    </w:rPr>
                    <w:t>1.</w:t>
                  </w:r>
                  <w:r>
                    <w:rPr>
                      <w:rFonts w:eastAsia="仿宋"/>
                      <w:color w:val="000000" w:themeColor="text1"/>
                      <w:kern w:val="2"/>
                      <w:sz w:val="21"/>
                      <w:szCs w:val="21"/>
                      <w14:textFill>
                        <w14:solidFill>
                          <w14:schemeClr w14:val="tx1"/>
                        </w14:solidFill>
                      </w14:textFill>
                    </w:rPr>
                    <w:t>2025年全市空气质量优良天数比率（%）、可吸入颗粒物（PM</w:t>
                  </w:r>
                  <w:r>
                    <w:rPr>
                      <w:rFonts w:eastAsia="仿宋"/>
                      <w:color w:val="000000" w:themeColor="text1"/>
                      <w:kern w:val="2"/>
                      <w:sz w:val="21"/>
                      <w:szCs w:val="21"/>
                      <w:vertAlign w:val="subscript"/>
                      <w14:textFill>
                        <w14:solidFill>
                          <w14:schemeClr w14:val="tx1"/>
                        </w14:solidFill>
                      </w14:textFill>
                    </w:rPr>
                    <w:t>10</w:t>
                  </w:r>
                  <w:r>
                    <w:rPr>
                      <w:rFonts w:eastAsia="仿宋"/>
                      <w:color w:val="000000" w:themeColor="text1"/>
                      <w:kern w:val="2"/>
                      <w:sz w:val="21"/>
                      <w:szCs w:val="21"/>
                      <w14:textFill>
                        <w14:solidFill>
                          <w14:schemeClr w14:val="tx1"/>
                        </w14:solidFill>
                      </w14:textFill>
                    </w:rPr>
                    <w:t>）浓度（微克/立方米）、细颗粒物（PM</w:t>
                  </w:r>
                  <w:r>
                    <w:rPr>
                      <w:rFonts w:eastAsia="仿宋"/>
                      <w:color w:val="000000" w:themeColor="text1"/>
                      <w:kern w:val="2"/>
                      <w:sz w:val="21"/>
                      <w:szCs w:val="21"/>
                      <w:vertAlign w:val="subscript"/>
                      <w14:textFill>
                        <w14:solidFill>
                          <w14:schemeClr w14:val="tx1"/>
                        </w14:solidFill>
                      </w14:textFill>
                    </w:rPr>
                    <w:t>2.5</w:t>
                  </w:r>
                  <w:r>
                    <w:rPr>
                      <w:rFonts w:eastAsia="仿宋"/>
                      <w:color w:val="000000" w:themeColor="text1"/>
                      <w:kern w:val="2"/>
                      <w:sz w:val="21"/>
                      <w:szCs w:val="21"/>
                      <w14:textFill>
                        <w14:solidFill>
                          <w14:schemeClr w14:val="tx1"/>
                        </w14:solidFill>
                      </w14:textFill>
                    </w:rPr>
                    <w:t>）浓度（微克/立方米）、达到或好于Ⅲ类水体比例（%）、劣Ⅴ类水体比例（%）、氮氧化物重点工程减排量（吨）、挥发性有机物重点工程减排量（吨）、化学需氧量重点工程减排量（吨）、氨氮重点工程减排量（吨）等生态环境有关指标完成省上下达的目标。</w:t>
                  </w:r>
                </w:p>
                <w:p w14:paraId="720F69A5">
                  <w:pPr>
                    <w:pStyle w:val="6"/>
                    <w:adjustRightInd w:val="0"/>
                    <w:snapToGrid w:val="0"/>
                    <w:spacing w:after="0"/>
                    <w:ind w:left="0" w:leftChars="0" w:firstLineChars="200"/>
                    <w:rPr>
                      <w:rFonts w:eastAsia="仿宋"/>
                      <w:color w:val="000000" w:themeColor="text1"/>
                      <w:kern w:val="2"/>
                      <w:sz w:val="21"/>
                      <w:szCs w:val="21"/>
                      <w14:textFill>
                        <w14:solidFill>
                          <w14:schemeClr w14:val="tx1"/>
                        </w14:solidFill>
                      </w14:textFill>
                    </w:rPr>
                  </w:pPr>
                  <w:r>
                    <w:rPr>
                      <w:rFonts w:hint="eastAsia" w:eastAsia="仿宋"/>
                      <w:color w:val="000000" w:themeColor="text1"/>
                      <w:kern w:val="2"/>
                      <w:sz w:val="21"/>
                      <w:szCs w:val="21"/>
                      <w:lang w:eastAsia="zh-CN"/>
                      <w14:textFill>
                        <w14:solidFill>
                          <w14:schemeClr w14:val="tx1"/>
                        </w14:solidFill>
                      </w14:textFill>
                    </w:rPr>
                    <w:t>2.</w:t>
                  </w:r>
                  <w:r>
                    <w:rPr>
                      <w:rFonts w:eastAsia="仿宋"/>
                      <w:color w:val="000000" w:themeColor="text1"/>
                      <w:kern w:val="2"/>
                      <w:sz w:val="21"/>
                      <w:szCs w:val="21"/>
                      <w14:textFill>
                        <w14:solidFill>
                          <w14:schemeClr w14:val="tx1"/>
                        </w14:solidFill>
                      </w14:textFill>
                    </w:rPr>
                    <w:t>县级及以上城市建成区基本淘汰每小时10蒸吨及以下燃煤锅炉及茶水炉、经营性炉灶、储粮烘干设备等燃煤设施，原则上不再新建每小时35蒸吨以下的燃煤锅炉，其他地区原则上不再新建每小时10蒸吨及以下燃煤锅炉。在集中供热管网覆盖地区，禁止新建、扩建分散燃煤供热锅炉；已建成的不能达标排放的燃煤供热锅炉，应当在市、县</w:t>
                  </w:r>
                  <w:r>
                    <w:rPr>
                      <w:rFonts w:hint="eastAsia" w:eastAsia="仿宋"/>
                      <w:color w:val="000000" w:themeColor="text1"/>
                      <w:kern w:val="2"/>
                      <w:sz w:val="21"/>
                      <w:szCs w:val="21"/>
                      <w14:textFill>
                        <w14:solidFill>
                          <w14:schemeClr w14:val="tx1"/>
                        </w14:solidFill>
                      </w14:textFill>
                    </w:rPr>
                    <w:t>（</w:t>
                  </w:r>
                  <w:r>
                    <w:rPr>
                      <w:rFonts w:eastAsia="仿宋"/>
                      <w:color w:val="000000" w:themeColor="text1"/>
                      <w:kern w:val="2"/>
                      <w:sz w:val="21"/>
                      <w:szCs w:val="21"/>
                      <w14:textFill>
                        <w14:solidFill>
                          <w14:schemeClr w14:val="tx1"/>
                        </w14:solidFill>
                      </w14:textFill>
                    </w:rPr>
                    <w:t>区</w:t>
                  </w:r>
                  <w:r>
                    <w:rPr>
                      <w:rFonts w:hint="eastAsia" w:eastAsia="仿宋"/>
                      <w:color w:val="000000" w:themeColor="text1"/>
                      <w:kern w:val="2"/>
                      <w:sz w:val="21"/>
                      <w:szCs w:val="21"/>
                      <w14:textFill>
                        <w14:solidFill>
                          <w14:schemeClr w14:val="tx1"/>
                        </w14:solidFill>
                      </w14:textFill>
                    </w:rPr>
                    <w:t>）</w:t>
                  </w:r>
                  <w:r>
                    <w:rPr>
                      <w:rFonts w:eastAsia="仿宋"/>
                      <w:color w:val="000000" w:themeColor="text1"/>
                      <w:kern w:val="2"/>
                      <w:sz w:val="21"/>
                      <w:szCs w:val="21"/>
                      <w14:textFill>
                        <w14:solidFill>
                          <w14:schemeClr w14:val="tx1"/>
                        </w14:solidFill>
                      </w14:textFill>
                    </w:rPr>
                    <w:t>人民政府规定的期限内拆除。在集中供热管网难以覆盖地区，按照清洁替代、经济适用、居民可承受的原则， 推进实施各类分散式清洁供暖。建设和使用燃煤锅炉和窑炉，锅炉单台出力和窑炉生产工艺应当符合国家和甘肃省规定的标准和政策要求。</w:t>
                  </w:r>
                </w:p>
                <w:p w14:paraId="193BEFE6">
                  <w:pPr>
                    <w:pStyle w:val="6"/>
                    <w:adjustRightInd w:val="0"/>
                    <w:snapToGrid w:val="0"/>
                    <w:spacing w:after="0"/>
                    <w:ind w:left="0" w:leftChars="0" w:firstLineChars="200"/>
                    <w:rPr>
                      <w:rFonts w:eastAsia="仿宋"/>
                      <w:color w:val="000000" w:themeColor="text1"/>
                      <w:kern w:val="2"/>
                      <w:sz w:val="21"/>
                      <w:szCs w:val="21"/>
                      <w14:textFill>
                        <w14:solidFill>
                          <w14:schemeClr w14:val="tx1"/>
                        </w14:solidFill>
                      </w14:textFill>
                    </w:rPr>
                  </w:pPr>
                  <w:r>
                    <w:rPr>
                      <w:rFonts w:hint="eastAsia" w:eastAsia="仿宋"/>
                      <w:color w:val="000000" w:themeColor="text1"/>
                      <w:kern w:val="2"/>
                      <w:sz w:val="21"/>
                      <w:szCs w:val="21"/>
                      <w:lang w:eastAsia="zh-CN"/>
                      <w14:textFill>
                        <w14:solidFill>
                          <w14:schemeClr w14:val="tx1"/>
                        </w14:solidFill>
                      </w14:textFill>
                    </w:rPr>
                    <w:t>3.</w:t>
                  </w:r>
                  <w:r>
                    <w:rPr>
                      <w:rFonts w:eastAsia="仿宋"/>
                      <w:color w:val="000000" w:themeColor="text1"/>
                      <w:kern w:val="2"/>
                      <w:sz w:val="21"/>
                      <w:szCs w:val="21"/>
                      <w14:textFill>
                        <w14:solidFill>
                          <w14:schemeClr w14:val="tx1"/>
                        </w14:solidFill>
                      </w14:textFill>
                    </w:rPr>
                    <w:t>执行《甘肃省大气污染防治条例》</w:t>
                  </w:r>
                  <w:r>
                    <w:rPr>
                      <w:rFonts w:hint="eastAsia" w:eastAsia="仿宋"/>
                      <w:color w:val="000000" w:themeColor="text1"/>
                      <w:kern w:val="2"/>
                      <w:sz w:val="21"/>
                      <w:szCs w:val="21"/>
                      <w14:textFill>
                        <w14:solidFill>
                          <w14:schemeClr w14:val="tx1"/>
                        </w14:solidFill>
                      </w14:textFill>
                    </w:rPr>
                    <w:t>等</w:t>
                  </w:r>
                  <w:r>
                    <w:rPr>
                      <w:rFonts w:eastAsia="仿宋"/>
                      <w:color w:val="000000" w:themeColor="text1"/>
                      <w:kern w:val="2"/>
                      <w:sz w:val="21"/>
                      <w:szCs w:val="21"/>
                      <w14:textFill>
                        <w14:solidFill>
                          <w14:schemeClr w14:val="tx1"/>
                        </w14:solidFill>
                      </w14:textFill>
                    </w:rPr>
                    <w:t>扬尘污染防治要求。按照《张掖市关于深入打好污染防治攻坚战的实施意见》要求，推动细颗粒物和臭氧污染协同治理，深入打好秋冬季大气污染防治攻坚战；着力打好臭氧污染防治攻坚战；持续打好柴油货车污染治理攻坚战；加强大气面源和噪声污染治理。实施工业园区节能降碳工程、重点行业节能降碳工程、加强甲烷等二氧化碳温室气体排放管控、张掖经开区开展“零碳”园区建设。</w:t>
                  </w:r>
                </w:p>
                <w:p w14:paraId="44E2B936">
                  <w:pPr>
                    <w:pStyle w:val="6"/>
                    <w:adjustRightInd w:val="0"/>
                    <w:snapToGrid w:val="0"/>
                    <w:spacing w:after="0"/>
                    <w:ind w:left="0" w:leftChars="0" w:firstLineChars="200"/>
                    <w:rPr>
                      <w:rFonts w:eastAsia="仿宋"/>
                      <w:color w:val="000000" w:themeColor="text1"/>
                      <w:kern w:val="2"/>
                      <w:sz w:val="21"/>
                      <w:szCs w:val="21"/>
                      <w14:textFill>
                        <w14:solidFill>
                          <w14:schemeClr w14:val="tx1"/>
                        </w14:solidFill>
                      </w14:textFill>
                    </w:rPr>
                  </w:pPr>
                  <w:r>
                    <w:rPr>
                      <w:rFonts w:hint="eastAsia" w:eastAsia="仿宋"/>
                      <w:color w:val="000000" w:themeColor="text1"/>
                      <w:kern w:val="2"/>
                      <w:sz w:val="21"/>
                      <w:szCs w:val="21"/>
                      <w:lang w:eastAsia="zh-CN"/>
                      <w14:textFill>
                        <w14:solidFill>
                          <w14:schemeClr w14:val="tx1"/>
                        </w14:solidFill>
                      </w14:textFill>
                    </w:rPr>
                    <w:t>4.</w:t>
                  </w:r>
                  <w:r>
                    <w:rPr>
                      <w:rFonts w:eastAsia="仿宋"/>
                      <w:color w:val="000000" w:themeColor="text1"/>
                      <w:kern w:val="2"/>
                      <w:sz w:val="21"/>
                      <w:szCs w:val="21"/>
                      <w14:textFill>
                        <w14:solidFill>
                          <w14:schemeClr w14:val="tx1"/>
                        </w14:solidFill>
                      </w14:textFill>
                    </w:rPr>
                    <w:t>执行《土壤污染防治行动计划》（国发</w:t>
                  </w:r>
                  <w:r>
                    <w:rPr>
                      <w:rFonts w:hint="eastAsia" w:eastAsia="仿宋"/>
                      <w:color w:val="000000" w:themeColor="text1"/>
                      <w:kern w:val="2"/>
                      <w:sz w:val="21"/>
                      <w:szCs w:val="21"/>
                      <w14:textFill>
                        <w14:solidFill>
                          <w14:schemeClr w14:val="tx1"/>
                        </w14:solidFill>
                      </w14:textFill>
                    </w:rPr>
                    <w:t>〔2016〕</w:t>
                  </w:r>
                  <w:r>
                    <w:rPr>
                      <w:rFonts w:eastAsia="仿宋"/>
                      <w:color w:val="000000" w:themeColor="text1"/>
                      <w:kern w:val="2"/>
                      <w:sz w:val="21"/>
                      <w:szCs w:val="21"/>
                      <w14:textFill>
                        <w14:solidFill>
                          <w14:schemeClr w14:val="tx1"/>
                        </w14:solidFill>
                      </w14:textFill>
                    </w:rPr>
                    <w:t>31号）、《关于加强涉重金属行业污染防控的意见》（环土壤</w:t>
                  </w:r>
                  <w:r>
                    <w:rPr>
                      <w:rFonts w:hint="eastAsia" w:eastAsia="仿宋"/>
                      <w:color w:val="000000" w:themeColor="text1"/>
                      <w:kern w:val="2"/>
                      <w:sz w:val="21"/>
                      <w:szCs w:val="21"/>
                      <w14:textFill>
                        <w14:solidFill>
                          <w14:schemeClr w14:val="tx1"/>
                        </w14:solidFill>
                      </w14:textFill>
                    </w:rPr>
                    <w:t>〔2018〕</w:t>
                  </w:r>
                  <w:r>
                    <w:rPr>
                      <w:rFonts w:eastAsia="仿宋"/>
                      <w:color w:val="000000" w:themeColor="text1"/>
                      <w:kern w:val="2"/>
                      <w:sz w:val="21"/>
                      <w:szCs w:val="21"/>
                      <w14:textFill>
                        <w14:solidFill>
                          <w14:schemeClr w14:val="tx1"/>
                        </w14:solidFill>
                      </w14:textFill>
                    </w:rPr>
                    <w:t>22号）等中的工艺提升改造等重金属污染物排放的相关要求。执行《关于加强高耗能、高排放建设项目生态环境源头防控的指导意见》（环环评</w:t>
                  </w:r>
                  <w:r>
                    <w:rPr>
                      <w:rFonts w:hint="eastAsia" w:eastAsia="仿宋"/>
                      <w:color w:val="000000" w:themeColor="text1"/>
                      <w:kern w:val="2"/>
                      <w:sz w:val="21"/>
                      <w:szCs w:val="21"/>
                      <w14:textFill>
                        <w14:solidFill>
                          <w14:schemeClr w14:val="tx1"/>
                        </w14:solidFill>
                      </w14:textFill>
                    </w:rPr>
                    <w:t>〔2021〕</w:t>
                  </w:r>
                  <w:r>
                    <w:rPr>
                      <w:rFonts w:eastAsia="仿宋"/>
                      <w:color w:val="000000" w:themeColor="text1"/>
                      <w:kern w:val="2"/>
                      <w:sz w:val="21"/>
                      <w:szCs w:val="21"/>
                      <w14:textFill>
                        <w14:solidFill>
                          <w14:schemeClr w14:val="tx1"/>
                        </w14:solidFill>
                      </w14:textFill>
                    </w:rPr>
                    <w:t>45号）等中的消减、产能置换、减量替代等污染物排放管控要求。</w:t>
                  </w:r>
                </w:p>
                <w:p w14:paraId="1F31EE09">
                  <w:pPr>
                    <w:pStyle w:val="6"/>
                    <w:adjustRightInd w:val="0"/>
                    <w:snapToGrid w:val="0"/>
                    <w:spacing w:after="0"/>
                    <w:ind w:left="0" w:leftChars="0" w:firstLineChars="200"/>
                    <w:rPr>
                      <w:rFonts w:eastAsia="仿宋"/>
                      <w:color w:val="000000" w:themeColor="text1"/>
                      <w:kern w:val="2"/>
                      <w:sz w:val="21"/>
                      <w:szCs w:val="21"/>
                      <w14:textFill>
                        <w14:solidFill>
                          <w14:schemeClr w14:val="tx1"/>
                        </w14:solidFill>
                      </w14:textFill>
                    </w:rPr>
                  </w:pPr>
                  <w:r>
                    <w:rPr>
                      <w:rFonts w:hint="eastAsia" w:eastAsia="仿宋"/>
                      <w:color w:val="000000" w:themeColor="text1"/>
                      <w:kern w:val="2"/>
                      <w:sz w:val="21"/>
                      <w:szCs w:val="21"/>
                      <w:lang w:eastAsia="zh-CN"/>
                      <w14:textFill>
                        <w14:solidFill>
                          <w14:schemeClr w14:val="tx1"/>
                        </w14:solidFill>
                      </w14:textFill>
                    </w:rPr>
                    <w:t>5.</w:t>
                  </w:r>
                  <w:r>
                    <w:rPr>
                      <w:rFonts w:eastAsia="仿宋"/>
                      <w:color w:val="000000" w:themeColor="text1"/>
                      <w:kern w:val="2"/>
                      <w:sz w:val="21"/>
                      <w:szCs w:val="21"/>
                      <w14:textFill>
                        <w14:solidFill>
                          <w14:schemeClr w14:val="tx1"/>
                        </w14:solidFill>
                      </w14:textFill>
                    </w:rPr>
                    <w:t>落实《水污染防治行动计划》（国发</w:t>
                  </w:r>
                  <w:r>
                    <w:rPr>
                      <w:rFonts w:hint="eastAsia" w:eastAsia="仿宋"/>
                      <w:color w:val="000000" w:themeColor="text1"/>
                      <w:kern w:val="2"/>
                      <w:sz w:val="21"/>
                      <w:szCs w:val="21"/>
                      <w14:textFill>
                        <w14:solidFill>
                          <w14:schemeClr w14:val="tx1"/>
                        </w14:solidFill>
                      </w14:textFill>
                    </w:rPr>
                    <w:t>〔2015〕</w:t>
                  </w:r>
                  <w:r>
                    <w:rPr>
                      <w:rFonts w:eastAsia="仿宋"/>
                      <w:color w:val="000000" w:themeColor="text1"/>
                      <w:kern w:val="2"/>
                      <w:sz w:val="21"/>
                      <w:szCs w:val="21"/>
                      <w14:textFill>
                        <w14:solidFill>
                          <w14:schemeClr w14:val="tx1"/>
                        </w14:solidFill>
                      </w14:textFill>
                    </w:rPr>
                    <w:t>17号）、《甘肃省水污染防治条例》等</w:t>
                  </w:r>
                  <w:r>
                    <w:rPr>
                      <w:rFonts w:hint="eastAsia" w:eastAsia="仿宋"/>
                      <w:color w:val="000000" w:themeColor="text1"/>
                      <w:kern w:val="2"/>
                      <w:sz w:val="21"/>
                      <w:szCs w:val="21"/>
                      <w14:textFill>
                        <w14:solidFill>
                          <w14:schemeClr w14:val="tx1"/>
                        </w14:solidFill>
                      </w14:textFill>
                    </w:rPr>
                    <w:t>重工业</w:t>
                  </w:r>
                  <w:r>
                    <w:rPr>
                      <w:rFonts w:eastAsia="仿宋"/>
                      <w:color w:val="000000" w:themeColor="text1"/>
                      <w:kern w:val="2"/>
                      <w:sz w:val="21"/>
                      <w:szCs w:val="21"/>
                      <w14:textFill>
                        <w14:solidFill>
                          <w14:schemeClr w14:val="tx1"/>
                        </w14:solidFill>
                      </w14:textFill>
                    </w:rPr>
                    <w:t>。污染防治、城镇生活污染防治、农业农村水污染防治等相关要求。排放工业废水的企业应当采取有效措施，收集和处理产生的全部废水，防止污染环境。含有毒有害水污染物的工业废水应当分类收集和处理，不得稀释排放。向污水集中处理设施排放工业废水的，应当按照国家有关规定进行预处理，达到集中处理设施处理工艺要求后方可排放。提高生活污水收集率、处理率，所有县城和重点镇具备污水收集处理能力。整治黑臭水体。</w:t>
                  </w:r>
                </w:p>
                <w:p w14:paraId="13096A69">
                  <w:pPr>
                    <w:pStyle w:val="6"/>
                    <w:adjustRightInd w:val="0"/>
                    <w:snapToGrid w:val="0"/>
                    <w:spacing w:after="0"/>
                    <w:ind w:left="0" w:leftChars="0" w:firstLineChars="200"/>
                    <w:rPr>
                      <w:rFonts w:eastAsia="仿宋"/>
                      <w:color w:val="000000" w:themeColor="text1"/>
                      <w:kern w:val="2"/>
                      <w:sz w:val="21"/>
                      <w:szCs w:val="21"/>
                      <w14:textFill>
                        <w14:solidFill>
                          <w14:schemeClr w14:val="tx1"/>
                        </w14:solidFill>
                      </w14:textFill>
                    </w:rPr>
                  </w:pPr>
                  <w:r>
                    <w:rPr>
                      <w:rFonts w:hint="eastAsia" w:eastAsia="仿宋"/>
                      <w:color w:val="000000" w:themeColor="text1"/>
                      <w:kern w:val="2"/>
                      <w:sz w:val="21"/>
                      <w:szCs w:val="21"/>
                      <w:lang w:eastAsia="zh-CN"/>
                      <w14:textFill>
                        <w14:solidFill>
                          <w14:schemeClr w14:val="tx1"/>
                        </w14:solidFill>
                      </w14:textFill>
                    </w:rPr>
                    <w:t>6.</w:t>
                  </w:r>
                  <w:r>
                    <w:rPr>
                      <w:rFonts w:eastAsia="仿宋"/>
                      <w:color w:val="000000" w:themeColor="text1"/>
                      <w:kern w:val="2"/>
                      <w:sz w:val="21"/>
                      <w:szCs w:val="21"/>
                      <w14:textFill>
                        <w14:solidFill>
                          <w14:schemeClr w14:val="tx1"/>
                        </w14:solidFill>
                      </w14:textFill>
                    </w:rPr>
                    <w:t>从事畜禽规模养殖要严格落实《中华人民共和国固体废物污染环境防治法</w:t>
                  </w:r>
                  <w:r>
                    <w:rPr>
                      <w:rFonts w:hint="eastAsia" w:eastAsia="仿宋"/>
                      <w:color w:val="000000" w:themeColor="text1"/>
                      <w:kern w:val="2"/>
                      <w:sz w:val="21"/>
                      <w:szCs w:val="21"/>
                      <w:lang w:eastAsia="zh-CN"/>
                      <w14:textFill>
                        <w14:solidFill>
                          <w14:schemeClr w14:val="tx1"/>
                        </w14:solidFill>
                      </w14:textFill>
                    </w:rPr>
                    <w:t>》《</w:t>
                  </w:r>
                  <w:r>
                    <w:rPr>
                      <w:rFonts w:eastAsia="仿宋"/>
                      <w:color w:val="000000" w:themeColor="text1"/>
                      <w:kern w:val="2"/>
                      <w:sz w:val="21"/>
                      <w:szCs w:val="21"/>
                      <w14:textFill>
                        <w14:solidFill>
                          <w14:schemeClr w14:val="tx1"/>
                        </w14:solidFill>
                      </w14:textFill>
                    </w:rPr>
                    <w:t>中华人民共和国水污染防治法</w:t>
                  </w:r>
                  <w:r>
                    <w:rPr>
                      <w:rFonts w:hint="eastAsia" w:eastAsia="仿宋"/>
                      <w:color w:val="000000" w:themeColor="text1"/>
                      <w:kern w:val="2"/>
                      <w:sz w:val="21"/>
                      <w:szCs w:val="21"/>
                      <w:lang w:eastAsia="zh-CN"/>
                      <w14:textFill>
                        <w14:solidFill>
                          <w14:schemeClr w14:val="tx1"/>
                        </w14:solidFill>
                      </w14:textFill>
                    </w:rPr>
                    <w:t>》《</w:t>
                  </w:r>
                  <w:r>
                    <w:rPr>
                      <w:rFonts w:eastAsia="仿宋"/>
                      <w:color w:val="000000" w:themeColor="text1"/>
                      <w:kern w:val="2"/>
                      <w:sz w:val="21"/>
                      <w:szCs w:val="21"/>
                      <w14:textFill>
                        <w14:solidFill>
                          <w14:schemeClr w14:val="tx1"/>
                        </w14:solidFill>
                      </w14:textFill>
                    </w:rPr>
                    <w:t>畜禽规模养殖污染防治条例》要求，建设粪污无害化处理和资源化利用设施并确保其正常运行，或委托第三方代为实现粪污无害化处理和资源化利用。农田灌溉用水、水产养殖用水、畜禽粪污肥料化利用应执行相应标准，防止污染土壤、地下水和农产品。在种植业面源污染突出区域，实施化肥农药减量增效行动。</w:t>
                  </w:r>
                </w:p>
                <w:p w14:paraId="523E2542">
                  <w:pPr>
                    <w:pStyle w:val="6"/>
                    <w:adjustRightInd w:val="0"/>
                    <w:snapToGrid w:val="0"/>
                    <w:spacing w:after="0"/>
                    <w:ind w:left="0" w:leftChars="0" w:firstLineChars="200"/>
                    <w:rPr>
                      <w:rFonts w:eastAsia="仿宋"/>
                      <w:color w:val="000000" w:themeColor="text1"/>
                      <w:kern w:val="2"/>
                      <w:sz w:val="21"/>
                      <w:szCs w:val="21"/>
                      <w14:textFill>
                        <w14:solidFill>
                          <w14:schemeClr w14:val="tx1"/>
                        </w14:solidFill>
                      </w14:textFill>
                    </w:rPr>
                  </w:pPr>
                  <w:r>
                    <w:rPr>
                      <w:rFonts w:hint="eastAsia" w:eastAsia="仿宋"/>
                      <w:color w:val="000000" w:themeColor="text1"/>
                      <w:kern w:val="2"/>
                      <w:sz w:val="21"/>
                      <w:szCs w:val="21"/>
                      <w:lang w:eastAsia="zh-CN"/>
                      <w14:textFill>
                        <w14:solidFill>
                          <w14:schemeClr w14:val="tx1"/>
                        </w14:solidFill>
                      </w14:textFill>
                    </w:rPr>
                    <w:t>7.</w:t>
                  </w:r>
                  <w:r>
                    <w:rPr>
                      <w:rFonts w:eastAsia="仿宋"/>
                      <w:color w:val="000000" w:themeColor="text1"/>
                      <w:kern w:val="2"/>
                      <w:sz w:val="21"/>
                      <w:szCs w:val="21"/>
                      <w14:textFill>
                        <w14:solidFill>
                          <w14:schemeClr w14:val="tx1"/>
                        </w14:solidFill>
                      </w14:textFill>
                    </w:rPr>
                    <w:t>落实《关于进一步规范城镇（园区）污水处理环境管理的通知（环水体</w:t>
                  </w:r>
                  <w:r>
                    <w:rPr>
                      <w:rFonts w:hint="eastAsia" w:eastAsia="仿宋"/>
                      <w:color w:val="000000" w:themeColor="text1"/>
                      <w:kern w:val="2"/>
                      <w:sz w:val="21"/>
                      <w:szCs w:val="21"/>
                      <w14:textFill>
                        <w14:solidFill>
                          <w14:schemeClr w14:val="tx1"/>
                        </w14:solidFill>
                      </w14:textFill>
                    </w:rPr>
                    <w:t>〔2020〕70号</w:t>
                  </w:r>
                  <w:r>
                    <w:rPr>
                      <w:rFonts w:eastAsia="仿宋"/>
                      <w:color w:val="000000" w:themeColor="text1"/>
                      <w:kern w:val="2"/>
                      <w:sz w:val="21"/>
                      <w:szCs w:val="21"/>
                      <w14:textFill>
                        <w14:solidFill>
                          <w14:schemeClr w14:val="tx1"/>
                        </w14:solidFill>
                      </w14:textFill>
                    </w:rPr>
                    <w:t>）》中相关污染物排放要求。</w:t>
                  </w:r>
                </w:p>
                <w:p w14:paraId="006588A7">
                  <w:pPr>
                    <w:pStyle w:val="6"/>
                    <w:adjustRightInd w:val="0"/>
                    <w:snapToGrid w:val="0"/>
                    <w:spacing w:after="0"/>
                    <w:ind w:left="0" w:leftChars="0" w:firstLineChars="200"/>
                    <w:rPr>
                      <w:rFonts w:eastAsia="仿宋"/>
                      <w:color w:val="000000" w:themeColor="text1"/>
                      <w:kern w:val="2"/>
                      <w:sz w:val="21"/>
                      <w:szCs w:val="21"/>
                      <w14:textFill>
                        <w14:solidFill>
                          <w14:schemeClr w14:val="tx1"/>
                        </w14:solidFill>
                      </w14:textFill>
                    </w:rPr>
                  </w:pPr>
                  <w:r>
                    <w:rPr>
                      <w:rFonts w:hint="eastAsia" w:eastAsia="仿宋"/>
                      <w:color w:val="000000" w:themeColor="text1"/>
                      <w:kern w:val="2"/>
                      <w:sz w:val="21"/>
                      <w:szCs w:val="21"/>
                      <w:lang w:eastAsia="zh-CN"/>
                      <w14:textFill>
                        <w14:solidFill>
                          <w14:schemeClr w14:val="tx1"/>
                        </w14:solidFill>
                      </w14:textFill>
                    </w:rPr>
                    <w:t>8.</w:t>
                  </w:r>
                  <w:r>
                    <w:rPr>
                      <w:rFonts w:eastAsia="仿宋"/>
                      <w:color w:val="000000" w:themeColor="text1"/>
                      <w:kern w:val="2"/>
                      <w:sz w:val="21"/>
                      <w:szCs w:val="21"/>
                      <w14:textFill>
                        <w14:solidFill>
                          <w14:schemeClr w14:val="tx1"/>
                        </w14:solidFill>
                      </w14:textFill>
                    </w:rPr>
                    <w:t>鼓励开展地下水污染防治重点区划定，实施地下水环境分区管理、分级防治，明确环境准入、隐患排查、风险管控、修复等差别化环境管理要求。</w:t>
                  </w:r>
                </w:p>
                <w:p w14:paraId="16B2763F">
                  <w:pPr>
                    <w:pStyle w:val="6"/>
                    <w:adjustRightInd w:val="0"/>
                    <w:snapToGrid w:val="0"/>
                    <w:spacing w:after="0"/>
                    <w:ind w:left="0" w:leftChars="0" w:firstLine="420" w:firstLineChars="200"/>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eastAsia="仿宋"/>
                      <w:color w:val="000000" w:themeColor="text1"/>
                      <w:kern w:val="2"/>
                      <w:sz w:val="21"/>
                      <w:szCs w:val="21"/>
                      <w:lang w:eastAsia="zh-CN"/>
                      <w14:textFill>
                        <w14:solidFill>
                          <w14:schemeClr w14:val="tx1"/>
                        </w14:solidFill>
                      </w14:textFill>
                    </w:rPr>
                    <w:t>9.</w:t>
                  </w:r>
                  <w:r>
                    <w:rPr>
                      <w:rFonts w:eastAsia="仿宋"/>
                      <w:color w:val="000000" w:themeColor="text1"/>
                      <w:kern w:val="2"/>
                      <w:sz w:val="21"/>
                      <w:szCs w:val="21"/>
                      <w14:textFill>
                        <w14:solidFill>
                          <w14:schemeClr w14:val="tx1"/>
                        </w14:solidFill>
                      </w14:textFill>
                    </w:rPr>
                    <w:t>加强新污染物治理，建立新污染物环境调查监测体系，探索开展“一企一库”（重点工业企业、尾矿库）和“两场两区”（危险废物处置场、垃圾填埋场、工业园区、矿山开采区）等污染源周边地下水的新污染物环境状况调查、监测和评估。禁止、限制重点管控新污染物的生产、加工使用和进出口。</w:t>
                  </w:r>
                </w:p>
              </w:tc>
              <w:tc>
                <w:tcPr>
                  <w:tcW w:w="1766" w:type="dxa"/>
                  <w:tcBorders>
                    <w:tl2br w:val="nil"/>
                    <w:tr2bl w:val="nil"/>
                  </w:tcBorders>
                  <w:noWrap w:val="0"/>
                  <w:vAlign w:val="center"/>
                </w:tcPr>
                <w:p w14:paraId="3543DC6E">
                  <w:pPr>
                    <w:adjustRightInd w:val="0"/>
                    <w:snapToGrid w:val="0"/>
                    <w:ind w:firstLine="420" w:firstLineChars="200"/>
                    <w:rPr>
                      <w:rFonts w:hint="eastAsia" w:eastAsia="仿宋"/>
                      <w:color w:val="000000" w:themeColor="text1"/>
                      <w:sz w:val="21"/>
                      <w:szCs w:val="21"/>
                      <w:lang w:eastAsia="zh-CN"/>
                      <w14:textFill>
                        <w14:solidFill>
                          <w14:schemeClr w14:val="tx1"/>
                        </w14:solidFill>
                      </w14:textFill>
                    </w:rPr>
                  </w:pPr>
                  <w:r>
                    <w:rPr>
                      <w:rFonts w:eastAsia="仿宋"/>
                      <w:color w:val="000000" w:themeColor="text1"/>
                      <w:sz w:val="21"/>
                      <w:szCs w:val="21"/>
                      <w14:textFill>
                        <w14:solidFill>
                          <w14:schemeClr w14:val="tx1"/>
                        </w14:solidFill>
                      </w14:textFill>
                    </w:rPr>
                    <w:t>本项目生产过程中对废气、废水、噪声采用相应治理措施，实现达标排放，固废得到合理有效</w:t>
                  </w:r>
                  <w:r>
                    <w:rPr>
                      <w:rFonts w:hint="eastAsia" w:eastAsia="仿宋"/>
                      <w:color w:val="000000" w:themeColor="text1"/>
                      <w:sz w:val="21"/>
                      <w:szCs w:val="21"/>
                      <w:lang w:eastAsia="zh-CN"/>
                      <w14:textFill>
                        <w14:solidFill>
                          <w14:schemeClr w14:val="tx1"/>
                        </w14:solidFill>
                      </w14:textFill>
                    </w:rPr>
                    <w:t>的</w:t>
                  </w:r>
                  <w:r>
                    <w:rPr>
                      <w:rFonts w:eastAsia="仿宋"/>
                      <w:color w:val="000000" w:themeColor="text1"/>
                      <w:sz w:val="21"/>
                      <w:szCs w:val="21"/>
                      <w14:textFill>
                        <w14:solidFill>
                          <w14:schemeClr w14:val="tx1"/>
                        </w14:solidFill>
                      </w14:textFill>
                    </w:rPr>
                    <w:t>处置措施，减少对周围环境的影响</w:t>
                  </w:r>
                  <w:r>
                    <w:rPr>
                      <w:rFonts w:hint="eastAsia" w:eastAsia="仿宋"/>
                      <w:color w:val="000000" w:themeColor="text1"/>
                      <w:sz w:val="21"/>
                      <w:szCs w:val="21"/>
                      <w:lang w:eastAsia="zh-CN"/>
                      <w14:textFill>
                        <w14:solidFill>
                          <w14:schemeClr w14:val="tx1"/>
                        </w14:solidFill>
                      </w14:textFill>
                    </w:rPr>
                    <w:t>；</w:t>
                  </w:r>
                </w:p>
                <w:p w14:paraId="76BCB4F3">
                  <w:pPr>
                    <w:adjustRightInd w:val="0"/>
                    <w:snapToGrid w:val="0"/>
                    <w:ind w:firstLine="420" w:firstLineChars="200"/>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本项目不建设锅炉，对危废贮存点采取防渗措施，减少对地下水和土壤的污染。</w:t>
                  </w:r>
                </w:p>
              </w:tc>
              <w:tc>
                <w:tcPr>
                  <w:tcW w:w="932" w:type="dxa"/>
                  <w:vMerge w:val="continue"/>
                  <w:tcBorders>
                    <w:tl2br w:val="nil"/>
                    <w:tr2bl w:val="nil"/>
                  </w:tcBorders>
                  <w:noWrap w:val="0"/>
                  <w:vAlign w:val="center"/>
                </w:tcPr>
                <w:p w14:paraId="423BE849">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p>
              </w:tc>
            </w:tr>
            <w:tr w14:paraId="7AE1B3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continue"/>
                  <w:tcBorders>
                    <w:tl2br w:val="nil"/>
                    <w:tr2bl w:val="nil"/>
                  </w:tcBorders>
                  <w:noWrap w:val="0"/>
                  <w:vAlign w:val="center"/>
                </w:tcPr>
                <w:p w14:paraId="3F7680E6">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p>
              </w:tc>
              <w:tc>
                <w:tcPr>
                  <w:tcW w:w="466" w:type="dxa"/>
                  <w:tcBorders>
                    <w:tl2br w:val="nil"/>
                    <w:tr2bl w:val="nil"/>
                  </w:tcBorders>
                  <w:noWrap w:val="0"/>
                  <w:vAlign w:val="center"/>
                </w:tcPr>
                <w:p w14:paraId="1C4A563E">
                  <w:pPr>
                    <w:keepNext w:val="0"/>
                    <w:keepLines w:val="0"/>
                    <w:pageBreakBefore w:val="0"/>
                    <w:widowControl/>
                    <w:kinsoku/>
                    <w:wordWrap/>
                    <w:overflowPunct/>
                    <w:topLinePunct w:val="0"/>
                    <w:autoSpaceDE/>
                    <w:autoSpaceDN/>
                    <w:bidi w:val="0"/>
                    <w:adjustRightInd w:val="0"/>
                    <w:snapToGrid w:val="0"/>
                    <w:jc w:val="center"/>
                    <w:textAlignment w:val="auto"/>
                    <w:rPr>
                      <w:rFonts w:ascii="仿宋" w:hAnsi="仿宋" w:eastAsia="仿宋" w:cs="Times New Roman"/>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环境风险防控</w:t>
                  </w:r>
                </w:p>
              </w:tc>
              <w:tc>
                <w:tcPr>
                  <w:tcW w:w="3345" w:type="dxa"/>
                  <w:tcBorders>
                    <w:tl2br w:val="nil"/>
                    <w:tr2bl w:val="nil"/>
                  </w:tcBorders>
                  <w:noWrap w:val="0"/>
                  <w:vAlign w:val="center"/>
                </w:tcPr>
                <w:p w14:paraId="450E01C9">
                  <w:pPr>
                    <w:adjustRightInd w:val="0"/>
                    <w:snapToGrid w:val="0"/>
                    <w:ind w:firstLine="422" w:firstLineChars="200"/>
                    <w:rPr>
                      <w:rFonts w:eastAsia="仿宋"/>
                      <w:b/>
                      <w:bCs/>
                      <w:color w:val="000000" w:themeColor="text1"/>
                      <w:sz w:val="21"/>
                      <w:szCs w:val="21"/>
                      <w14:textFill>
                        <w14:solidFill>
                          <w14:schemeClr w14:val="tx1"/>
                        </w14:solidFill>
                      </w14:textFill>
                    </w:rPr>
                  </w:pPr>
                  <w:r>
                    <w:rPr>
                      <w:rFonts w:eastAsia="仿宋"/>
                      <w:b/>
                      <w:bCs/>
                      <w:color w:val="000000" w:themeColor="text1"/>
                      <w:sz w:val="21"/>
                      <w:szCs w:val="21"/>
                      <w14:textFill>
                        <w14:solidFill>
                          <w14:schemeClr w14:val="tx1"/>
                        </w14:solidFill>
                      </w14:textFill>
                    </w:rPr>
                    <w:t>用地环境风险防控要求：</w:t>
                  </w:r>
                </w:p>
                <w:p w14:paraId="449BF0D5">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1.</w:t>
                  </w:r>
                  <w:r>
                    <w:rPr>
                      <w:rFonts w:eastAsia="仿宋"/>
                      <w:color w:val="000000" w:themeColor="text1"/>
                      <w:sz w:val="21"/>
                      <w:szCs w:val="21"/>
                      <w14:textFill>
                        <w14:solidFill>
                          <w14:schemeClr w14:val="tx1"/>
                        </w14:solidFill>
                      </w14:textFill>
                    </w:rPr>
                    <w:t>严格建设用地土壤污染风险管控和修复名录内地块的准入管理。未依法完成土壤污染状况调查和风险评估的地块，不得开工建设与风险管控和修复无关的项目。土地规划用途变更为住宅、公共管理与公共服务用地、食用农产品以及食品生产加工和储存场所用地的，变更前应当依法开展土壤污染状况调查。将土壤污染重点监管单位纳入重点排污单位名录统一管理，推动开展土壤污染重点监管单位周边土壤环境监测。强化搬迁企业土壤环境质量调查评估，持续开展疑似污染地块排查。</w:t>
                  </w:r>
                </w:p>
                <w:p w14:paraId="3A78DF2A">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2.</w:t>
                  </w:r>
                  <w:r>
                    <w:rPr>
                      <w:rFonts w:eastAsia="仿宋"/>
                      <w:color w:val="000000" w:themeColor="text1"/>
                      <w:sz w:val="21"/>
                      <w:szCs w:val="21"/>
                      <w14:textFill>
                        <w14:solidFill>
                          <w14:schemeClr w14:val="tx1"/>
                        </w14:solidFill>
                      </w14:textFill>
                    </w:rPr>
                    <w:t>发生突发事件造成或者可能造成土壤污染的，相关企业应当立即采取应急措施，迅速控制污染源、封锁污染区域，疏散、撤离、妥善安置有关人员，防止污染扩大或者发生次生、衍生事件，依法做好土壤污染状况监测、调查和土壤污染风险评估、风险管控、修复等工作。</w:t>
                  </w:r>
                </w:p>
                <w:p w14:paraId="1B4B74F9">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3.</w:t>
                  </w:r>
                  <w:r>
                    <w:rPr>
                      <w:rFonts w:eastAsia="仿宋"/>
                      <w:color w:val="000000" w:themeColor="text1"/>
                      <w:sz w:val="21"/>
                      <w:szCs w:val="21"/>
                      <w14:textFill>
                        <w14:solidFill>
                          <w14:schemeClr w14:val="tx1"/>
                        </w14:solidFill>
                      </w14:textFill>
                    </w:rPr>
                    <w:t>加强对严格管控类耕地的用途管理，依法划定特定农产品禁止生产区域，严禁种植食用农产品。</w:t>
                  </w:r>
                </w:p>
                <w:p w14:paraId="28854BDC">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4.</w:t>
                  </w:r>
                  <w:r>
                    <w:rPr>
                      <w:rFonts w:eastAsia="仿宋"/>
                      <w:color w:val="000000" w:themeColor="text1"/>
                      <w:sz w:val="21"/>
                      <w:szCs w:val="21"/>
                      <w14:textFill>
                        <w14:solidFill>
                          <w14:schemeClr w14:val="tx1"/>
                        </w14:solidFill>
                      </w14:textFill>
                    </w:rPr>
                    <w:t>按照《张掖市生态环境局关于更新发布张掖市污染地块名单的通知》（2022年1月）等要求，加强全市污染地块风险管控。</w:t>
                  </w:r>
                </w:p>
                <w:p w14:paraId="3A1DF062">
                  <w:pPr>
                    <w:adjustRightInd w:val="0"/>
                    <w:snapToGrid w:val="0"/>
                    <w:ind w:firstLine="422" w:firstLineChars="200"/>
                    <w:rPr>
                      <w:rFonts w:eastAsia="仿宋"/>
                      <w:b/>
                      <w:bCs/>
                      <w:color w:val="000000" w:themeColor="text1"/>
                      <w:sz w:val="21"/>
                      <w:szCs w:val="21"/>
                      <w14:textFill>
                        <w14:solidFill>
                          <w14:schemeClr w14:val="tx1"/>
                        </w14:solidFill>
                      </w14:textFill>
                    </w:rPr>
                  </w:pPr>
                  <w:r>
                    <w:rPr>
                      <w:rFonts w:eastAsia="仿宋"/>
                      <w:b/>
                      <w:bCs/>
                      <w:color w:val="000000" w:themeColor="text1"/>
                      <w:sz w:val="21"/>
                      <w:szCs w:val="21"/>
                      <w14:textFill>
                        <w14:solidFill>
                          <w14:schemeClr w14:val="tx1"/>
                        </w14:solidFill>
                      </w14:textFill>
                    </w:rPr>
                    <w:t>企业环境风险防控要求：</w:t>
                  </w:r>
                </w:p>
                <w:p w14:paraId="798D761E">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1.</w:t>
                  </w:r>
                  <w:r>
                    <w:rPr>
                      <w:rFonts w:eastAsia="仿宋"/>
                      <w:color w:val="000000" w:themeColor="text1"/>
                      <w:sz w:val="21"/>
                      <w:szCs w:val="21"/>
                      <w14:textFill>
                        <w14:solidFill>
                          <w14:schemeClr w14:val="tx1"/>
                        </w14:solidFill>
                      </w14:textFill>
                    </w:rPr>
                    <w:t>严格执行《关于印发甘肃省防范化解尾矿库安全风险工作实施意见的通知》（甘应急矿山〔2020〕51号）要求，自2020年起，在保证紧缺和战略性矿产矿山正常建设开发的前提下，构建尾矿库等量或减量置换机制，保证尾矿库数量原则上只减不增，不再产生新的“头顶库”。</w:t>
                  </w:r>
                </w:p>
                <w:p w14:paraId="21A08D8F">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2.</w:t>
                  </w:r>
                  <w:r>
                    <w:rPr>
                      <w:rFonts w:eastAsia="仿宋"/>
                      <w:color w:val="000000" w:themeColor="text1"/>
                      <w:sz w:val="21"/>
                      <w:szCs w:val="21"/>
                      <w14:textFill>
                        <w14:solidFill>
                          <w14:schemeClr w14:val="tx1"/>
                        </w14:solidFill>
                      </w14:textFill>
                    </w:rPr>
                    <w:t>执行《土壤污染防治行动计划》（国发</w:t>
                  </w:r>
                  <w:r>
                    <w:rPr>
                      <w:rFonts w:hint="eastAsia" w:eastAsia="仿宋"/>
                      <w:color w:val="000000" w:themeColor="text1"/>
                      <w:sz w:val="21"/>
                      <w:szCs w:val="21"/>
                      <w14:textFill>
                        <w14:solidFill>
                          <w14:schemeClr w14:val="tx1"/>
                        </w14:solidFill>
                      </w14:textFill>
                    </w:rPr>
                    <w:t>〔2016〕</w:t>
                  </w:r>
                  <w:r>
                    <w:rPr>
                      <w:rFonts w:eastAsia="仿宋"/>
                      <w:color w:val="000000" w:themeColor="text1"/>
                      <w:sz w:val="21"/>
                      <w:szCs w:val="21"/>
                      <w14:textFill>
                        <w14:solidFill>
                          <w14:schemeClr w14:val="tx1"/>
                        </w14:solidFill>
                      </w14:textFill>
                    </w:rPr>
                    <w:t>31号）、《关于加强涉重金属行业污染防控的意见》（环土壤</w:t>
                  </w:r>
                  <w:r>
                    <w:rPr>
                      <w:rFonts w:hint="eastAsia" w:eastAsia="仿宋"/>
                      <w:color w:val="000000" w:themeColor="text1"/>
                      <w:sz w:val="21"/>
                      <w:szCs w:val="21"/>
                      <w14:textFill>
                        <w14:solidFill>
                          <w14:schemeClr w14:val="tx1"/>
                        </w14:solidFill>
                      </w14:textFill>
                    </w:rPr>
                    <w:t>〔2018〕</w:t>
                  </w:r>
                  <w:r>
                    <w:rPr>
                      <w:rFonts w:eastAsia="仿宋"/>
                      <w:color w:val="000000" w:themeColor="text1"/>
                      <w:sz w:val="21"/>
                      <w:szCs w:val="21"/>
                      <w14:textFill>
                        <w14:solidFill>
                          <w14:schemeClr w14:val="tx1"/>
                        </w14:solidFill>
                      </w14:textFill>
                    </w:rPr>
                    <w:t>22号）等中的环境风险防控的相关要求。</w:t>
                  </w:r>
                </w:p>
                <w:p w14:paraId="7C6E5CC1">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3.</w:t>
                  </w:r>
                  <w:r>
                    <w:rPr>
                      <w:rFonts w:eastAsia="仿宋"/>
                      <w:color w:val="000000" w:themeColor="text1"/>
                      <w:sz w:val="21"/>
                      <w:szCs w:val="21"/>
                      <w14:textFill>
                        <w14:solidFill>
                          <w14:schemeClr w14:val="tx1"/>
                        </w14:solidFill>
                      </w14:textFill>
                    </w:rPr>
                    <w:t>企业应按照《中华人民共和国环境保护法》（主席令2014年第9号）、《突发环境事件应急管理办法》（环境保护部令第34号）等要求开展突发环境事件风险评估；完善突发环境事件风险防控措施；排查治理环境安全隐患；制定突发环境事件应急预案并备案、演练； 加强环境应急能力保障建设。发生或者可能发生突发环境事件时，企业事业单位应当依法进行处理，并对所造成的损害承担责任。</w:t>
                  </w:r>
                </w:p>
                <w:p w14:paraId="0E61AD6C">
                  <w:pPr>
                    <w:adjustRightInd w:val="0"/>
                    <w:snapToGrid w:val="0"/>
                    <w:ind w:firstLine="420" w:firstLineChars="200"/>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4.</w:t>
                  </w:r>
                  <w:r>
                    <w:rPr>
                      <w:rFonts w:eastAsia="仿宋"/>
                      <w:color w:val="000000" w:themeColor="text1"/>
                      <w:sz w:val="21"/>
                      <w:szCs w:val="21"/>
                      <w14:textFill>
                        <w14:solidFill>
                          <w14:schemeClr w14:val="tx1"/>
                        </w14:solidFill>
                      </w14:textFill>
                    </w:rPr>
                    <w:t>执行《关于印发强化危险废物监管和利用处置能力改革实施方案的通知》（国办函</w:t>
                  </w:r>
                  <w:r>
                    <w:rPr>
                      <w:rFonts w:hint="eastAsia" w:eastAsia="仿宋"/>
                      <w:color w:val="000000" w:themeColor="text1"/>
                      <w:sz w:val="21"/>
                      <w:szCs w:val="21"/>
                      <w14:textFill>
                        <w14:solidFill>
                          <w14:schemeClr w14:val="tx1"/>
                        </w14:solidFill>
                      </w14:textFill>
                    </w:rPr>
                    <w:t>〔2021〕</w:t>
                  </w:r>
                  <w:r>
                    <w:rPr>
                      <w:rFonts w:eastAsia="仿宋"/>
                      <w:color w:val="000000" w:themeColor="text1"/>
                      <w:sz w:val="21"/>
                      <w:szCs w:val="21"/>
                      <w14:textFill>
                        <w14:solidFill>
                          <w14:schemeClr w14:val="tx1"/>
                        </w14:solidFill>
                      </w14:textFill>
                    </w:rPr>
                    <w:t>47号）、《关于提升危险废物环境监管能力、利用处置能力和环境风险防范能力的指导意见》（环固体</w:t>
                  </w:r>
                  <w:r>
                    <w:rPr>
                      <w:rFonts w:hint="eastAsia" w:eastAsia="仿宋"/>
                      <w:color w:val="000000" w:themeColor="text1"/>
                      <w:sz w:val="21"/>
                      <w:szCs w:val="21"/>
                      <w14:textFill>
                        <w14:solidFill>
                          <w14:schemeClr w14:val="tx1"/>
                        </w14:solidFill>
                      </w14:textFill>
                    </w:rPr>
                    <w:t>〔2019〕</w:t>
                  </w:r>
                  <w:r>
                    <w:rPr>
                      <w:rFonts w:eastAsia="仿宋"/>
                      <w:color w:val="000000" w:themeColor="text1"/>
                      <w:sz w:val="21"/>
                      <w:szCs w:val="21"/>
                      <w14:textFill>
                        <w14:solidFill>
                          <w14:schemeClr w14:val="tx1"/>
                        </w14:solidFill>
                      </w14:textFill>
                    </w:rPr>
                    <w:t>92号）等中的危险废物环境风险管控的相关要求。</w:t>
                  </w:r>
                </w:p>
              </w:tc>
              <w:tc>
                <w:tcPr>
                  <w:tcW w:w="1766" w:type="dxa"/>
                  <w:tcBorders>
                    <w:tl2br w:val="nil"/>
                    <w:tr2bl w:val="nil"/>
                  </w:tcBorders>
                  <w:noWrap w:val="0"/>
                  <w:vAlign w:val="center"/>
                </w:tcPr>
                <w:p w14:paraId="0ED95455">
                  <w:pPr>
                    <w:adjustRightInd w:val="0"/>
                    <w:snapToGrid w:val="0"/>
                    <w:ind w:firstLine="420" w:firstLineChars="200"/>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eastAsia="仿宋"/>
                      <w:color w:val="000000" w:themeColor="text1"/>
                      <w:sz w:val="21"/>
                      <w:szCs w:val="21"/>
                      <w14:textFill>
                        <w14:solidFill>
                          <w14:schemeClr w14:val="tx1"/>
                        </w14:solidFill>
                      </w14:textFill>
                    </w:rPr>
                    <w:t>本项目用地性质为</w:t>
                  </w:r>
                  <w:r>
                    <w:rPr>
                      <w:rFonts w:hint="eastAsia" w:eastAsia="仿宋"/>
                      <w:color w:val="000000" w:themeColor="text1"/>
                      <w:sz w:val="21"/>
                      <w:szCs w:val="21"/>
                      <w:lang w:val="en-US" w:eastAsia="zh-CN"/>
                      <w14:textFill>
                        <w14:solidFill>
                          <w14:schemeClr w14:val="tx1"/>
                        </w14:solidFill>
                      </w14:textFill>
                    </w:rPr>
                    <w:t>采矿</w:t>
                  </w:r>
                  <w:r>
                    <w:rPr>
                      <w:rFonts w:eastAsia="仿宋"/>
                      <w:color w:val="000000" w:themeColor="text1"/>
                      <w:sz w:val="21"/>
                      <w:szCs w:val="21"/>
                      <w14:textFill>
                        <w14:solidFill>
                          <w14:schemeClr w14:val="tx1"/>
                        </w14:solidFill>
                      </w14:textFill>
                    </w:rPr>
                    <w:t>用地，本项目环境风险为简单分析，加强管理可减少环境风险；同时根据要求编制突发环境事件应急预案并加强应急演练，且本项目不排放有毒有害污染物。</w:t>
                  </w:r>
                </w:p>
              </w:tc>
              <w:tc>
                <w:tcPr>
                  <w:tcW w:w="932" w:type="dxa"/>
                  <w:vMerge w:val="continue"/>
                  <w:tcBorders>
                    <w:tl2br w:val="nil"/>
                    <w:tr2bl w:val="nil"/>
                  </w:tcBorders>
                  <w:noWrap w:val="0"/>
                  <w:vAlign w:val="center"/>
                </w:tcPr>
                <w:p w14:paraId="1B0D5E20">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p>
              </w:tc>
            </w:tr>
            <w:tr w14:paraId="0D6B47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continue"/>
                  <w:tcBorders>
                    <w:tl2br w:val="nil"/>
                    <w:tr2bl w:val="nil"/>
                  </w:tcBorders>
                  <w:noWrap w:val="0"/>
                  <w:vAlign w:val="center"/>
                </w:tcPr>
                <w:p w14:paraId="1A4D8087">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p>
              </w:tc>
              <w:tc>
                <w:tcPr>
                  <w:tcW w:w="466" w:type="dxa"/>
                  <w:tcBorders>
                    <w:tl2br w:val="nil"/>
                    <w:tr2bl w:val="nil"/>
                  </w:tcBorders>
                  <w:noWrap w:val="0"/>
                  <w:vAlign w:val="center"/>
                </w:tcPr>
                <w:p w14:paraId="78BDBF36">
                  <w:pPr>
                    <w:keepNext w:val="0"/>
                    <w:keepLines w:val="0"/>
                    <w:pageBreakBefore w:val="0"/>
                    <w:widowControl/>
                    <w:kinsoku/>
                    <w:wordWrap/>
                    <w:overflowPunct/>
                    <w:topLinePunct w:val="0"/>
                    <w:autoSpaceDE/>
                    <w:autoSpaceDN/>
                    <w:bidi w:val="0"/>
                    <w:adjustRightInd w:val="0"/>
                    <w:snapToGrid w:val="0"/>
                    <w:jc w:val="center"/>
                    <w:textAlignment w:val="auto"/>
                    <w:rPr>
                      <w:rFonts w:ascii="仿宋" w:hAnsi="仿宋" w:eastAsia="仿宋" w:cs="Times New Roman"/>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资源利用</w:t>
                  </w:r>
                  <w:r>
                    <w:rPr>
                      <w:rFonts w:eastAsia="仿宋"/>
                      <w:color w:val="000000" w:themeColor="text1"/>
                      <w:sz w:val="21"/>
                      <w:szCs w:val="21"/>
                      <w14:textFill>
                        <w14:solidFill>
                          <w14:schemeClr w14:val="tx1"/>
                        </w14:solidFill>
                      </w14:textFill>
                    </w:rPr>
                    <w:t xml:space="preserve"> </w:t>
                  </w:r>
                  <w:r>
                    <w:rPr>
                      <w:rFonts w:ascii="仿宋" w:hAnsi="仿宋" w:eastAsia="仿宋"/>
                      <w:color w:val="000000" w:themeColor="text1"/>
                      <w:sz w:val="21"/>
                      <w:szCs w:val="21"/>
                      <w14:textFill>
                        <w14:solidFill>
                          <w14:schemeClr w14:val="tx1"/>
                        </w14:solidFill>
                      </w14:textFill>
                    </w:rPr>
                    <w:t>效率</w:t>
                  </w:r>
                </w:p>
              </w:tc>
              <w:tc>
                <w:tcPr>
                  <w:tcW w:w="3345" w:type="dxa"/>
                  <w:tcBorders>
                    <w:tl2br w:val="nil"/>
                    <w:tr2bl w:val="nil"/>
                  </w:tcBorders>
                  <w:noWrap w:val="0"/>
                  <w:vAlign w:val="center"/>
                </w:tcPr>
                <w:p w14:paraId="7BBA000A">
                  <w:pPr>
                    <w:adjustRightInd w:val="0"/>
                    <w:snapToGrid w:val="0"/>
                    <w:ind w:firstLine="422" w:firstLineChars="200"/>
                    <w:rPr>
                      <w:rFonts w:eastAsia="仿宋"/>
                      <w:b/>
                      <w:bCs/>
                      <w:color w:val="000000" w:themeColor="text1"/>
                      <w:sz w:val="21"/>
                      <w:szCs w:val="21"/>
                      <w14:textFill>
                        <w14:solidFill>
                          <w14:schemeClr w14:val="tx1"/>
                        </w14:solidFill>
                      </w14:textFill>
                    </w:rPr>
                  </w:pPr>
                  <w:r>
                    <w:rPr>
                      <w:rFonts w:eastAsia="仿宋"/>
                      <w:b/>
                      <w:bCs/>
                      <w:color w:val="000000" w:themeColor="text1"/>
                      <w:sz w:val="21"/>
                      <w:szCs w:val="21"/>
                      <w14:textFill>
                        <w14:solidFill>
                          <w14:schemeClr w14:val="tx1"/>
                        </w14:solidFill>
                      </w14:textFill>
                    </w:rPr>
                    <w:t>水资源利用效率要求：</w:t>
                  </w:r>
                </w:p>
                <w:p w14:paraId="38E2EFD9">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1.</w:t>
                  </w:r>
                  <w:r>
                    <w:rPr>
                      <w:rFonts w:eastAsia="仿宋"/>
                      <w:color w:val="000000" w:themeColor="text1"/>
                      <w:sz w:val="21"/>
                      <w:szCs w:val="21"/>
                      <w14:textFill>
                        <w14:solidFill>
                          <w14:schemeClr w14:val="tx1"/>
                        </w14:solidFill>
                      </w14:textFill>
                    </w:rPr>
                    <w:t>全市用水总量等水资源利用指标完成省上下达的目标。</w:t>
                  </w:r>
                </w:p>
                <w:p w14:paraId="12CC62D1">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2.</w:t>
                  </w:r>
                  <w:r>
                    <w:rPr>
                      <w:rFonts w:eastAsia="仿宋"/>
                      <w:color w:val="000000" w:themeColor="text1"/>
                      <w:sz w:val="21"/>
                      <w:szCs w:val="21"/>
                      <w14:textFill>
                        <w14:solidFill>
                          <w14:schemeClr w14:val="tx1"/>
                        </w14:solidFill>
                      </w14:textFill>
                    </w:rPr>
                    <w:t>推动城镇生活污水、工业废水、农业农村污水资源化利用。加强城市再生水循环利用，在工业生产、城市绿化、道路清扫、建筑施工及生态景观等领域优先使用再生水。</w:t>
                  </w:r>
                </w:p>
                <w:p w14:paraId="1E44A700">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3.</w:t>
                  </w:r>
                  <w:r>
                    <w:rPr>
                      <w:rFonts w:eastAsia="仿宋"/>
                      <w:color w:val="000000" w:themeColor="text1"/>
                      <w:sz w:val="21"/>
                      <w:szCs w:val="21"/>
                      <w14:textFill>
                        <w14:solidFill>
                          <w14:schemeClr w14:val="tx1"/>
                        </w14:solidFill>
                      </w14:textFill>
                    </w:rPr>
                    <w:t>落实《张掖市节约用水管理办法》相关要求。</w:t>
                  </w:r>
                </w:p>
                <w:p w14:paraId="358AA6B1">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4.</w:t>
                  </w:r>
                  <w:r>
                    <w:rPr>
                      <w:rFonts w:eastAsia="仿宋"/>
                      <w:color w:val="000000" w:themeColor="text1"/>
                      <w:sz w:val="21"/>
                      <w:szCs w:val="21"/>
                      <w14:textFill>
                        <w14:solidFill>
                          <w14:schemeClr w14:val="tx1"/>
                        </w14:solidFill>
                      </w14:textFill>
                    </w:rPr>
                    <w:t>严格取水申请审批程序，新批取水许可项目严格按照区域用水总量控制指标和行业用水定额核定审批取水量。</w:t>
                  </w:r>
                </w:p>
                <w:p w14:paraId="36DF3E27">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5.</w:t>
                  </w:r>
                  <w:r>
                    <w:rPr>
                      <w:rFonts w:eastAsia="仿宋"/>
                      <w:color w:val="000000" w:themeColor="text1"/>
                      <w:sz w:val="21"/>
                      <w:szCs w:val="21"/>
                      <w14:textFill>
                        <w14:solidFill>
                          <w14:schemeClr w14:val="tx1"/>
                        </w14:solidFill>
                      </w14:textFill>
                    </w:rPr>
                    <w:t>深入落实最严格水资源管理制度，实行水资源消耗总量和强度双控，严控高耗水行业发展。优化水资源配置，优先保障生活用水，优化生产、生活、生态用水结构。</w:t>
                  </w:r>
                </w:p>
                <w:p w14:paraId="20C84392">
                  <w:pPr>
                    <w:adjustRightInd w:val="0"/>
                    <w:snapToGrid w:val="0"/>
                    <w:ind w:firstLine="420" w:firstLineChars="200"/>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eastAsia="zh-CN"/>
                      <w14:textFill>
                        <w14:solidFill>
                          <w14:schemeClr w14:val="tx1"/>
                        </w14:solidFill>
                      </w14:textFill>
                    </w:rPr>
                    <w:t>6.</w:t>
                  </w:r>
                  <w:r>
                    <w:rPr>
                      <w:rFonts w:eastAsia="仿宋"/>
                      <w:color w:val="000000" w:themeColor="text1"/>
                      <w:sz w:val="21"/>
                      <w:szCs w:val="21"/>
                      <w14:textFill>
                        <w14:solidFill>
                          <w14:schemeClr w14:val="tx1"/>
                        </w14:solidFill>
                      </w14:textFill>
                    </w:rPr>
                    <w:t>实施灌区续建配套与节水改造，推进田间工程节水改造，完善灌溉用水计量设施，提高用水效率。</w:t>
                  </w:r>
                </w:p>
                <w:p w14:paraId="711622FF">
                  <w:pPr>
                    <w:adjustRightInd w:val="0"/>
                    <w:snapToGrid w:val="0"/>
                    <w:ind w:firstLine="422" w:firstLineChars="200"/>
                    <w:rPr>
                      <w:rFonts w:eastAsia="仿宋"/>
                      <w:b/>
                      <w:bCs/>
                      <w:color w:val="000000" w:themeColor="text1"/>
                      <w:sz w:val="21"/>
                      <w:szCs w:val="21"/>
                      <w14:textFill>
                        <w14:solidFill>
                          <w14:schemeClr w14:val="tx1"/>
                        </w14:solidFill>
                      </w14:textFill>
                    </w:rPr>
                  </w:pPr>
                  <w:r>
                    <w:rPr>
                      <w:rFonts w:eastAsia="仿宋"/>
                      <w:b/>
                      <w:bCs/>
                      <w:color w:val="000000" w:themeColor="text1"/>
                      <w:sz w:val="21"/>
                      <w:szCs w:val="21"/>
                      <w14:textFill>
                        <w14:solidFill>
                          <w14:schemeClr w14:val="tx1"/>
                        </w14:solidFill>
                      </w14:textFill>
                    </w:rPr>
                    <w:t>土地矿产资源利用要求：</w:t>
                  </w:r>
                </w:p>
                <w:p w14:paraId="20658FF9">
                  <w:pPr>
                    <w:widowControl/>
                    <w:adjustRightInd w:val="0"/>
                    <w:snapToGrid w:val="0"/>
                    <w:ind w:firstLine="420" w:firstLineChars="200"/>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eastAsia="zh-CN"/>
                      <w14:textFill>
                        <w14:solidFill>
                          <w14:schemeClr w14:val="tx1"/>
                        </w14:solidFill>
                      </w14:textFill>
                    </w:rPr>
                    <w:t>1.</w:t>
                  </w:r>
                  <w:r>
                    <w:rPr>
                      <w:rFonts w:eastAsia="仿宋"/>
                      <w:color w:val="000000" w:themeColor="text1"/>
                      <w:kern w:val="0"/>
                      <w:sz w:val="21"/>
                      <w:szCs w:val="21"/>
                      <w14:textFill>
                        <w14:solidFill>
                          <w14:schemeClr w14:val="tx1"/>
                        </w14:solidFill>
                      </w14:textFill>
                    </w:rPr>
                    <w:t>严格规划准入管理，对不符合下列准入条件的，原则上不予设立矿业权。</w:t>
                  </w:r>
                </w:p>
                <w:p w14:paraId="74D0C06A">
                  <w:pPr>
                    <w:widowControl/>
                    <w:adjustRightInd w:val="0"/>
                    <w:snapToGrid w:val="0"/>
                    <w:ind w:firstLine="420" w:firstLineChars="200"/>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开采规模准入：新建矿山开采规模不低于规划设定的最低开采规模指标。</w:t>
                  </w:r>
                </w:p>
                <w:p w14:paraId="4606076F">
                  <w:pPr>
                    <w:widowControl/>
                    <w:adjustRightInd w:val="0"/>
                    <w:snapToGrid w:val="0"/>
                    <w:ind w:firstLine="420" w:firstLineChars="200"/>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勘查程度准入：资源储量规模为大型的非煤矿山勘查程度应当达到勘探程度，其他矿山（第三类矿产除外）应达到详查及以上勘查程度。</w:t>
                  </w:r>
                </w:p>
                <w:p w14:paraId="6FE3AA3E">
                  <w:pPr>
                    <w:widowControl/>
                    <w:adjustRightInd w:val="0"/>
                    <w:snapToGrid w:val="0"/>
                    <w:ind w:firstLine="420" w:firstLineChars="200"/>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开发利用水平准入：新建开发项目应选择国家鼓励、支持和推广对矿山生态环境破坏较小的先进装备、技术和工艺，禁止采用国家明文规定不得采用的限制类、淘汰类技术和设备；“三率”指标</w:t>
                  </w:r>
                </w:p>
                <w:p w14:paraId="21BC72B5">
                  <w:pPr>
                    <w:widowControl/>
                    <w:adjustRightInd w:val="0"/>
                    <w:snapToGrid w:val="0"/>
                    <w:ind w:firstLine="420" w:firstLineChars="200"/>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不得低于自然资源部制定的最低指标要求；对共伴生矿产有综合开发利用方案或保护措施；具备与矿山开采规模相配套的人才、资金、技术和管理能力。</w:t>
                  </w:r>
                </w:p>
                <w:p w14:paraId="05180761">
                  <w:pPr>
                    <w:widowControl/>
                    <w:adjustRightInd w:val="0"/>
                    <w:snapToGrid w:val="0"/>
                    <w:ind w:firstLine="420" w:firstLineChars="200"/>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绿色矿山准入：新建矿山严格按照绿色矿山建设标准规划、设计、建设和运营管理，按照绿色矿山建设要求编制“三方案”，并与自然资源主管部门签订绿色矿山建设承诺书，明确相关责任。</w:t>
                  </w:r>
                </w:p>
                <w:p w14:paraId="4A0FF1CE">
                  <w:pPr>
                    <w:widowControl/>
                    <w:adjustRightInd w:val="0"/>
                    <w:snapToGrid w:val="0"/>
                    <w:ind w:firstLine="420" w:firstLineChars="200"/>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eastAsia="zh-CN"/>
                      <w14:textFill>
                        <w14:solidFill>
                          <w14:schemeClr w14:val="tx1"/>
                        </w14:solidFill>
                      </w14:textFill>
                    </w:rPr>
                    <w:t>2.</w:t>
                  </w:r>
                  <w:r>
                    <w:rPr>
                      <w:rFonts w:eastAsia="仿宋"/>
                      <w:color w:val="000000" w:themeColor="text1"/>
                      <w:kern w:val="0"/>
                      <w:sz w:val="21"/>
                      <w:szCs w:val="21"/>
                      <w14:textFill>
                        <w14:solidFill>
                          <w14:schemeClr w14:val="tx1"/>
                        </w14:solidFill>
                      </w14:textFill>
                    </w:rPr>
                    <w:t>对涉及自然保护区、水源地等各类保护地的项目，交通运输选址</w:t>
                  </w:r>
                  <w:r>
                    <w:rPr>
                      <w:rFonts w:hint="eastAsia" w:eastAsia="仿宋"/>
                      <w:color w:val="000000" w:themeColor="text1"/>
                      <w:kern w:val="0"/>
                      <w:sz w:val="21"/>
                      <w:szCs w:val="21"/>
                      <w:lang w:eastAsia="zh-CN"/>
                      <w14:textFill>
                        <w14:solidFill>
                          <w14:schemeClr w14:val="tx1"/>
                        </w14:solidFill>
                      </w14:textFill>
                    </w:rPr>
                    <w:t>（</w:t>
                  </w:r>
                  <w:r>
                    <w:rPr>
                      <w:rFonts w:eastAsia="仿宋"/>
                      <w:color w:val="000000" w:themeColor="text1"/>
                      <w:kern w:val="0"/>
                      <w:sz w:val="21"/>
                      <w:szCs w:val="21"/>
                      <w14:textFill>
                        <w14:solidFill>
                          <w14:schemeClr w14:val="tx1"/>
                        </w14:solidFill>
                      </w14:textFill>
                    </w:rPr>
                    <w:t>线</w:t>
                  </w:r>
                  <w:r>
                    <w:rPr>
                      <w:rFonts w:hint="eastAsia" w:eastAsia="仿宋"/>
                      <w:color w:val="000000" w:themeColor="text1"/>
                      <w:kern w:val="0"/>
                      <w:sz w:val="21"/>
                      <w:szCs w:val="21"/>
                      <w:lang w:eastAsia="zh-CN"/>
                      <w14:textFill>
                        <w14:solidFill>
                          <w14:schemeClr w14:val="tx1"/>
                        </w14:solidFill>
                      </w14:textFill>
                    </w:rPr>
                    <w:t>）</w:t>
                  </w:r>
                  <w:r>
                    <w:rPr>
                      <w:rFonts w:eastAsia="仿宋"/>
                      <w:color w:val="000000" w:themeColor="text1"/>
                      <w:kern w:val="0"/>
                      <w:sz w:val="21"/>
                      <w:szCs w:val="21"/>
                      <w14:textFill>
                        <w14:solidFill>
                          <w14:schemeClr w14:val="tx1"/>
                        </w14:solidFill>
                      </w14:textFill>
                    </w:rPr>
                    <w:t>应尽可能避让，确因重大基础设施建设和自然条件等因素限制无法避让的严格执行环境影响评价制度，采取无害化穿（跨）越方式，或依法向有关行政主管部门履行穿越法定保护区的行政许可手续、强化减缓和补偿措施。</w:t>
                  </w:r>
                </w:p>
                <w:p w14:paraId="1059BF6F">
                  <w:pPr>
                    <w:widowControl/>
                    <w:adjustRightInd w:val="0"/>
                    <w:snapToGrid w:val="0"/>
                    <w:ind w:firstLine="422" w:firstLineChars="200"/>
                    <w:rPr>
                      <w:rFonts w:eastAsia="仿宋"/>
                      <w:b/>
                      <w:bCs/>
                      <w:color w:val="000000" w:themeColor="text1"/>
                      <w:sz w:val="21"/>
                      <w:szCs w:val="21"/>
                      <w14:textFill>
                        <w14:solidFill>
                          <w14:schemeClr w14:val="tx1"/>
                        </w14:solidFill>
                      </w14:textFill>
                    </w:rPr>
                  </w:pPr>
                  <w:r>
                    <w:rPr>
                      <w:rFonts w:eastAsia="仿宋"/>
                      <w:b/>
                      <w:bCs/>
                      <w:color w:val="000000" w:themeColor="text1"/>
                      <w:sz w:val="21"/>
                      <w:szCs w:val="21"/>
                      <w14:textFill>
                        <w14:solidFill>
                          <w14:schemeClr w14:val="tx1"/>
                        </w14:solidFill>
                      </w14:textFill>
                    </w:rPr>
                    <w:t>地下水开采要求：</w:t>
                  </w:r>
                </w:p>
                <w:p w14:paraId="4BBAA3B3">
                  <w:pPr>
                    <w:adjustRightInd w:val="0"/>
                    <w:snapToGrid w:val="0"/>
                    <w:ind w:firstLine="420" w:firstLineChars="200"/>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eastAsia="zh-CN"/>
                      <w14:textFill>
                        <w14:solidFill>
                          <w14:schemeClr w14:val="tx1"/>
                        </w14:solidFill>
                      </w14:textFill>
                    </w:rPr>
                    <w:t>1.</w:t>
                  </w:r>
                  <w:r>
                    <w:rPr>
                      <w:rFonts w:eastAsia="仿宋"/>
                      <w:color w:val="000000" w:themeColor="text1"/>
                      <w:kern w:val="0"/>
                      <w:sz w:val="21"/>
                      <w:szCs w:val="21"/>
                      <w14:textFill>
                        <w14:solidFill>
                          <w14:schemeClr w14:val="tx1"/>
                        </w14:solidFill>
                      </w14:textFill>
                    </w:rPr>
                    <w:t>加强地下水超采区的综合治理与修复。在地下水限采区内，除应急供水和生活用水更新井外，严禁开凿取水井。确需取用地下水的，一般超采区要在现有地下水开采总量内调剂解决，并逐步削减地下水开采量。</w:t>
                  </w:r>
                </w:p>
                <w:p w14:paraId="6388CC9C">
                  <w:pPr>
                    <w:adjustRightInd w:val="0"/>
                    <w:snapToGrid w:val="0"/>
                    <w:ind w:firstLine="420" w:firstLineChars="200"/>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eastAsia="zh-CN"/>
                      <w14:textFill>
                        <w14:solidFill>
                          <w14:schemeClr w14:val="tx1"/>
                        </w14:solidFill>
                      </w14:textFill>
                    </w:rPr>
                    <w:t>2.</w:t>
                  </w:r>
                  <w:r>
                    <w:rPr>
                      <w:rFonts w:eastAsia="仿宋"/>
                      <w:color w:val="000000" w:themeColor="text1"/>
                      <w:kern w:val="0"/>
                      <w:sz w:val="21"/>
                      <w:szCs w:val="21"/>
                      <w14:textFill>
                        <w14:solidFill>
                          <w14:schemeClr w14:val="tx1"/>
                        </w14:solidFill>
                      </w14:textFill>
                    </w:rPr>
                    <w:t>新建、改建、扩建地下水取水工程，应当同时安装计量设施。已有地下水取水工程未安装计量设施的，应当按照县级以上地方人民政府水行政主管部门规定的期限安装。单位和个人取用地下水量达到取水规模以上的，应当安装地下水取水在线计量设施，并将计量数据实时传输到有管理权限的水行政主管部门。</w:t>
                  </w:r>
                </w:p>
                <w:p w14:paraId="0C700C1A">
                  <w:pPr>
                    <w:adjustRightInd w:val="0"/>
                    <w:snapToGrid w:val="0"/>
                    <w:ind w:firstLine="420" w:firstLineChars="200"/>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eastAsia="zh-CN"/>
                      <w14:textFill>
                        <w14:solidFill>
                          <w14:schemeClr w14:val="tx1"/>
                        </w14:solidFill>
                      </w14:textFill>
                    </w:rPr>
                    <w:t>3.</w:t>
                  </w:r>
                  <w:r>
                    <w:rPr>
                      <w:rFonts w:eastAsia="仿宋"/>
                      <w:color w:val="000000" w:themeColor="text1"/>
                      <w:kern w:val="0"/>
                      <w:sz w:val="21"/>
                      <w:szCs w:val="21"/>
                      <w14:textFill>
                        <w14:solidFill>
                          <w14:schemeClr w14:val="tx1"/>
                        </w14:solidFill>
                      </w14:textFill>
                    </w:rPr>
                    <w:t>除下列情形外，禁止开采难以更新的地下水：1.应急供水取水；2.无替代水源地区的居民生活用水；3.为开展地下水监测、勘探、试验少量取水。已经开采的，除前款规定的情形外，有关县级以上地方人民政府应当采取禁止开采、限制开采措施，逐步实现全面禁止开采；前款规定的情形消除后，应当立即停止取用地下水。</w:t>
                  </w:r>
                </w:p>
                <w:p w14:paraId="086A6D50">
                  <w:pPr>
                    <w:adjustRightInd w:val="0"/>
                    <w:snapToGrid w:val="0"/>
                    <w:ind w:firstLine="422" w:firstLineChars="200"/>
                    <w:rPr>
                      <w:rFonts w:eastAsia="仿宋"/>
                      <w:b/>
                      <w:bCs/>
                      <w:color w:val="000000" w:themeColor="text1"/>
                      <w:sz w:val="21"/>
                      <w:szCs w:val="21"/>
                      <w14:textFill>
                        <w14:solidFill>
                          <w14:schemeClr w14:val="tx1"/>
                        </w14:solidFill>
                      </w14:textFill>
                    </w:rPr>
                  </w:pPr>
                  <w:r>
                    <w:rPr>
                      <w:rFonts w:eastAsia="仿宋"/>
                      <w:b/>
                      <w:bCs/>
                      <w:color w:val="000000" w:themeColor="text1"/>
                      <w:sz w:val="21"/>
                      <w:szCs w:val="21"/>
                      <w14:textFill>
                        <w14:solidFill>
                          <w14:schemeClr w14:val="tx1"/>
                        </w14:solidFill>
                      </w14:textFill>
                    </w:rPr>
                    <w:t>能源利用要求效率：</w:t>
                  </w:r>
                </w:p>
                <w:p w14:paraId="7C8E30A2">
                  <w:pPr>
                    <w:adjustRightInd w:val="0"/>
                    <w:snapToGrid w:val="0"/>
                    <w:ind w:firstLine="420" w:firstLineChars="200"/>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eastAsia="zh-CN"/>
                      <w14:textFill>
                        <w14:solidFill>
                          <w14:schemeClr w14:val="tx1"/>
                        </w14:solidFill>
                      </w14:textFill>
                    </w:rPr>
                    <w:t>1.</w:t>
                  </w:r>
                  <w:r>
                    <w:rPr>
                      <w:rFonts w:eastAsia="仿宋"/>
                      <w:color w:val="000000" w:themeColor="text1"/>
                      <w:kern w:val="0"/>
                      <w:sz w:val="21"/>
                      <w:szCs w:val="21"/>
                      <w14:textFill>
                        <w14:solidFill>
                          <w14:schemeClr w14:val="tx1"/>
                        </w14:solidFill>
                      </w14:textFill>
                    </w:rPr>
                    <w:t>全市燃煤总量、煤炭消费占比、清洁能源消费占比等能源利用指标均完成省上下达目标。</w:t>
                  </w:r>
                </w:p>
                <w:p w14:paraId="6D96580A">
                  <w:pPr>
                    <w:adjustRightInd w:val="0"/>
                    <w:snapToGrid w:val="0"/>
                    <w:ind w:firstLine="420" w:firstLineChars="200"/>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eastAsia="zh-CN"/>
                      <w14:textFill>
                        <w14:solidFill>
                          <w14:schemeClr w14:val="tx1"/>
                        </w14:solidFill>
                      </w14:textFill>
                    </w:rPr>
                    <w:t>2.</w:t>
                  </w:r>
                  <w:r>
                    <w:rPr>
                      <w:rFonts w:eastAsia="仿宋"/>
                      <w:color w:val="000000" w:themeColor="text1"/>
                      <w:kern w:val="0"/>
                      <w:sz w:val="21"/>
                      <w:szCs w:val="21"/>
                      <w14:textFill>
                        <w14:solidFill>
                          <w14:schemeClr w14:val="tx1"/>
                        </w14:solidFill>
                      </w14:textFill>
                    </w:rPr>
                    <w:t>强化资源总量和强度双控制度落实。整合区域管控资源，加强重点用能单位和园区能耗管理监督。统筹整合冶金、水泥、火电等高耗能企业的余热余能资源和区域用能需求，推广余热供暖和工业园区集中供暖。</w:t>
                  </w:r>
                </w:p>
                <w:p w14:paraId="32B730DA">
                  <w:pPr>
                    <w:adjustRightInd w:val="0"/>
                    <w:snapToGrid w:val="0"/>
                    <w:ind w:firstLine="422" w:firstLineChars="200"/>
                    <w:rPr>
                      <w:rFonts w:eastAsia="仿宋"/>
                      <w:b/>
                      <w:bCs/>
                      <w:color w:val="000000" w:themeColor="text1"/>
                      <w:sz w:val="21"/>
                      <w:szCs w:val="21"/>
                      <w14:textFill>
                        <w14:solidFill>
                          <w14:schemeClr w14:val="tx1"/>
                        </w14:solidFill>
                      </w14:textFill>
                    </w:rPr>
                  </w:pPr>
                  <w:r>
                    <w:rPr>
                      <w:rFonts w:eastAsia="仿宋"/>
                      <w:b/>
                      <w:bCs/>
                      <w:color w:val="000000" w:themeColor="text1"/>
                      <w:sz w:val="21"/>
                      <w:szCs w:val="21"/>
                      <w14:textFill>
                        <w14:solidFill>
                          <w14:schemeClr w14:val="tx1"/>
                        </w14:solidFill>
                      </w14:textFill>
                    </w:rPr>
                    <w:t>禁燃区要求：</w:t>
                  </w:r>
                </w:p>
                <w:p w14:paraId="3850ABCA">
                  <w:pPr>
                    <w:adjustRightInd w:val="0"/>
                    <w:snapToGrid w:val="0"/>
                    <w:ind w:firstLine="420" w:firstLineChars="200"/>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eastAsia="仿宋"/>
                      <w:color w:val="000000" w:themeColor="text1"/>
                      <w:sz w:val="21"/>
                      <w:szCs w:val="21"/>
                      <w14:textFill>
                        <w14:solidFill>
                          <w14:schemeClr w14:val="tx1"/>
                        </w14:solidFill>
                      </w14:textFill>
                    </w:rPr>
                    <w:t>禁燃区内禁止销售和使用高污染燃料，禁止新建、扩建燃用高污染燃料的设施。现有燃用煤炭、重油、渣油等高污染燃料的设施应当在城市人民政府规定的期限内改用清洁能源。</w:t>
                  </w:r>
                </w:p>
              </w:tc>
              <w:tc>
                <w:tcPr>
                  <w:tcW w:w="1766" w:type="dxa"/>
                  <w:tcBorders>
                    <w:tl2br w:val="nil"/>
                    <w:tr2bl w:val="nil"/>
                  </w:tcBorders>
                  <w:noWrap w:val="0"/>
                  <w:vAlign w:val="center"/>
                </w:tcPr>
                <w:p w14:paraId="1A921C19">
                  <w:pPr>
                    <w:keepNext w:val="0"/>
                    <w:keepLines w:val="0"/>
                    <w:pageBreakBefore w:val="0"/>
                    <w:widowControl w:val="0"/>
                    <w:kinsoku/>
                    <w:wordWrap/>
                    <w:overflowPunct/>
                    <w:topLinePunct w:val="0"/>
                    <w:autoSpaceDE/>
                    <w:autoSpaceDN/>
                    <w:bidi w:val="0"/>
                    <w:adjustRightInd w:val="0"/>
                    <w:snapToGrid w:val="0"/>
                    <w:spacing w:line="240" w:lineRule="auto"/>
                    <w:ind w:right="55" w:rightChars="26" w:firstLine="420" w:firstLineChars="200"/>
                    <w:jc w:val="both"/>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eastAsia="仿宋"/>
                      <w:color w:val="000000" w:themeColor="text1"/>
                      <w:sz w:val="21"/>
                      <w:szCs w:val="21"/>
                      <w14:textFill>
                        <w14:solidFill>
                          <w14:schemeClr w14:val="tx1"/>
                        </w14:solidFill>
                      </w14:textFill>
                    </w:rPr>
                    <w:t>本项目</w:t>
                  </w:r>
                  <w:r>
                    <w:rPr>
                      <w:rFonts w:hint="eastAsia" w:eastAsia="仿宋"/>
                      <w:color w:val="000000" w:themeColor="text1"/>
                      <w:sz w:val="21"/>
                      <w:szCs w:val="21"/>
                      <w:lang w:val="en-US" w:eastAsia="zh-CN"/>
                      <w14:textFill>
                        <w14:solidFill>
                          <w14:schemeClr w14:val="tx1"/>
                        </w14:solidFill>
                      </w14:textFill>
                    </w:rPr>
                    <w:t>不涉及自然保护区、</w:t>
                  </w:r>
                  <w:r>
                    <w:rPr>
                      <w:rFonts w:eastAsia="仿宋"/>
                      <w:color w:val="000000" w:themeColor="text1"/>
                      <w:kern w:val="0"/>
                      <w:sz w:val="21"/>
                      <w:szCs w:val="21"/>
                      <w14:textFill>
                        <w14:solidFill>
                          <w14:schemeClr w14:val="tx1"/>
                        </w14:solidFill>
                      </w14:textFill>
                    </w:rPr>
                    <w:t>水源地等各类保护地的项目</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等；</w:t>
                  </w:r>
                </w:p>
                <w:p w14:paraId="2FC07EB1">
                  <w:pPr>
                    <w:keepNext w:val="0"/>
                    <w:keepLines w:val="0"/>
                    <w:pageBreakBefore w:val="0"/>
                    <w:widowControl w:val="0"/>
                    <w:kinsoku/>
                    <w:wordWrap/>
                    <w:overflowPunct/>
                    <w:topLinePunct w:val="0"/>
                    <w:autoSpaceDE/>
                    <w:autoSpaceDN/>
                    <w:bidi w:val="0"/>
                    <w:adjustRightInd w:val="0"/>
                    <w:snapToGrid w:val="0"/>
                    <w:spacing w:line="240" w:lineRule="auto"/>
                    <w:ind w:right="55" w:rightChars="26" w:firstLine="420" w:firstLineChars="200"/>
                    <w:jc w:val="both"/>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本项目已取得采矿许可证并编制《</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临泽县金源矿业有限责任公司平川镇羊圈湾冶金用石英岩矿</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开采方案</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与</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矿区生态修复</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方案</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》，符合</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土地矿产资源利用要求</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w:t>
                  </w:r>
                </w:p>
                <w:p w14:paraId="51DE2C68">
                  <w:pPr>
                    <w:keepNext w:val="0"/>
                    <w:keepLines w:val="0"/>
                    <w:pageBreakBefore w:val="0"/>
                    <w:widowControl w:val="0"/>
                    <w:kinsoku/>
                    <w:wordWrap/>
                    <w:overflowPunct/>
                    <w:topLinePunct w:val="0"/>
                    <w:autoSpaceDE/>
                    <w:autoSpaceDN/>
                    <w:bidi w:val="0"/>
                    <w:adjustRightInd w:val="0"/>
                    <w:snapToGrid w:val="0"/>
                    <w:spacing w:line="240" w:lineRule="auto"/>
                    <w:ind w:right="55" w:rightChars="26" w:firstLine="420" w:firstLineChars="200"/>
                    <w:jc w:val="both"/>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本项目不涉及地下水开采；本项目不新建锅炉；</w:t>
                  </w:r>
                  <w:r>
                    <w:rPr>
                      <w:rFonts w:hint="eastAsia" w:ascii="仿宋" w:hAnsi="仿宋" w:eastAsia="仿宋"/>
                      <w:color w:val="000000" w:themeColor="text1"/>
                      <w:sz w:val="21"/>
                      <w:szCs w:val="21"/>
                      <w:lang w:val="en-US" w:eastAsia="zh-CN"/>
                      <w14:textFill>
                        <w14:solidFill>
                          <w14:schemeClr w14:val="tx1"/>
                        </w14:solidFill>
                      </w14:textFill>
                    </w:rPr>
                    <w:t>不使用高污染燃料</w:t>
                  </w:r>
                  <w:r>
                    <w:rPr>
                      <w:rFonts w:ascii="仿宋" w:hAnsi="仿宋" w:eastAsia="仿宋"/>
                      <w:color w:val="000000" w:themeColor="text1"/>
                      <w:sz w:val="21"/>
                      <w:szCs w:val="21"/>
                      <w14:textFill>
                        <w14:solidFill>
                          <w14:schemeClr w14:val="tx1"/>
                        </w14:solidFill>
                      </w14:textFill>
                    </w:rPr>
                    <w:t>。</w:t>
                  </w:r>
                </w:p>
              </w:tc>
              <w:tc>
                <w:tcPr>
                  <w:tcW w:w="932" w:type="dxa"/>
                  <w:vMerge w:val="continue"/>
                  <w:tcBorders>
                    <w:tl2br w:val="nil"/>
                    <w:tr2bl w:val="nil"/>
                  </w:tcBorders>
                  <w:noWrap w:val="0"/>
                  <w:vAlign w:val="center"/>
                </w:tcPr>
                <w:p w14:paraId="59A70B4C">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p>
              </w:tc>
            </w:tr>
            <w:tr w14:paraId="748C0E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restart"/>
                  <w:tcBorders>
                    <w:tl2br w:val="nil"/>
                    <w:tr2bl w:val="nil"/>
                  </w:tcBorders>
                  <w:noWrap w:val="0"/>
                  <w:vAlign w:val="center"/>
                </w:tcPr>
                <w:p w14:paraId="1953501F">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000000" w:themeColor="text1"/>
                      <w:sz w:val="21"/>
                      <w:szCs w:val="21"/>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一般</w:t>
                  </w:r>
                  <w:r>
                    <w:rPr>
                      <w:rFonts w:hint="default" w:ascii="Times New Roman" w:hAnsi="Times New Roman" w:eastAsia="仿宋" w:cs="Times New Roman"/>
                      <w:color w:val="000000" w:themeColor="text1"/>
                      <w:sz w:val="21"/>
                      <w:szCs w:val="21"/>
                      <w14:textFill>
                        <w14:solidFill>
                          <w14:schemeClr w14:val="tx1"/>
                        </w14:solidFill>
                      </w14:textFill>
                    </w:rPr>
                    <w:t>管控单元</w:t>
                  </w:r>
                </w:p>
              </w:tc>
              <w:tc>
                <w:tcPr>
                  <w:tcW w:w="466" w:type="dxa"/>
                  <w:tcBorders>
                    <w:tl2br w:val="nil"/>
                    <w:tr2bl w:val="nil"/>
                  </w:tcBorders>
                  <w:noWrap w:val="0"/>
                  <w:vAlign w:val="center"/>
                </w:tcPr>
                <w:p w14:paraId="3B656424">
                  <w:pPr>
                    <w:keepNext w:val="0"/>
                    <w:keepLines w:val="0"/>
                    <w:pageBreakBefore w:val="0"/>
                    <w:kinsoku/>
                    <w:wordWrap/>
                    <w:overflowPunct/>
                    <w:topLinePunct w:val="0"/>
                    <w:autoSpaceDE/>
                    <w:autoSpaceDN/>
                    <w:bidi w:val="0"/>
                    <w:adjustRightInd w:val="0"/>
                    <w:snapToGrid w:val="0"/>
                    <w:jc w:val="center"/>
                    <w:textAlignment w:val="auto"/>
                    <w:rPr>
                      <w:rFonts w:ascii="仿宋" w:hAnsi="仿宋" w:eastAsia="仿宋"/>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空间布局约束</w:t>
                  </w:r>
                </w:p>
              </w:tc>
              <w:tc>
                <w:tcPr>
                  <w:tcW w:w="3345" w:type="dxa"/>
                  <w:tcBorders>
                    <w:tl2br w:val="nil"/>
                    <w:tr2bl w:val="nil"/>
                  </w:tcBorders>
                  <w:noWrap w:val="0"/>
                  <w:vAlign w:val="center"/>
                </w:tcPr>
                <w:p w14:paraId="3D284B08">
                  <w:pPr>
                    <w:keepNext w:val="0"/>
                    <w:keepLines w:val="0"/>
                    <w:pageBreakBefore w:val="0"/>
                    <w:kinsoku/>
                    <w:wordWrap/>
                    <w:overflowPunct/>
                    <w:topLinePunct w:val="0"/>
                    <w:autoSpaceDE/>
                    <w:autoSpaceDN/>
                    <w:bidi w:val="0"/>
                    <w:adjustRightInd w:val="0"/>
                    <w:snapToGrid w:val="0"/>
                    <w:ind w:firstLine="420" w:firstLineChars="200"/>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default" w:ascii="Times New Roman" w:hAnsi="Times New Roman" w:eastAsia="仿宋" w:cs="Times New Roman"/>
                      <w:color w:val="000000" w:themeColor="text1"/>
                      <w:sz w:val="21"/>
                      <w:szCs w:val="21"/>
                      <w:lang w:val="en-US" w:eastAsia="zh-CN"/>
                      <w14:textFill>
                        <w14:solidFill>
                          <w14:schemeClr w14:val="tx1"/>
                        </w14:solidFill>
                      </w14:textFill>
                    </w:rPr>
                    <w:t>执行全省生态环境总体准入清单、国家相关法律法规以及《关于深入打好污染防治攻坚战的意见</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关于加强高耗能、高排放建设项目生态环境源头防控的指导意见》（环环评〔20</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21</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〕45号）、省、市水污染防治、大气污染防治、土壤污染防治等相关要求，确保环境质量总体满足功能区要求。</w:t>
                  </w:r>
                </w:p>
              </w:tc>
              <w:tc>
                <w:tcPr>
                  <w:tcW w:w="1766" w:type="dxa"/>
                  <w:tcBorders>
                    <w:tl2br w:val="nil"/>
                    <w:tr2bl w:val="nil"/>
                  </w:tcBorders>
                  <w:noWrap w:val="0"/>
                  <w:vAlign w:val="center"/>
                </w:tcPr>
                <w:p w14:paraId="696B6D68">
                  <w:pPr>
                    <w:adjustRightInd w:val="0"/>
                    <w:snapToGrid w:val="0"/>
                    <w:ind w:firstLine="420" w:firstLineChars="200"/>
                    <w:rPr>
                      <w:rFonts w:hint="default" w:ascii="仿宋" w:hAnsi="仿宋" w:eastAsia="仿宋"/>
                      <w:color w:val="000000" w:themeColor="text1"/>
                      <w:sz w:val="21"/>
                      <w:szCs w:val="21"/>
                      <w:lang w:val="en-US"/>
                      <w14:textFill>
                        <w14:solidFill>
                          <w14:schemeClr w14:val="tx1"/>
                        </w14:solidFill>
                      </w14:textFill>
                    </w:rPr>
                  </w:pPr>
                  <w:r>
                    <w:rPr>
                      <w:rFonts w:hint="eastAsia" w:eastAsia="仿宋"/>
                      <w:color w:val="000000" w:themeColor="text1"/>
                      <w:sz w:val="21"/>
                      <w:szCs w:val="21"/>
                      <w14:textFill>
                        <w14:solidFill>
                          <w14:schemeClr w14:val="tx1"/>
                        </w14:solidFill>
                      </w14:textFill>
                    </w:rPr>
                    <w:t>本项目不属于“两高”项目，</w:t>
                  </w:r>
                  <w:r>
                    <w:rPr>
                      <w:rFonts w:hint="eastAsia" w:eastAsia="仿宋"/>
                      <w:color w:val="000000" w:themeColor="text1"/>
                      <w:sz w:val="21"/>
                      <w:szCs w:val="21"/>
                      <w:lang w:val="en-US" w:eastAsia="zh-CN"/>
                      <w14:textFill>
                        <w14:solidFill>
                          <w14:schemeClr w14:val="tx1"/>
                        </w14:solidFill>
                      </w14:textFill>
                    </w:rPr>
                    <w:t>本项目对废气、废水、噪声和固废等采取治理措施后，</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确保环境质量总体满足功能区要求</w:t>
                  </w:r>
                  <w:r>
                    <w:rPr>
                      <w:rFonts w:hint="eastAsia" w:eastAsia="仿宋"/>
                      <w:color w:val="000000" w:themeColor="text1"/>
                      <w:sz w:val="21"/>
                      <w:szCs w:val="21"/>
                      <w:lang w:eastAsia="zh-CN"/>
                      <w14:textFill>
                        <w14:solidFill>
                          <w14:schemeClr w14:val="tx1"/>
                        </w14:solidFill>
                      </w14:textFill>
                    </w:rPr>
                    <w:t>。</w:t>
                  </w:r>
                </w:p>
              </w:tc>
              <w:tc>
                <w:tcPr>
                  <w:tcW w:w="932" w:type="dxa"/>
                  <w:vMerge w:val="restart"/>
                  <w:tcBorders>
                    <w:tl2br w:val="nil"/>
                    <w:tr2bl w:val="nil"/>
                  </w:tcBorders>
                  <w:noWrap w:val="0"/>
                  <w:vAlign w:val="center"/>
                </w:tcPr>
                <w:p w14:paraId="0E3E64CB">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仿宋"/>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符合</w:t>
                  </w:r>
                </w:p>
              </w:tc>
            </w:tr>
            <w:tr w14:paraId="564612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continue"/>
                  <w:tcBorders>
                    <w:tl2br w:val="nil"/>
                    <w:tr2bl w:val="nil"/>
                  </w:tcBorders>
                  <w:noWrap w:val="0"/>
                  <w:vAlign w:val="center"/>
                </w:tcPr>
                <w:p w14:paraId="7CB7929B">
                  <w:pPr>
                    <w:keepNext w:val="0"/>
                    <w:keepLines w:val="0"/>
                    <w:pageBreakBefore w:val="0"/>
                    <w:widowControl/>
                    <w:kinsoku/>
                    <w:wordWrap/>
                    <w:overflowPunct/>
                    <w:topLinePunct w:val="0"/>
                    <w:autoSpaceDE/>
                    <w:autoSpaceDN/>
                    <w:bidi w:val="0"/>
                    <w:adjustRightInd w:val="0"/>
                    <w:snapToGrid w:val="0"/>
                    <w:jc w:val="left"/>
                    <w:textAlignment w:val="auto"/>
                    <w:rPr>
                      <w:rFonts w:eastAsia="仿宋"/>
                      <w:color w:val="000000" w:themeColor="text1"/>
                      <w:sz w:val="21"/>
                      <w:szCs w:val="21"/>
                      <w14:textFill>
                        <w14:solidFill>
                          <w14:schemeClr w14:val="tx1"/>
                        </w14:solidFill>
                      </w14:textFill>
                    </w:rPr>
                  </w:pPr>
                </w:p>
              </w:tc>
              <w:tc>
                <w:tcPr>
                  <w:tcW w:w="466" w:type="dxa"/>
                  <w:tcBorders>
                    <w:tl2br w:val="nil"/>
                    <w:tr2bl w:val="nil"/>
                  </w:tcBorders>
                  <w:noWrap w:val="0"/>
                  <w:vAlign w:val="center"/>
                </w:tcPr>
                <w:p w14:paraId="1758C0CD">
                  <w:pPr>
                    <w:keepNext w:val="0"/>
                    <w:keepLines w:val="0"/>
                    <w:pageBreakBefore w:val="0"/>
                    <w:widowControl/>
                    <w:kinsoku/>
                    <w:wordWrap/>
                    <w:overflowPunct/>
                    <w:topLinePunct w:val="0"/>
                    <w:autoSpaceDE/>
                    <w:autoSpaceDN/>
                    <w:bidi w:val="0"/>
                    <w:adjustRightInd w:val="0"/>
                    <w:snapToGrid w:val="0"/>
                    <w:jc w:val="center"/>
                    <w:textAlignment w:val="auto"/>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污染物排</w:t>
                  </w:r>
                  <w:r>
                    <w:rPr>
                      <w:rFonts w:eastAsia="仿宋"/>
                      <w:color w:val="000000" w:themeColor="text1"/>
                      <w:sz w:val="21"/>
                      <w:szCs w:val="21"/>
                      <w14:textFill>
                        <w14:solidFill>
                          <w14:schemeClr w14:val="tx1"/>
                        </w14:solidFill>
                      </w14:textFill>
                    </w:rPr>
                    <w:t xml:space="preserve"> </w:t>
                  </w:r>
                  <w:r>
                    <w:rPr>
                      <w:rFonts w:ascii="仿宋" w:hAnsi="仿宋" w:eastAsia="仿宋"/>
                      <w:color w:val="000000" w:themeColor="text1"/>
                      <w:sz w:val="21"/>
                      <w:szCs w:val="21"/>
                      <w14:textFill>
                        <w14:solidFill>
                          <w14:schemeClr w14:val="tx1"/>
                        </w14:solidFill>
                      </w14:textFill>
                    </w:rPr>
                    <w:t>放管控</w:t>
                  </w:r>
                </w:p>
              </w:tc>
              <w:tc>
                <w:tcPr>
                  <w:tcW w:w="3345" w:type="dxa"/>
                  <w:tcBorders>
                    <w:tl2br w:val="nil"/>
                    <w:tr2bl w:val="nil"/>
                  </w:tcBorders>
                  <w:noWrap w:val="0"/>
                  <w:vAlign w:val="center"/>
                </w:tcPr>
                <w:p w14:paraId="377DE27F">
                  <w:pPr>
                    <w:keepNext w:val="0"/>
                    <w:keepLines w:val="0"/>
                    <w:pageBreakBefore w:val="0"/>
                    <w:kinsoku/>
                    <w:wordWrap/>
                    <w:overflowPunct/>
                    <w:topLinePunct w:val="0"/>
                    <w:autoSpaceDE/>
                    <w:autoSpaceDN/>
                    <w:bidi w:val="0"/>
                    <w:adjustRightInd w:val="0"/>
                    <w:snapToGrid w:val="0"/>
                    <w:ind w:firstLine="420" w:firstLineChars="200"/>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default" w:ascii="Times New Roman" w:hAnsi="Times New Roman" w:eastAsia="仿宋" w:cs="Times New Roman"/>
                      <w:color w:val="000000" w:themeColor="text1"/>
                      <w:sz w:val="21"/>
                      <w:szCs w:val="21"/>
                      <w:lang w:val="en-US" w:eastAsia="zh-CN"/>
                      <w14:textFill>
                        <w14:solidFill>
                          <w14:schemeClr w14:val="tx1"/>
                        </w14:solidFill>
                      </w14:textFill>
                    </w:rPr>
                    <w:t>执行全省生态环境总体准入清单、国家相关法律法规以及《关于深入打好污染防治攻坚战的意见</w:t>
                  </w:r>
                  <w:r>
                    <w:rPr>
                      <w:rFonts w:hint="eastAsia" w:eastAsia="仿宋" w:cs="Times New Roman"/>
                      <w:color w:val="000000" w:themeColor="text1"/>
                      <w:sz w:val="21"/>
                      <w:szCs w:val="21"/>
                      <w:lang w:val="en-US" w:eastAsia="zh-CN"/>
                      <w14:textFill>
                        <w14:solidFill>
                          <w14:schemeClr w14:val="tx1"/>
                        </w14:solidFill>
                      </w14:textFill>
                    </w:rPr>
                    <w:t>》《</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关于加强高耗能、高排放建设项目生态环境源头防控的指导意见》（环环评〔20</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21</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〕45号）、省、市水污染防治、大气污染防治、土壤污染防治等相关要求，确保环境质量总体满足功能区要求。</w:t>
                  </w:r>
                </w:p>
              </w:tc>
              <w:tc>
                <w:tcPr>
                  <w:tcW w:w="1766" w:type="dxa"/>
                  <w:tcBorders>
                    <w:tl2br w:val="nil"/>
                    <w:tr2bl w:val="nil"/>
                  </w:tcBorders>
                  <w:noWrap w:val="0"/>
                  <w:vAlign w:val="center"/>
                </w:tcPr>
                <w:p w14:paraId="5B5FF683">
                  <w:pPr>
                    <w:adjustRightInd w:val="0"/>
                    <w:snapToGrid w:val="0"/>
                    <w:ind w:firstLine="420" w:firstLineChars="200"/>
                    <w:rPr>
                      <w:rFonts w:hint="eastAsia" w:ascii="仿宋" w:hAnsi="仿宋" w:eastAsia="仿宋"/>
                      <w:color w:val="000000" w:themeColor="text1"/>
                      <w:sz w:val="21"/>
                      <w:szCs w:val="21"/>
                      <w:lang w:eastAsia="zh-CN"/>
                      <w14:textFill>
                        <w14:solidFill>
                          <w14:schemeClr w14:val="tx1"/>
                        </w14:solidFill>
                      </w14:textFill>
                    </w:rPr>
                  </w:pPr>
                  <w:r>
                    <w:rPr>
                      <w:rFonts w:eastAsia="仿宋"/>
                      <w:color w:val="000000" w:themeColor="text1"/>
                      <w:sz w:val="21"/>
                      <w:szCs w:val="21"/>
                      <w14:textFill>
                        <w14:solidFill>
                          <w14:schemeClr w14:val="tx1"/>
                        </w14:solidFill>
                      </w14:textFill>
                    </w:rPr>
                    <w:t>本项目生产过程中对废气、废水、噪声采用相应治理措施，实现达标排放，固废得到合理有效</w:t>
                  </w:r>
                  <w:r>
                    <w:rPr>
                      <w:rFonts w:hint="eastAsia" w:eastAsia="仿宋"/>
                      <w:color w:val="000000" w:themeColor="text1"/>
                      <w:sz w:val="21"/>
                      <w:szCs w:val="21"/>
                      <w:lang w:eastAsia="zh-CN"/>
                      <w14:textFill>
                        <w14:solidFill>
                          <w14:schemeClr w14:val="tx1"/>
                        </w14:solidFill>
                      </w14:textFill>
                    </w:rPr>
                    <w:t>的</w:t>
                  </w:r>
                  <w:r>
                    <w:rPr>
                      <w:rFonts w:eastAsia="仿宋"/>
                      <w:color w:val="000000" w:themeColor="text1"/>
                      <w:sz w:val="21"/>
                      <w:szCs w:val="21"/>
                      <w14:textFill>
                        <w14:solidFill>
                          <w14:schemeClr w14:val="tx1"/>
                        </w14:solidFill>
                      </w14:textFill>
                    </w:rPr>
                    <w:t>处置措施，减少对周围环境的影响</w:t>
                  </w:r>
                  <w:r>
                    <w:rPr>
                      <w:rFonts w:hint="eastAsia" w:eastAsia="仿宋"/>
                      <w:color w:val="000000" w:themeColor="text1"/>
                      <w:sz w:val="21"/>
                      <w:szCs w:val="21"/>
                      <w:lang w:eastAsia="zh-CN"/>
                      <w14:textFill>
                        <w14:solidFill>
                          <w14:schemeClr w14:val="tx1"/>
                        </w14:solidFill>
                      </w14:textFill>
                    </w:rPr>
                    <w:t>。</w:t>
                  </w:r>
                </w:p>
              </w:tc>
              <w:tc>
                <w:tcPr>
                  <w:tcW w:w="932" w:type="dxa"/>
                  <w:vMerge w:val="continue"/>
                  <w:tcBorders>
                    <w:tl2br w:val="nil"/>
                    <w:tr2bl w:val="nil"/>
                  </w:tcBorders>
                  <w:noWrap w:val="0"/>
                  <w:vAlign w:val="center"/>
                </w:tcPr>
                <w:p w14:paraId="16EFE10C">
                  <w:pPr>
                    <w:keepNext w:val="0"/>
                    <w:keepLines w:val="0"/>
                    <w:pageBreakBefore w:val="0"/>
                    <w:widowControl/>
                    <w:kinsoku/>
                    <w:wordWrap/>
                    <w:overflowPunct/>
                    <w:topLinePunct w:val="0"/>
                    <w:autoSpaceDE/>
                    <w:autoSpaceDN/>
                    <w:bidi w:val="0"/>
                    <w:adjustRightInd w:val="0"/>
                    <w:snapToGrid w:val="0"/>
                    <w:jc w:val="left"/>
                    <w:textAlignment w:val="auto"/>
                    <w:rPr>
                      <w:rFonts w:eastAsia="仿宋"/>
                      <w:color w:val="000000" w:themeColor="text1"/>
                      <w:sz w:val="21"/>
                      <w:szCs w:val="21"/>
                      <w14:textFill>
                        <w14:solidFill>
                          <w14:schemeClr w14:val="tx1"/>
                        </w14:solidFill>
                      </w14:textFill>
                    </w:rPr>
                  </w:pPr>
                </w:p>
              </w:tc>
            </w:tr>
            <w:tr w14:paraId="4CD276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792" w:type="dxa"/>
                  <w:vMerge w:val="continue"/>
                  <w:tcBorders>
                    <w:tl2br w:val="nil"/>
                    <w:tr2bl w:val="nil"/>
                  </w:tcBorders>
                  <w:noWrap w:val="0"/>
                  <w:vAlign w:val="center"/>
                </w:tcPr>
                <w:p w14:paraId="2BEF3248">
                  <w:pPr>
                    <w:keepNext w:val="0"/>
                    <w:keepLines w:val="0"/>
                    <w:pageBreakBefore w:val="0"/>
                    <w:widowControl/>
                    <w:kinsoku/>
                    <w:wordWrap/>
                    <w:overflowPunct/>
                    <w:topLinePunct w:val="0"/>
                    <w:autoSpaceDE/>
                    <w:autoSpaceDN/>
                    <w:bidi w:val="0"/>
                    <w:adjustRightInd w:val="0"/>
                    <w:snapToGrid w:val="0"/>
                    <w:jc w:val="left"/>
                    <w:textAlignment w:val="auto"/>
                    <w:rPr>
                      <w:rFonts w:eastAsia="仿宋"/>
                      <w:color w:val="000000" w:themeColor="text1"/>
                      <w:sz w:val="21"/>
                      <w:szCs w:val="21"/>
                      <w14:textFill>
                        <w14:solidFill>
                          <w14:schemeClr w14:val="tx1"/>
                        </w14:solidFill>
                      </w14:textFill>
                    </w:rPr>
                  </w:pPr>
                </w:p>
              </w:tc>
              <w:tc>
                <w:tcPr>
                  <w:tcW w:w="466" w:type="dxa"/>
                  <w:tcBorders>
                    <w:tl2br w:val="nil"/>
                    <w:tr2bl w:val="nil"/>
                  </w:tcBorders>
                  <w:noWrap w:val="0"/>
                  <w:vAlign w:val="center"/>
                </w:tcPr>
                <w:p w14:paraId="70C02438">
                  <w:pPr>
                    <w:keepNext w:val="0"/>
                    <w:keepLines w:val="0"/>
                    <w:pageBreakBefore w:val="0"/>
                    <w:widowControl/>
                    <w:kinsoku/>
                    <w:wordWrap/>
                    <w:overflowPunct/>
                    <w:topLinePunct w:val="0"/>
                    <w:autoSpaceDE/>
                    <w:autoSpaceDN/>
                    <w:bidi w:val="0"/>
                    <w:adjustRightInd w:val="0"/>
                    <w:snapToGrid w:val="0"/>
                    <w:jc w:val="center"/>
                    <w:textAlignment w:val="auto"/>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环境风险防控</w:t>
                  </w:r>
                </w:p>
              </w:tc>
              <w:tc>
                <w:tcPr>
                  <w:tcW w:w="3345" w:type="dxa"/>
                  <w:tcBorders>
                    <w:tl2br w:val="nil"/>
                    <w:tr2bl w:val="nil"/>
                  </w:tcBorders>
                  <w:noWrap w:val="0"/>
                  <w:vAlign w:val="center"/>
                </w:tcPr>
                <w:p w14:paraId="52128F3A">
                  <w:pPr>
                    <w:keepNext w:val="0"/>
                    <w:keepLines w:val="0"/>
                    <w:pageBreakBefore w:val="0"/>
                    <w:kinsoku/>
                    <w:wordWrap/>
                    <w:overflowPunct/>
                    <w:topLinePunct w:val="0"/>
                    <w:autoSpaceDE/>
                    <w:autoSpaceDN/>
                    <w:bidi w:val="0"/>
                    <w:adjustRightInd w:val="0"/>
                    <w:snapToGrid w:val="0"/>
                    <w:ind w:firstLine="420" w:firstLineChars="200"/>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default" w:ascii="Times New Roman" w:hAnsi="Times New Roman" w:eastAsia="仿宋" w:cs="Times New Roman"/>
                      <w:color w:val="000000" w:themeColor="text1"/>
                      <w:sz w:val="21"/>
                      <w:szCs w:val="21"/>
                      <w:lang w:val="en-US" w:eastAsia="zh-CN"/>
                      <w14:textFill>
                        <w14:solidFill>
                          <w14:schemeClr w14:val="tx1"/>
                        </w14:solidFill>
                      </w14:textFill>
                    </w:rPr>
                    <w:t>同重点管控单元要求</w:t>
                  </w:r>
                </w:p>
              </w:tc>
              <w:tc>
                <w:tcPr>
                  <w:tcW w:w="1766" w:type="dxa"/>
                  <w:tcBorders>
                    <w:tl2br w:val="nil"/>
                    <w:tr2bl w:val="nil"/>
                  </w:tcBorders>
                  <w:noWrap w:val="0"/>
                  <w:vAlign w:val="center"/>
                </w:tcPr>
                <w:p w14:paraId="4AC02A37">
                  <w:pPr>
                    <w:adjustRightInd w:val="0"/>
                    <w:snapToGrid w:val="0"/>
                    <w:ind w:firstLine="420" w:firstLineChars="200"/>
                    <w:rPr>
                      <w:rFonts w:ascii="仿宋" w:hAnsi="仿宋"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本项目用地性质为</w:t>
                  </w:r>
                  <w:r>
                    <w:rPr>
                      <w:rFonts w:hint="eastAsia" w:eastAsia="仿宋"/>
                      <w:color w:val="000000" w:themeColor="text1"/>
                      <w:sz w:val="21"/>
                      <w:szCs w:val="21"/>
                      <w:lang w:val="en-US" w:eastAsia="zh-CN"/>
                      <w14:textFill>
                        <w14:solidFill>
                          <w14:schemeClr w14:val="tx1"/>
                        </w14:solidFill>
                      </w14:textFill>
                    </w:rPr>
                    <w:t>采矿</w:t>
                  </w:r>
                  <w:r>
                    <w:rPr>
                      <w:rFonts w:eastAsia="仿宋"/>
                      <w:color w:val="000000" w:themeColor="text1"/>
                      <w:sz w:val="21"/>
                      <w:szCs w:val="21"/>
                      <w14:textFill>
                        <w14:solidFill>
                          <w14:schemeClr w14:val="tx1"/>
                        </w14:solidFill>
                      </w14:textFill>
                    </w:rPr>
                    <w:t>用地，本项目环境风险为简单分析，加强管理可减少环境风险；同时根据要求编制突发环境事件应急预案并加强应急演练，且本项目不排放有毒有害污染物。</w:t>
                  </w:r>
                </w:p>
              </w:tc>
              <w:tc>
                <w:tcPr>
                  <w:tcW w:w="932" w:type="dxa"/>
                  <w:vMerge w:val="continue"/>
                  <w:tcBorders>
                    <w:tl2br w:val="nil"/>
                    <w:tr2bl w:val="nil"/>
                  </w:tcBorders>
                  <w:noWrap w:val="0"/>
                  <w:vAlign w:val="center"/>
                </w:tcPr>
                <w:p w14:paraId="5F1C8A1C">
                  <w:pPr>
                    <w:keepNext w:val="0"/>
                    <w:keepLines w:val="0"/>
                    <w:pageBreakBefore w:val="0"/>
                    <w:widowControl/>
                    <w:kinsoku/>
                    <w:wordWrap/>
                    <w:overflowPunct/>
                    <w:topLinePunct w:val="0"/>
                    <w:autoSpaceDE/>
                    <w:autoSpaceDN/>
                    <w:bidi w:val="0"/>
                    <w:adjustRightInd w:val="0"/>
                    <w:snapToGrid w:val="0"/>
                    <w:jc w:val="left"/>
                    <w:textAlignment w:val="auto"/>
                    <w:rPr>
                      <w:rFonts w:eastAsia="仿宋"/>
                      <w:color w:val="000000" w:themeColor="text1"/>
                      <w:sz w:val="21"/>
                      <w:szCs w:val="21"/>
                      <w14:textFill>
                        <w14:solidFill>
                          <w14:schemeClr w14:val="tx1"/>
                        </w14:solidFill>
                      </w14:textFill>
                    </w:rPr>
                  </w:pPr>
                </w:p>
              </w:tc>
            </w:tr>
            <w:tr w14:paraId="192B79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792" w:type="dxa"/>
                  <w:vMerge w:val="continue"/>
                  <w:tcBorders>
                    <w:tl2br w:val="nil"/>
                    <w:tr2bl w:val="nil"/>
                  </w:tcBorders>
                  <w:noWrap w:val="0"/>
                  <w:vAlign w:val="center"/>
                </w:tcPr>
                <w:p w14:paraId="154D158E">
                  <w:pPr>
                    <w:keepNext w:val="0"/>
                    <w:keepLines w:val="0"/>
                    <w:pageBreakBefore w:val="0"/>
                    <w:widowControl/>
                    <w:kinsoku/>
                    <w:wordWrap/>
                    <w:overflowPunct/>
                    <w:topLinePunct w:val="0"/>
                    <w:autoSpaceDE/>
                    <w:autoSpaceDN/>
                    <w:bidi w:val="0"/>
                    <w:adjustRightInd w:val="0"/>
                    <w:snapToGrid w:val="0"/>
                    <w:jc w:val="left"/>
                    <w:textAlignment w:val="auto"/>
                    <w:rPr>
                      <w:rFonts w:eastAsia="仿宋"/>
                      <w:color w:val="000000" w:themeColor="text1"/>
                      <w:sz w:val="21"/>
                      <w:szCs w:val="21"/>
                      <w14:textFill>
                        <w14:solidFill>
                          <w14:schemeClr w14:val="tx1"/>
                        </w14:solidFill>
                      </w14:textFill>
                    </w:rPr>
                  </w:pPr>
                </w:p>
              </w:tc>
              <w:tc>
                <w:tcPr>
                  <w:tcW w:w="466" w:type="dxa"/>
                  <w:tcBorders>
                    <w:tl2br w:val="nil"/>
                    <w:tr2bl w:val="nil"/>
                  </w:tcBorders>
                  <w:noWrap w:val="0"/>
                  <w:vAlign w:val="center"/>
                </w:tcPr>
                <w:p w14:paraId="3B29FDEB">
                  <w:pPr>
                    <w:keepNext w:val="0"/>
                    <w:keepLines w:val="0"/>
                    <w:pageBreakBefore w:val="0"/>
                    <w:widowControl/>
                    <w:kinsoku/>
                    <w:wordWrap/>
                    <w:overflowPunct/>
                    <w:topLinePunct w:val="0"/>
                    <w:autoSpaceDE/>
                    <w:autoSpaceDN/>
                    <w:bidi w:val="0"/>
                    <w:adjustRightInd w:val="0"/>
                    <w:snapToGrid w:val="0"/>
                    <w:jc w:val="center"/>
                    <w:textAlignment w:val="auto"/>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资源利用</w:t>
                  </w:r>
                  <w:r>
                    <w:rPr>
                      <w:rFonts w:eastAsia="仿宋"/>
                      <w:color w:val="000000" w:themeColor="text1"/>
                      <w:sz w:val="21"/>
                      <w:szCs w:val="21"/>
                      <w14:textFill>
                        <w14:solidFill>
                          <w14:schemeClr w14:val="tx1"/>
                        </w14:solidFill>
                      </w14:textFill>
                    </w:rPr>
                    <w:t xml:space="preserve"> </w:t>
                  </w:r>
                  <w:r>
                    <w:rPr>
                      <w:rFonts w:ascii="仿宋" w:hAnsi="仿宋" w:eastAsia="仿宋"/>
                      <w:color w:val="000000" w:themeColor="text1"/>
                      <w:sz w:val="21"/>
                      <w:szCs w:val="21"/>
                      <w14:textFill>
                        <w14:solidFill>
                          <w14:schemeClr w14:val="tx1"/>
                        </w14:solidFill>
                      </w14:textFill>
                    </w:rPr>
                    <w:t>效率</w:t>
                  </w:r>
                </w:p>
              </w:tc>
              <w:tc>
                <w:tcPr>
                  <w:tcW w:w="3345" w:type="dxa"/>
                  <w:tcBorders>
                    <w:tl2br w:val="nil"/>
                    <w:tr2bl w:val="nil"/>
                  </w:tcBorders>
                  <w:noWrap w:val="0"/>
                  <w:vAlign w:val="center"/>
                </w:tcPr>
                <w:p w14:paraId="0EDD9547">
                  <w:pPr>
                    <w:keepNext w:val="0"/>
                    <w:keepLines w:val="0"/>
                    <w:pageBreakBefore w:val="0"/>
                    <w:kinsoku/>
                    <w:wordWrap/>
                    <w:overflowPunct/>
                    <w:topLinePunct w:val="0"/>
                    <w:autoSpaceDE/>
                    <w:autoSpaceDN/>
                    <w:bidi w:val="0"/>
                    <w:adjustRightInd w:val="0"/>
                    <w:snapToGrid w:val="0"/>
                    <w:ind w:firstLine="420" w:firstLineChars="200"/>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default" w:ascii="Times New Roman" w:hAnsi="Times New Roman" w:eastAsia="仿宋" w:cs="Times New Roman"/>
                      <w:color w:val="000000" w:themeColor="text1"/>
                      <w:sz w:val="21"/>
                      <w:szCs w:val="21"/>
                      <w:lang w:val="en-US" w:eastAsia="zh-CN"/>
                      <w14:textFill>
                        <w14:solidFill>
                          <w14:schemeClr w14:val="tx1"/>
                        </w14:solidFill>
                      </w14:textFill>
                    </w:rPr>
                    <w:t>同重点管控单元要求</w:t>
                  </w:r>
                </w:p>
              </w:tc>
              <w:tc>
                <w:tcPr>
                  <w:tcW w:w="1766" w:type="dxa"/>
                  <w:tcBorders>
                    <w:tl2br w:val="nil"/>
                    <w:tr2bl w:val="nil"/>
                  </w:tcBorders>
                  <w:noWrap w:val="0"/>
                  <w:vAlign w:val="center"/>
                </w:tcPr>
                <w:p w14:paraId="526CD0DA">
                  <w:pPr>
                    <w:keepNext w:val="0"/>
                    <w:keepLines w:val="0"/>
                    <w:pageBreakBefore w:val="0"/>
                    <w:widowControl w:val="0"/>
                    <w:kinsoku/>
                    <w:wordWrap/>
                    <w:overflowPunct/>
                    <w:topLinePunct w:val="0"/>
                    <w:autoSpaceDE/>
                    <w:autoSpaceDN/>
                    <w:bidi w:val="0"/>
                    <w:adjustRightInd w:val="0"/>
                    <w:snapToGrid w:val="0"/>
                    <w:spacing w:line="240" w:lineRule="auto"/>
                    <w:ind w:right="55" w:rightChars="26" w:firstLine="420" w:firstLineChars="200"/>
                    <w:jc w:val="both"/>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eastAsia="仿宋"/>
                      <w:color w:val="000000" w:themeColor="text1"/>
                      <w:sz w:val="21"/>
                      <w:szCs w:val="21"/>
                      <w14:textFill>
                        <w14:solidFill>
                          <w14:schemeClr w14:val="tx1"/>
                        </w14:solidFill>
                      </w14:textFill>
                    </w:rPr>
                    <w:t>本项目</w:t>
                  </w:r>
                  <w:r>
                    <w:rPr>
                      <w:rFonts w:hint="eastAsia" w:eastAsia="仿宋"/>
                      <w:color w:val="000000" w:themeColor="text1"/>
                      <w:sz w:val="21"/>
                      <w:szCs w:val="21"/>
                      <w:lang w:val="en-US" w:eastAsia="zh-CN"/>
                      <w14:textFill>
                        <w14:solidFill>
                          <w14:schemeClr w14:val="tx1"/>
                        </w14:solidFill>
                      </w14:textFill>
                    </w:rPr>
                    <w:t>不涉及自然保护区、</w:t>
                  </w:r>
                  <w:r>
                    <w:rPr>
                      <w:rFonts w:eastAsia="仿宋"/>
                      <w:color w:val="000000" w:themeColor="text1"/>
                      <w:kern w:val="0"/>
                      <w:sz w:val="21"/>
                      <w:szCs w:val="21"/>
                      <w14:textFill>
                        <w14:solidFill>
                          <w14:schemeClr w14:val="tx1"/>
                        </w14:solidFill>
                      </w14:textFill>
                    </w:rPr>
                    <w:t>水源地等各类保护地的项目</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等；</w:t>
                  </w:r>
                </w:p>
                <w:p w14:paraId="6CE48564">
                  <w:pPr>
                    <w:keepNext w:val="0"/>
                    <w:keepLines w:val="0"/>
                    <w:pageBreakBefore w:val="0"/>
                    <w:widowControl w:val="0"/>
                    <w:kinsoku/>
                    <w:wordWrap/>
                    <w:overflowPunct/>
                    <w:topLinePunct w:val="0"/>
                    <w:autoSpaceDE/>
                    <w:autoSpaceDN/>
                    <w:bidi w:val="0"/>
                    <w:adjustRightInd w:val="0"/>
                    <w:snapToGrid w:val="0"/>
                    <w:spacing w:line="240" w:lineRule="auto"/>
                    <w:ind w:right="55" w:rightChars="26" w:firstLine="420" w:firstLineChars="200"/>
                    <w:jc w:val="both"/>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本项目已取得采矿许可证并编制《</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临泽县金源矿业有限责任公司平川镇羊圈湾冶金用石英岩矿</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开采方案</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与</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矿区生态修复</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方案</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》，符合</w:t>
                  </w:r>
                  <w:r>
                    <w:rPr>
                      <w:rFonts w:hint="default" w:ascii="Times New Roman" w:hAnsi="Times New Roman" w:eastAsia="仿宋" w:cs="Times New Roman"/>
                      <w:color w:val="000000" w:themeColor="text1"/>
                      <w:sz w:val="21"/>
                      <w:szCs w:val="21"/>
                      <w:lang w:val="en-US" w:eastAsia="zh-CN"/>
                      <w14:textFill>
                        <w14:solidFill>
                          <w14:schemeClr w14:val="tx1"/>
                        </w14:solidFill>
                      </w14:textFill>
                    </w:rPr>
                    <w:t>土地矿产资源利用要求</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w:t>
                  </w:r>
                </w:p>
                <w:p w14:paraId="650F8B8C">
                  <w:pPr>
                    <w:keepNext w:val="0"/>
                    <w:keepLines w:val="0"/>
                    <w:pageBreakBefore w:val="0"/>
                    <w:widowControl w:val="0"/>
                    <w:kinsoku/>
                    <w:wordWrap/>
                    <w:overflowPunct/>
                    <w:topLinePunct w:val="0"/>
                    <w:autoSpaceDE/>
                    <w:autoSpaceDN/>
                    <w:bidi w:val="0"/>
                    <w:adjustRightInd w:val="0"/>
                    <w:snapToGrid w:val="0"/>
                    <w:spacing w:line="240" w:lineRule="auto"/>
                    <w:ind w:right="55" w:rightChars="26" w:firstLine="420" w:firstLineChars="200"/>
                    <w:jc w:val="both"/>
                    <w:textAlignment w:val="auto"/>
                    <w:rPr>
                      <w:rFonts w:hint="default" w:ascii="仿宋" w:hAnsi="仿宋" w:eastAsia="仿宋"/>
                      <w:color w:val="000000" w:themeColor="text1"/>
                      <w:sz w:val="21"/>
                      <w:szCs w:val="21"/>
                      <w:lang w:val="en-US"/>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本项目不涉及地下水开采；本项目不新建锅炉；</w:t>
                  </w:r>
                  <w:r>
                    <w:rPr>
                      <w:rFonts w:hint="eastAsia" w:ascii="仿宋" w:hAnsi="仿宋" w:eastAsia="仿宋"/>
                      <w:color w:val="000000" w:themeColor="text1"/>
                      <w:sz w:val="21"/>
                      <w:szCs w:val="21"/>
                      <w:lang w:val="en-US" w:eastAsia="zh-CN"/>
                      <w14:textFill>
                        <w14:solidFill>
                          <w14:schemeClr w14:val="tx1"/>
                        </w14:solidFill>
                      </w14:textFill>
                    </w:rPr>
                    <w:t>不使用高污染燃料</w:t>
                  </w:r>
                  <w:r>
                    <w:rPr>
                      <w:rFonts w:ascii="仿宋" w:hAnsi="仿宋" w:eastAsia="仿宋"/>
                      <w:color w:val="000000" w:themeColor="text1"/>
                      <w:sz w:val="21"/>
                      <w:szCs w:val="21"/>
                      <w14:textFill>
                        <w14:solidFill>
                          <w14:schemeClr w14:val="tx1"/>
                        </w14:solidFill>
                      </w14:textFill>
                    </w:rPr>
                    <w:t>。</w:t>
                  </w:r>
                </w:p>
              </w:tc>
              <w:tc>
                <w:tcPr>
                  <w:tcW w:w="932" w:type="dxa"/>
                  <w:vMerge w:val="continue"/>
                  <w:tcBorders>
                    <w:tl2br w:val="nil"/>
                    <w:tr2bl w:val="nil"/>
                  </w:tcBorders>
                  <w:noWrap w:val="0"/>
                  <w:vAlign w:val="center"/>
                </w:tcPr>
                <w:p w14:paraId="008D1C2C">
                  <w:pPr>
                    <w:keepNext w:val="0"/>
                    <w:keepLines w:val="0"/>
                    <w:pageBreakBefore w:val="0"/>
                    <w:widowControl/>
                    <w:kinsoku/>
                    <w:wordWrap/>
                    <w:overflowPunct/>
                    <w:topLinePunct w:val="0"/>
                    <w:autoSpaceDE/>
                    <w:autoSpaceDN/>
                    <w:bidi w:val="0"/>
                    <w:adjustRightInd w:val="0"/>
                    <w:snapToGrid w:val="0"/>
                    <w:jc w:val="left"/>
                    <w:textAlignment w:val="auto"/>
                    <w:rPr>
                      <w:rFonts w:eastAsia="仿宋"/>
                      <w:color w:val="000000" w:themeColor="text1"/>
                      <w:sz w:val="21"/>
                      <w:szCs w:val="21"/>
                      <w14:textFill>
                        <w14:solidFill>
                          <w14:schemeClr w14:val="tx1"/>
                        </w14:solidFill>
                      </w14:textFill>
                    </w:rPr>
                  </w:pPr>
                </w:p>
              </w:tc>
            </w:tr>
          </w:tbl>
          <w:p w14:paraId="7E08E7E3">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textAlignment w:val="auto"/>
              <w:rPr>
                <w:rFonts w:hint="default" w:ascii="Times New Roman" w:hAnsi="Times New Roman" w:eastAsia="仿宋" w:cs="Times New Roman"/>
                <w:color w:val="auto"/>
                <w:sz w:val="24"/>
                <w:highlight w:val="none"/>
              </w:rPr>
            </w:pPr>
            <w:r>
              <w:rPr>
                <w:rFonts w:hint="eastAsia" w:eastAsia="仿宋" w:cs="Times New Roman"/>
                <w:b/>
                <w:color w:val="auto"/>
                <w:kern w:val="2"/>
                <w:sz w:val="24"/>
                <w:szCs w:val="24"/>
                <w:highlight w:val="none"/>
                <w:lang w:val="en-US" w:eastAsia="zh-CN" w:bidi="ar-SA"/>
              </w:rPr>
              <w:t>2.</w:t>
            </w:r>
            <w:r>
              <w:rPr>
                <w:rFonts w:hint="default" w:ascii="Times New Roman" w:hAnsi="Times New Roman" w:eastAsia="仿宋" w:cs="Times New Roman"/>
                <w:b/>
                <w:bCs w:val="0"/>
                <w:color w:val="auto"/>
                <w:sz w:val="24"/>
                <w:szCs w:val="24"/>
                <w:highlight w:val="none"/>
              </w:rPr>
              <w:t>与《矿山生态环境保</w:t>
            </w:r>
            <w:r>
              <w:rPr>
                <w:rFonts w:hint="default" w:ascii="Times New Roman" w:hAnsi="Times New Roman" w:eastAsia="仿宋" w:cs="Times New Roman"/>
                <w:b/>
                <w:bCs w:val="0"/>
                <w:color w:val="auto"/>
                <w:sz w:val="24"/>
                <w:highlight w:val="none"/>
              </w:rPr>
              <w:t>护与污染防治技术政策》的符合性分析</w:t>
            </w:r>
          </w:p>
          <w:p w14:paraId="34B8F0E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0"/>
                <w:sz w:val="24"/>
                <w:szCs w:val="24"/>
                <w:highlight w:val="none"/>
                <w:lang w:val="en-US" w:eastAsia="zh-CN" w:bidi="ar"/>
              </w:rPr>
              <w:t>根据</w:t>
            </w:r>
            <w:r>
              <w:rPr>
                <w:rFonts w:hint="default" w:ascii="Times New Roman" w:hAnsi="Times New Roman" w:eastAsia="仿宋" w:cs="Times New Roman"/>
                <w:color w:val="auto"/>
                <w:sz w:val="24"/>
                <w:highlight w:val="none"/>
              </w:rPr>
              <w:t>《矿山生态环境保护与污染防治技术政策》（环发〔2005〕109号）</w:t>
            </w:r>
            <w:r>
              <w:rPr>
                <w:rFonts w:hint="default" w:ascii="Times New Roman" w:hAnsi="Times New Roman" w:eastAsia="仿宋" w:cs="Times New Roman"/>
                <w:color w:val="auto"/>
                <w:kern w:val="0"/>
                <w:sz w:val="24"/>
                <w:szCs w:val="24"/>
                <w:highlight w:val="none"/>
                <w:lang w:val="en-US" w:eastAsia="zh-CN" w:bidi="ar"/>
              </w:rPr>
              <w:t>的要求，本项目符合性分析详见表</w:t>
            </w:r>
            <w:r>
              <w:rPr>
                <w:rFonts w:hint="eastAsia" w:eastAsia="仿宋" w:cs="Times New Roman"/>
                <w:color w:val="auto"/>
                <w:kern w:val="0"/>
                <w:sz w:val="24"/>
                <w:szCs w:val="24"/>
                <w:highlight w:val="none"/>
                <w:lang w:val="en-US" w:eastAsia="zh-CN" w:bidi="ar"/>
              </w:rPr>
              <w:t>5</w:t>
            </w:r>
            <w:r>
              <w:rPr>
                <w:rFonts w:hint="default" w:ascii="Times New Roman" w:hAnsi="Times New Roman" w:eastAsia="仿宋" w:cs="Times New Roman"/>
                <w:color w:val="auto"/>
                <w:kern w:val="0"/>
                <w:sz w:val="24"/>
                <w:szCs w:val="24"/>
                <w:highlight w:val="none"/>
                <w:lang w:val="en-US" w:eastAsia="zh-CN" w:bidi="ar"/>
              </w:rPr>
              <w:t>。</w:t>
            </w:r>
          </w:p>
          <w:p w14:paraId="2CCD6A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
                <w:bCs/>
                <w:snapToGrid w:val="0"/>
                <w:color w:val="000000"/>
                <w:kern w:val="0"/>
                <w:szCs w:val="21"/>
                <w:lang w:val="en-US" w:eastAsia="zh-CN"/>
              </w:rPr>
            </w:pPr>
            <w:r>
              <w:rPr>
                <w:rFonts w:hint="default" w:ascii="Times New Roman" w:hAnsi="Times New Roman" w:eastAsia="仿宋" w:cs="Times New Roman"/>
                <w:b/>
                <w:bCs/>
                <w:snapToGrid w:val="0"/>
                <w:color w:val="000000"/>
                <w:kern w:val="0"/>
                <w:szCs w:val="21"/>
                <w:lang w:val="en-US" w:eastAsia="zh-CN"/>
              </w:rPr>
              <w:t>表</w:t>
            </w:r>
            <w:r>
              <w:rPr>
                <w:rFonts w:hint="eastAsia" w:eastAsia="仿宋" w:cs="Times New Roman"/>
                <w:b/>
                <w:bCs/>
                <w:snapToGrid w:val="0"/>
                <w:color w:val="000000"/>
                <w:kern w:val="0"/>
                <w:szCs w:val="21"/>
                <w:lang w:val="en-US" w:eastAsia="zh-CN"/>
              </w:rPr>
              <w:t>5</w:t>
            </w:r>
            <w:r>
              <w:rPr>
                <w:rFonts w:hint="default" w:ascii="Times New Roman" w:hAnsi="Times New Roman" w:eastAsia="仿宋" w:cs="Times New Roman"/>
                <w:b/>
                <w:bCs/>
                <w:snapToGrid w:val="0"/>
                <w:color w:val="000000"/>
                <w:kern w:val="0"/>
                <w:szCs w:val="21"/>
                <w:lang w:val="en-US" w:eastAsia="zh-CN"/>
              </w:rPr>
              <w:t xml:space="preserve">   与《矿山生态环境保护与污染防治技术政策》符合性分析表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02"/>
              <w:gridCol w:w="3012"/>
              <w:gridCol w:w="2830"/>
              <w:gridCol w:w="857"/>
            </w:tblGrid>
            <w:tr w14:paraId="3AF761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526" w:hRule="atLeast"/>
                <w:jc w:val="center"/>
              </w:trPr>
              <w:tc>
                <w:tcPr>
                  <w:tcW w:w="412" w:type="pct"/>
                  <w:tcBorders>
                    <w:tl2br w:val="nil"/>
                    <w:tr2bl w:val="nil"/>
                  </w:tcBorders>
                  <w:noWrap w:val="0"/>
                  <w:vAlign w:val="center"/>
                </w:tcPr>
                <w:p w14:paraId="39A805E1">
                  <w:pPr>
                    <w:adjustRightInd w:val="0"/>
                    <w:snapToGrid w:val="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类别</w:t>
                  </w:r>
                </w:p>
              </w:tc>
              <w:tc>
                <w:tcPr>
                  <w:tcW w:w="2063" w:type="pct"/>
                  <w:tcBorders>
                    <w:tl2br w:val="nil"/>
                    <w:tr2bl w:val="nil"/>
                  </w:tcBorders>
                  <w:noWrap w:val="0"/>
                  <w:vAlign w:val="center"/>
                </w:tcPr>
                <w:p w14:paraId="105EE2A8">
                  <w:pPr>
                    <w:adjustRightInd w:val="0"/>
                    <w:snapToGrid w:val="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《矿山生态环境保护与污染防治技术政策》要求</w:t>
                  </w:r>
                </w:p>
              </w:tc>
              <w:tc>
                <w:tcPr>
                  <w:tcW w:w="1938" w:type="pct"/>
                  <w:tcBorders>
                    <w:tl2br w:val="nil"/>
                    <w:tr2bl w:val="nil"/>
                  </w:tcBorders>
                  <w:noWrap w:val="0"/>
                  <w:vAlign w:val="center"/>
                </w:tcPr>
                <w:p w14:paraId="40249091">
                  <w:pPr>
                    <w:adjustRightInd w:val="0"/>
                    <w:snapToGrid w:val="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本项目情况</w:t>
                  </w:r>
                </w:p>
              </w:tc>
              <w:tc>
                <w:tcPr>
                  <w:tcW w:w="587" w:type="pct"/>
                  <w:tcBorders>
                    <w:tl2br w:val="nil"/>
                    <w:tr2bl w:val="nil"/>
                  </w:tcBorders>
                  <w:noWrap w:val="0"/>
                  <w:vAlign w:val="center"/>
                </w:tcPr>
                <w:p w14:paraId="0C463AA3">
                  <w:pPr>
                    <w:adjustRightInd w:val="0"/>
                    <w:snapToGrid w:val="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符合</w:t>
                  </w:r>
                </w:p>
                <w:p w14:paraId="0A8E7EAD">
                  <w:pPr>
                    <w:adjustRightInd w:val="0"/>
                    <w:snapToGrid w:val="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情况</w:t>
                  </w:r>
                </w:p>
              </w:tc>
            </w:tr>
            <w:tr w14:paraId="335BB8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1638" w:hRule="atLeast"/>
                <w:jc w:val="center"/>
              </w:trPr>
              <w:tc>
                <w:tcPr>
                  <w:tcW w:w="412" w:type="pct"/>
                  <w:vMerge w:val="restart"/>
                  <w:tcBorders>
                    <w:tl2br w:val="nil"/>
                    <w:tr2bl w:val="nil"/>
                  </w:tcBorders>
                  <w:noWrap w:val="0"/>
                  <w:vAlign w:val="center"/>
                </w:tcPr>
                <w:p w14:paraId="61455B43">
                  <w:pPr>
                    <w:adjustRightInd w:val="0"/>
                    <w:snapToGrid w:val="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禁止的矿产资源开发活动</w:t>
                  </w:r>
                </w:p>
              </w:tc>
              <w:tc>
                <w:tcPr>
                  <w:tcW w:w="2063" w:type="pct"/>
                  <w:tcBorders>
                    <w:tl2br w:val="nil"/>
                    <w:tr2bl w:val="nil"/>
                  </w:tcBorders>
                  <w:noWrap w:val="0"/>
                  <w:vAlign w:val="center"/>
                </w:tcPr>
                <w:p w14:paraId="4CC7EE84">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Times New Roman" w:hAnsi="Times New Roman" w:eastAsia="仿宋" w:cs="Times New Roman"/>
                      <w:color w:val="auto"/>
                      <w:kern w:val="0"/>
                      <w:sz w:val="21"/>
                      <w:szCs w:val="21"/>
                      <w:highlight w:val="none"/>
                      <w:lang w:eastAsia="zh-CN"/>
                    </w:rPr>
                  </w:pPr>
                  <w:r>
                    <w:rPr>
                      <w:rFonts w:hint="eastAsia" w:eastAsia="仿宋" w:cs="Times New Roman"/>
                      <w:color w:val="auto"/>
                      <w:kern w:val="0"/>
                      <w:sz w:val="21"/>
                      <w:szCs w:val="21"/>
                      <w:highlight w:val="none"/>
                      <w:lang w:eastAsia="zh-CN"/>
                    </w:rPr>
                    <w:t>1.</w:t>
                  </w:r>
                  <w:r>
                    <w:rPr>
                      <w:rFonts w:hint="default" w:ascii="Times New Roman" w:hAnsi="Times New Roman" w:eastAsia="仿宋" w:cs="Times New Roman"/>
                      <w:color w:val="auto"/>
                      <w:kern w:val="0"/>
                      <w:sz w:val="21"/>
                      <w:szCs w:val="21"/>
                      <w:highlight w:val="none"/>
                    </w:rPr>
                    <w:t>禁止在依法划定的自然保护区（核心区、缓冲区）、风景名胜区、森林公园、饮用水水源保护区、重要湖泊周边、文物古迹所在地、地质遗迹保护区、基本农田保护区等区域内采矿</w:t>
                  </w:r>
                  <w:r>
                    <w:rPr>
                      <w:rFonts w:hint="eastAsia" w:eastAsia="仿宋" w:cs="Times New Roman"/>
                      <w:color w:val="auto"/>
                      <w:kern w:val="0"/>
                      <w:sz w:val="21"/>
                      <w:szCs w:val="21"/>
                      <w:highlight w:val="none"/>
                      <w:lang w:eastAsia="zh-CN"/>
                    </w:rPr>
                    <w:t>。</w:t>
                  </w:r>
                </w:p>
              </w:tc>
              <w:tc>
                <w:tcPr>
                  <w:tcW w:w="1938" w:type="pct"/>
                  <w:tcBorders>
                    <w:tl2br w:val="nil"/>
                    <w:tr2bl w:val="nil"/>
                  </w:tcBorders>
                  <w:noWrap w:val="0"/>
                  <w:vAlign w:val="center"/>
                </w:tcPr>
                <w:p w14:paraId="7877ED7F">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Times New Roman" w:hAnsi="Times New Roman" w:eastAsia="仿宋" w:cs="Times New Roman"/>
                      <w:color w:val="auto"/>
                      <w:kern w:val="0"/>
                      <w:sz w:val="21"/>
                      <w:szCs w:val="21"/>
                      <w:highlight w:val="none"/>
                      <w:lang w:eastAsia="zh-CN"/>
                    </w:rPr>
                  </w:pPr>
                  <w:r>
                    <w:rPr>
                      <w:rFonts w:hint="default" w:ascii="Times New Roman" w:hAnsi="Times New Roman" w:eastAsia="仿宋" w:cs="Times New Roman"/>
                      <w:color w:val="auto"/>
                      <w:kern w:val="0"/>
                      <w:sz w:val="21"/>
                      <w:szCs w:val="21"/>
                      <w:highlight w:val="none"/>
                    </w:rPr>
                    <w:t>本项目评价范围</w:t>
                  </w:r>
                  <w:r>
                    <w:rPr>
                      <w:rFonts w:hint="default" w:ascii="Times New Roman" w:hAnsi="Times New Roman" w:eastAsia="仿宋" w:cs="Times New Roman"/>
                      <w:color w:val="auto"/>
                      <w:kern w:val="0"/>
                      <w:sz w:val="21"/>
                      <w:szCs w:val="21"/>
                      <w:highlight w:val="none"/>
                      <w:lang w:val="en-US" w:eastAsia="zh-CN"/>
                    </w:rPr>
                    <w:t>内</w:t>
                  </w:r>
                  <w:r>
                    <w:rPr>
                      <w:rFonts w:hint="default" w:ascii="Times New Roman" w:hAnsi="Times New Roman" w:eastAsia="仿宋" w:cs="Times New Roman"/>
                      <w:color w:val="auto"/>
                      <w:kern w:val="0"/>
                      <w:sz w:val="21"/>
                      <w:szCs w:val="21"/>
                      <w:highlight w:val="none"/>
                    </w:rPr>
                    <w:t>不涉及自然保护区及风景名胜区、森林公园，也无文物古迹，不涉及基本农田保护区和饮用水源保护区等</w:t>
                  </w:r>
                  <w:r>
                    <w:rPr>
                      <w:rFonts w:hint="eastAsia" w:eastAsia="仿宋" w:cs="Times New Roman"/>
                      <w:color w:val="auto"/>
                      <w:kern w:val="0"/>
                      <w:sz w:val="21"/>
                      <w:szCs w:val="21"/>
                      <w:highlight w:val="none"/>
                      <w:lang w:eastAsia="zh-CN"/>
                    </w:rPr>
                    <w:t>。</w:t>
                  </w:r>
                </w:p>
              </w:tc>
              <w:tc>
                <w:tcPr>
                  <w:tcW w:w="587" w:type="pct"/>
                  <w:tcBorders>
                    <w:tl2br w:val="nil"/>
                    <w:tr2bl w:val="nil"/>
                  </w:tcBorders>
                  <w:noWrap w:val="0"/>
                  <w:vAlign w:val="center"/>
                </w:tcPr>
                <w:p w14:paraId="02CCE5FA">
                  <w:pPr>
                    <w:adjustRightInd w:val="0"/>
                    <w:snapToGrid w:val="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符合</w:t>
                  </w:r>
                </w:p>
              </w:tc>
            </w:tr>
            <w:tr w14:paraId="52D7E9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144" w:hRule="atLeast"/>
                <w:jc w:val="center"/>
              </w:trPr>
              <w:tc>
                <w:tcPr>
                  <w:tcW w:w="412" w:type="pct"/>
                  <w:vMerge w:val="continue"/>
                  <w:tcBorders>
                    <w:tl2br w:val="nil"/>
                    <w:tr2bl w:val="nil"/>
                  </w:tcBorders>
                  <w:noWrap w:val="0"/>
                  <w:vAlign w:val="center"/>
                </w:tcPr>
                <w:p w14:paraId="6DD18398">
                  <w:pPr>
                    <w:widowControl/>
                    <w:jc w:val="left"/>
                    <w:rPr>
                      <w:rFonts w:hint="default" w:ascii="Times New Roman" w:hAnsi="Times New Roman" w:eastAsia="仿宋" w:cs="Times New Roman"/>
                      <w:color w:val="auto"/>
                      <w:kern w:val="0"/>
                      <w:sz w:val="21"/>
                      <w:szCs w:val="21"/>
                      <w:highlight w:val="none"/>
                    </w:rPr>
                  </w:pPr>
                </w:p>
              </w:tc>
              <w:tc>
                <w:tcPr>
                  <w:tcW w:w="2063" w:type="pct"/>
                  <w:tcBorders>
                    <w:tl2br w:val="nil"/>
                    <w:tr2bl w:val="nil"/>
                  </w:tcBorders>
                  <w:noWrap w:val="0"/>
                  <w:vAlign w:val="center"/>
                </w:tcPr>
                <w:p w14:paraId="3E74BFBD">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Times New Roman" w:hAnsi="Times New Roman" w:eastAsia="仿宋" w:cs="Times New Roman"/>
                      <w:color w:val="auto"/>
                      <w:kern w:val="0"/>
                      <w:sz w:val="21"/>
                      <w:szCs w:val="21"/>
                      <w:highlight w:val="none"/>
                      <w:lang w:eastAsia="zh-CN"/>
                    </w:rPr>
                  </w:pPr>
                  <w:r>
                    <w:rPr>
                      <w:rFonts w:hint="eastAsia" w:eastAsia="仿宋" w:cs="Times New Roman"/>
                      <w:color w:val="auto"/>
                      <w:kern w:val="0"/>
                      <w:sz w:val="21"/>
                      <w:szCs w:val="21"/>
                      <w:highlight w:val="none"/>
                      <w:lang w:eastAsia="zh-CN"/>
                    </w:rPr>
                    <w:t>2.</w:t>
                  </w:r>
                  <w:r>
                    <w:rPr>
                      <w:rFonts w:hint="default" w:ascii="Times New Roman" w:hAnsi="Times New Roman" w:eastAsia="仿宋" w:cs="Times New Roman"/>
                      <w:color w:val="auto"/>
                      <w:kern w:val="0"/>
                      <w:sz w:val="21"/>
                      <w:szCs w:val="21"/>
                      <w:highlight w:val="none"/>
                    </w:rPr>
                    <w:t>禁止在铁路、国道、省道两侧的直观可视范围内进行露天开采</w:t>
                  </w:r>
                  <w:r>
                    <w:rPr>
                      <w:rFonts w:hint="eastAsia" w:eastAsia="仿宋" w:cs="Times New Roman"/>
                      <w:color w:val="auto"/>
                      <w:kern w:val="0"/>
                      <w:sz w:val="21"/>
                      <w:szCs w:val="21"/>
                      <w:highlight w:val="none"/>
                      <w:lang w:eastAsia="zh-CN"/>
                    </w:rPr>
                    <w:t>。</w:t>
                  </w:r>
                </w:p>
              </w:tc>
              <w:tc>
                <w:tcPr>
                  <w:tcW w:w="1938" w:type="pct"/>
                  <w:tcBorders>
                    <w:tl2br w:val="nil"/>
                    <w:tr2bl w:val="nil"/>
                  </w:tcBorders>
                  <w:noWrap w:val="0"/>
                  <w:vAlign w:val="center"/>
                </w:tcPr>
                <w:p w14:paraId="2D57D195">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Times New Roman" w:hAnsi="Times New Roman" w:eastAsia="仿宋" w:cs="Times New Roman"/>
                      <w:color w:val="auto"/>
                      <w:kern w:val="0"/>
                      <w:sz w:val="21"/>
                      <w:szCs w:val="21"/>
                      <w:highlight w:val="none"/>
                      <w:lang w:eastAsia="zh-CN"/>
                    </w:rPr>
                  </w:pPr>
                  <w:r>
                    <w:rPr>
                      <w:rFonts w:hint="default" w:ascii="Times New Roman" w:hAnsi="Times New Roman" w:eastAsia="仿宋" w:cs="Times New Roman"/>
                      <w:color w:val="auto"/>
                      <w:kern w:val="0"/>
                      <w:sz w:val="21"/>
                      <w:szCs w:val="21"/>
                      <w:highlight w:val="none"/>
                    </w:rPr>
                    <w:t>矿区不</w:t>
                  </w:r>
                  <w:r>
                    <w:rPr>
                      <w:rFonts w:hint="default" w:ascii="Times New Roman" w:hAnsi="Times New Roman" w:eastAsia="仿宋" w:cs="Times New Roman"/>
                      <w:color w:val="auto"/>
                      <w:kern w:val="0"/>
                      <w:sz w:val="21"/>
                      <w:szCs w:val="21"/>
                      <w:highlight w:val="none"/>
                      <w:lang w:val="en-US" w:eastAsia="zh-CN"/>
                    </w:rPr>
                    <w:t>在</w:t>
                  </w:r>
                  <w:r>
                    <w:rPr>
                      <w:rFonts w:hint="default" w:ascii="Times New Roman" w:hAnsi="Times New Roman" w:eastAsia="仿宋" w:cs="Times New Roman"/>
                      <w:color w:val="auto"/>
                      <w:kern w:val="0"/>
                      <w:sz w:val="21"/>
                      <w:szCs w:val="21"/>
                      <w:highlight w:val="none"/>
                    </w:rPr>
                    <w:t>铁路、国道、省道两侧的直观可视范围内</w:t>
                  </w:r>
                  <w:r>
                    <w:rPr>
                      <w:rFonts w:hint="eastAsia" w:eastAsia="仿宋" w:cs="Times New Roman"/>
                      <w:color w:val="auto"/>
                      <w:kern w:val="0"/>
                      <w:sz w:val="21"/>
                      <w:szCs w:val="21"/>
                      <w:highlight w:val="none"/>
                      <w:lang w:eastAsia="zh-CN"/>
                    </w:rPr>
                    <w:t>。</w:t>
                  </w:r>
                </w:p>
              </w:tc>
              <w:tc>
                <w:tcPr>
                  <w:tcW w:w="587" w:type="pct"/>
                  <w:tcBorders>
                    <w:tl2br w:val="nil"/>
                    <w:tr2bl w:val="nil"/>
                  </w:tcBorders>
                  <w:noWrap w:val="0"/>
                  <w:vAlign w:val="center"/>
                </w:tcPr>
                <w:p w14:paraId="48EFDECD">
                  <w:pPr>
                    <w:adjustRightInd w:val="0"/>
                    <w:snapToGrid w:val="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符合</w:t>
                  </w:r>
                </w:p>
              </w:tc>
            </w:tr>
            <w:tr w14:paraId="37B6AD2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144" w:hRule="atLeast"/>
                <w:jc w:val="center"/>
              </w:trPr>
              <w:tc>
                <w:tcPr>
                  <w:tcW w:w="412" w:type="pct"/>
                  <w:vMerge w:val="continue"/>
                  <w:tcBorders>
                    <w:tl2br w:val="nil"/>
                    <w:tr2bl w:val="nil"/>
                  </w:tcBorders>
                  <w:noWrap w:val="0"/>
                  <w:vAlign w:val="center"/>
                </w:tcPr>
                <w:p w14:paraId="1820E7C6">
                  <w:pPr>
                    <w:widowControl/>
                    <w:jc w:val="left"/>
                    <w:rPr>
                      <w:rFonts w:hint="default" w:ascii="Times New Roman" w:hAnsi="Times New Roman" w:eastAsia="仿宋" w:cs="Times New Roman"/>
                      <w:color w:val="auto"/>
                      <w:kern w:val="0"/>
                      <w:sz w:val="21"/>
                      <w:szCs w:val="21"/>
                      <w:highlight w:val="none"/>
                    </w:rPr>
                  </w:pPr>
                </w:p>
              </w:tc>
              <w:tc>
                <w:tcPr>
                  <w:tcW w:w="2063" w:type="pct"/>
                  <w:tcBorders>
                    <w:tl2br w:val="nil"/>
                    <w:tr2bl w:val="nil"/>
                  </w:tcBorders>
                  <w:noWrap w:val="0"/>
                  <w:vAlign w:val="center"/>
                </w:tcPr>
                <w:p w14:paraId="735227E1">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Times New Roman" w:hAnsi="Times New Roman" w:eastAsia="仿宋" w:cs="Times New Roman"/>
                      <w:color w:val="auto"/>
                      <w:kern w:val="0"/>
                      <w:sz w:val="21"/>
                      <w:szCs w:val="21"/>
                      <w:highlight w:val="none"/>
                      <w:lang w:eastAsia="zh-CN"/>
                    </w:rPr>
                  </w:pPr>
                  <w:r>
                    <w:rPr>
                      <w:rFonts w:hint="eastAsia" w:eastAsia="仿宋" w:cs="Times New Roman"/>
                      <w:color w:val="auto"/>
                      <w:kern w:val="0"/>
                      <w:sz w:val="21"/>
                      <w:szCs w:val="21"/>
                      <w:highlight w:val="none"/>
                      <w:lang w:eastAsia="zh-CN"/>
                    </w:rPr>
                    <w:t>3.</w:t>
                  </w:r>
                  <w:r>
                    <w:rPr>
                      <w:rFonts w:hint="default" w:ascii="Times New Roman" w:hAnsi="Times New Roman" w:eastAsia="仿宋" w:cs="Times New Roman"/>
                      <w:color w:val="auto"/>
                      <w:kern w:val="0"/>
                      <w:sz w:val="21"/>
                      <w:szCs w:val="21"/>
                      <w:highlight w:val="none"/>
                    </w:rPr>
                    <w:t>禁止在地质灾害危险区开采矿产资源</w:t>
                  </w:r>
                  <w:r>
                    <w:rPr>
                      <w:rFonts w:hint="eastAsia" w:eastAsia="仿宋" w:cs="Times New Roman"/>
                      <w:color w:val="auto"/>
                      <w:kern w:val="0"/>
                      <w:sz w:val="21"/>
                      <w:szCs w:val="21"/>
                      <w:highlight w:val="none"/>
                      <w:lang w:eastAsia="zh-CN"/>
                    </w:rPr>
                    <w:t>。</w:t>
                  </w:r>
                </w:p>
              </w:tc>
              <w:tc>
                <w:tcPr>
                  <w:tcW w:w="1938" w:type="pct"/>
                  <w:tcBorders>
                    <w:tl2br w:val="nil"/>
                    <w:tr2bl w:val="nil"/>
                  </w:tcBorders>
                  <w:noWrap w:val="0"/>
                  <w:vAlign w:val="center"/>
                </w:tcPr>
                <w:p w14:paraId="7B3EF581">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Times New Roman" w:hAnsi="Times New Roman" w:eastAsia="仿宋" w:cs="Times New Roman"/>
                      <w:color w:val="auto"/>
                      <w:kern w:val="0"/>
                      <w:sz w:val="21"/>
                      <w:szCs w:val="21"/>
                      <w:highlight w:val="none"/>
                      <w:lang w:eastAsia="zh-CN"/>
                    </w:rPr>
                  </w:pPr>
                  <w:r>
                    <w:rPr>
                      <w:rFonts w:hint="default" w:ascii="Times New Roman" w:hAnsi="Times New Roman" w:eastAsia="仿宋" w:cs="Times New Roman"/>
                      <w:color w:val="auto"/>
                      <w:kern w:val="0"/>
                      <w:sz w:val="21"/>
                      <w:szCs w:val="21"/>
                      <w:highlight w:val="none"/>
                    </w:rPr>
                    <w:t>矿区不在地质灾害危险区</w:t>
                  </w:r>
                  <w:r>
                    <w:rPr>
                      <w:rFonts w:hint="eastAsia" w:eastAsia="仿宋" w:cs="Times New Roman"/>
                      <w:color w:val="auto"/>
                      <w:kern w:val="0"/>
                      <w:sz w:val="21"/>
                      <w:szCs w:val="21"/>
                      <w:highlight w:val="none"/>
                      <w:lang w:eastAsia="zh-CN"/>
                    </w:rPr>
                    <w:t>。</w:t>
                  </w:r>
                </w:p>
              </w:tc>
              <w:tc>
                <w:tcPr>
                  <w:tcW w:w="587" w:type="pct"/>
                  <w:tcBorders>
                    <w:tl2br w:val="nil"/>
                    <w:tr2bl w:val="nil"/>
                  </w:tcBorders>
                  <w:noWrap w:val="0"/>
                  <w:vAlign w:val="center"/>
                </w:tcPr>
                <w:p w14:paraId="02CD4B81">
                  <w:pPr>
                    <w:adjustRightInd w:val="0"/>
                    <w:snapToGrid w:val="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符合</w:t>
                  </w:r>
                </w:p>
              </w:tc>
            </w:tr>
            <w:tr w14:paraId="084D7D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144" w:hRule="atLeast"/>
                <w:jc w:val="center"/>
              </w:trPr>
              <w:tc>
                <w:tcPr>
                  <w:tcW w:w="412" w:type="pct"/>
                  <w:vMerge w:val="continue"/>
                  <w:tcBorders>
                    <w:tl2br w:val="nil"/>
                    <w:tr2bl w:val="nil"/>
                  </w:tcBorders>
                  <w:noWrap w:val="0"/>
                  <w:vAlign w:val="center"/>
                </w:tcPr>
                <w:p w14:paraId="61D2CD0C">
                  <w:pPr>
                    <w:widowControl/>
                    <w:jc w:val="left"/>
                    <w:rPr>
                      <w:rFonts w:hint="default" w:ascii="Times New Roman" w:hAnsi="Times New Roman" w:eastAsia="仿宋" w:cs="Times New Roman"/>
                      <w:color w:val="auto"/>
                      <w:kern w:val="0"/>
                      <w:sz w:val="21"/>
                      <w:szCs w:val="21"/>
                      <w:highlight w:val="none"/>
                    </w:rPr>
                  </w:pPr>
                </w:p>
              </w:tc>
              <w:tc>
                <w:tcPr>
                  <w:tcW w:w="2063" w:type="pct"/>
                  <w:tcBorders>
                    <w:tl2br w:val="nil"/>
                    <w:tr2bl w:val="nil"/>
                  </w:tcBorders>
                  <w:noWrap w:val="0"/>
                  <w:vAlign w:val="center"/>
                </w:tcPr>
                <w:p w14:paraId="520E04FB">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Times New Roman" w:hAnsi="Times New Roman" w:eastAsia="仿宋" w:cs="Times New Roman"/>
                      <w:color w:val="auto"/>
                      <w:kern w:val="0"/>
                      <w:sz w:val="21"/>
                      <w:szCs w:val="21"/>
                      <w:highlight w:val="none"/>
                      <w:lang w:eastAsia="zh-CN"/>
                    </w:rPr>
                  </w:pPr>
                  <w:r>
                    <w:rPr>
                      <w:rFonts w:hint="eastAsia" w:eastAsia="仿宋" w:cs="Times New Roman"/>
                      <w:color w:val="auto"/>
                      <w:kern w:val="0"/>
                      <w:sz w:val="21"/>
                      <w:szCs w:val="21"/>
                      <w:highlight w:val="none"/>
                      <w:lang w:eastAsia="zh-CN"/>
                    </w:rPr>
                    <w:t>4.</w:t>
                  </w:r>
                  <w:r>
                    <w:rPr>
                      <w:rFonts w:hint="default" w:ascii="Times New Roman" w:hAnsi="Times New Roman" w:eastAsia="仿宋" w:cs="Times New Roman"/>
                      <w:color w:val="auto"/>
                      <w:kern w:val="0"/>
                      <w:sz w:val="21"/>
                      <w:szCs w:val="21"/>
                      <w:highlight w:val="none"/>
                    </w:rPr>
                    <w:t>禁止新建对生态环境产生不可恢复利用的、产生破坏性影响的矿产资源开发项目</w:t>
                  </w:r>
                  <w:r>
                    <w:rPr>
                      <w:rFonts w:hint="eastAsia" w:eastAsia="仿宋" w:cs="Times New Roman"/>
                      <w:color w:val="auto"/>
                      <w:kern w:val="0"/>
                      <w:sz w:val="21"/>
                      <w:szCs w:val="21"/>
                      <w:highlight w:val="none"/>
                      <w:lang w:eastAsia="zh-CN"/>
                    </w:rPr>
                    <w:t>。</w:t>
                  </w:r>
                </w:p>
              </w:tc>
              <w:tc>
                <w:tcPr>
                  <w:tcW w:w="1938" w:type="pct"/>
                  <w:tcBorders>
                    <w:tl2br w:val="nil"/>
                    <w:tr2bl w:val="nil"/>
                  </w:tcBorders>
                  <w:noWrap w:val="0"/>
                  <w:vAlign w:val="center"/>
                </w:tcPr>
                <w:p w14:paraId="16E6F91B">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Times New Roman" w:hAnsi="Times New Roman" w:eastAsia="仿宋" w:cs="Times New Roman"/>
                      <w:color w:val="auto"/>
                      <w:kern w:val="0"/>
                      <w:sz w:val="21"/>
                      <w:szCs w:val="21"/>
                      <w:highlight w:val="none"/>
                      <w:lang w:eastAsia="zh-CN"/>
                    </w:rPr>
                  </w:pPr>
                  <w:r>
                    <w:rPr>
                      <w:rFonts w:hint="default" w:ascii="Times New Roman" w:hAnsi="Times New Roman" w:eastAsia="仿宋" w:cs="Times New Roman"/>
                      <w:color w:val="auto"/>
                      <w:kern w:val="0"/>
                      <w:sz w:val="21"/>
                      <w:szCs w:val="21"/>
                      <w:highlight w:val="none"/>
                    </w:rPr>
                    <w:t>闭矿后生态环境可恢复</w:t>
                  </w:r>
                  <w:r>
                    <w:rPr>
                      <w:rFonts w:hint="eastAsia" w:eastAsia="仿宋" w:cs="Times New Roman"/>
                      <w:color w:val="auto"/>
                      <w:kern w:val="0"/>
                      <w:sz w:val="21"/>
                      <w:szCs w:val="21"/>
                      <w:highlight w:val="none"/>
                      <w:lang w:eastAsia="zh-CN"/>
                    </w:rPr>
                    <w:t>。</w:t>
                  </w:r>
                </w:p>
              </w:tc>
              <w:tc>
                <w:tcPr>
                  <w:tcW w:w="587" w:type="pct"/>
                  <w:tcBorders>
                    <w:tl2br w:val="nil"/>
                    <w:tr2bl w:val="nil"/>
                  </w:tcBorders>
                  <w:noWrap w:val="0"/>
                  <w:vAlign w:val="center"/>
                </w:tcPr>
                <w:p w14:paraId="7514C38F">
                  <w:pPr>
                    <w:adjustRightInd w:val="0"/>
                    <w:snapToGrid w:val="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符合</w:t>
                  </w:r>
                </w:p>
              </w:tc>
            </w:tr>
            <w:tr w14:paraId="0DE51BB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1909" w:hRule="atLeast"/>
                <w:jc w:val="center"/>
              </w:trPr>
              <w:tc>
                <w:tcPr>
                  <w:tcW w:w="412" w:type="pct"/>
                  <w:vMerge w:val="restart"/>
                  <w:tcBorders>
                    <w:tl2br w:val="nil"/>
                    <w:tr2bl w:val="nil"/>
                  </w:tcBorders>
                  <w:noWrap w:val="0"/>
                  <w:vAlign w:val="center"/>
                </w:tcPr>
                <w:p w14:paraId="5F156D3B">
                  <w:pPr>
                    <w:adjustRightInd w:val="0"/>
                    <w:snapToGrid w:val="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限制的矿产资源开发</w:t>
                  </w:r>
                </w:p>
              </w:tc>
              <w:tc>
                <w:tcPr>
                  <w:tcW w:w="2063" w:type="pct"/>
                  <w:tcBorders>
                    <w:tl2br w:val="nil"/>
                    <w:tr2bl w:val="nil"/>
                  </w:tcBorders>
                  <w:noWrap w:val="0"/>
                  <w:vAlign w:val="center"/>
                </w:tcPr>
                <w:p w14:paraId="35F4735A">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eastAsia="仿宋" w:cs="Times New Roman"/>
                      <w:color w:val="auto"/>
                      <w:kern w:val="0"/>
                      <w:sz w:val="21"/>
                      <w:szCs w:val="21"/>
                      <w:highlight w:val="none"/>
                    </w:rPr>
                  </w:pPr>
                  <w:r>
                    <w:rPr>
                      <w:rFonts w:hint="eastAsia" w:eastAsia="仿宋" w:cs="Times New Roman"/>
                      <w:color w:val="auto"/>
                      <w:kern w:val="0"/>
                      <w:sz w:val="21"/>
                      <w:szCs w:val="21"/>
                      <w:highlight w:val="none"/>
                      <w:lang w:eastAsia="zh-CN"/>
                    </w:rPr>
                    <w:t>1.</w:t>
                  </w:r>
                  <w:r>
                    <w:rPr>
                      <w:rFonts w:hint="default" w:ascii="Times New Roman" w:hAnsi="Times New Roman" w:eastAsia="仿宋" w:cs="Times New Roman"/>
                      <w:color w:val="auto"/>
                      <w:kern w:val="0"/>
                      <w:sz w:val="21"/>
                      <w:szCs w:val="21"/>
                      <w:highlight w:val="none"/>
                    </w:rPr>
                    <w:t>限制在生态功能保护区和自然保护区（过渡区）内开采矿产资源。生态功能保护区内的开采活动必须符合当地的环境功能区规划，并按规定进行控制性开采，开采活动不得影响本功能区内的主导生态功能。</w:t>
                  </w:r>
                </w:p>
              </w:tc>
              <w:tc>
                <w:tcPr>
                  <w:tcW w:w="1938" w:type="pct"/>
                  <w:tcBorders>
                    <w:tl2br w:val="nil"/>
                    <w:tr2bl w:val="nil"/>
                  </w:tcBorders>
                  <w:noWrap w:val="0"/>
                  <w:vAlign w:val="center"/>
                </w:tcPr>
                <w:p w14:paraId="4B4CF2CD">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本项目不在生态功能保护区和自然保护</w:t>
                  </w:r>
                  <w:r>
                    <w:rPr>
                      <w:rFonts w:hint="default" w:ascii="Times New Roman" w:hAnsi="Times New Roman" w:eastAsia="仿宋" w:cs="Times New Roman"/>
                      <w:color w:val="auto"/>
                      <w:kern w:val="0"/>
                      <w:sz w:val="21"/>
                      <w:szCs w:val="21"/>
                      <w:highlight w:val="none"/>
                      <w:lang w:val="en-US" w:eastAsia="zh-CN"/>
                    </w:rPr>
                    <w:t>区，严格按照划定的矿区进行开采，且开采结束后立即进行生态恢复，不会影响项目区域的生态功能</w:t>
                  </w:r>
                  <w:r>
                    <w:rPr>
                      <w:rFonts w:hint="eastAsia" w:eastAsia="仿宋" w:cs="Times New Roman"/>
                      <w:color w:val="auto"/>
                      <w:kern w:val="0"/>
                      <w:sz w:val="21"/>
                      <w:szCs w:val="21"/>
                      <w:highlight w:val="none"/>
                      <w:lang w:val="en-US" w:eastAsia="zh-CN"/>
                    </w:rPr>
                    <w:t>。</w:t>
                  </w:r>
                </w:p>
              </w:tc>
              <w:tc>
                <w:tcPr>
                  <w:tcW w:w="587" w:type="pct"/>
                  <w:tcBorders>
                    <w:tl2br w:val="nil"/>
                    <w:tr2bl w:val="nil"/>
                  </w:tcBorders>
                  <w:noWrap w:val="0"/>
                  <w:vAlign w:val="center"/>
                </w:tcPr>
                <w:p w14:paraId="788D4D17">
                  <w:pPr>
                    <w:adjustRightInd w:val="0"/>
                    <w:snapToGrid w:val="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符合</w:t>
                  </w:r>
                </w:p>
              </w:tc>
            </w:tr>
            <w:tr w14:paraId="4645F0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144" w:hRule="atLeast"/>
                <w:jc w:val="center"/>
              </w:trPr>
              <w:tc>
                <w:tcPr>
                  <w:tcW w:w="412" w:type="pct"/>
                  <w:vMerge w:val="continue"/>
                  <w:tcBorders>
                    <w:tl2br w:val="nil"/>
                    <w:tr2bl w:val="nil"/>
                  </w:tcBorders>
                  <w:noWrap w:val="0"/>
                  <w:vAlign w:val="center"/>
                </w:tcPr>
                <w:p w14:paraId="7FB20762">
                  <w:pPr>
                    <w:widowControl/>
                    <w:jc w:val="left"/>
                    <w:rPr>
                      <w:rFonts w:hint="default" w:ascii="Times New Roman" w:hAnsi="Times New Roman" w:eastAsia="仿宋" w:cs="Times New Roman"/>
                      <w:color w:val="auto"/>
                      <w:kern w:val="0"/>
                      <w:sz w:val="21"/>
                      <w:szCs w:val="21"/>
                      <w:highlight w:val="none"/>
                    </w:rPr>
                  </w:pPr>
                </w:p>
              </w:tc>
              <w:tc>
                <w:tcPr>
                  <w:tcW w:w="2063" w:type="pct"/>
                  <w:tcBorders>
                    <w:tl2br w:val="nil"/>
                    <w:tr2bl w:val="nil"/>
                  </w:tcBorders>
                  <w:noWrap w:val="0"/>
                  <w:vAlign w:val="center"/>
                </w:tcPr>
                <w:p w14:paraId="7C6C60C1">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default" w:ascii="Times New Roman" w:hAnsi="Times New Roman" w:eastAsia="仿宋" w:cs="Times New Roman"/>
                      <w:color w:val="auto"/>
                      <w:kern w:val="0"/>
                      <w:sz w:val="21"/>
                      <w:szCs w:val="21"/>
                      <w:highlight w:val="none"/>
                    </w:rPr>
                  </w:pPr>
                  <w:r>
                    <w:rPr>
                      <w:rFonts w:hint="eastAsia" w:eastAsia="仿宋" w:cs="Times New Roman"/>
                      <w:color w:val="auto"/>
                      <w:kern w:val="0"/>
                      <w:sz w:val="21"/>
                      <w:szCs w:val="21"/>
                      <w:highlight w:val="none"/>
                      <w:lang w:eastAsia="zh-CN"/>
                    </w:rPr>
                    <w:t>2.</w:t>
                  </w:r>
                  <w:r>
                    <w:rPr>
                      <w:rFonts w:hint="default" w:ascii="Times New Roman" w:hAnsi="Times New Roman" w:eastAsia="仿宋" w:cs="Times New Roman"/>
                      <w:color w:val="auto"/>
                      <w:kern w:val="0"/>
                      <w:sz w:val="21"/>
                      <w:szCs w:val="21"/>
                      <w:highlight w:val="none"/>
                    </w:rPr>
                    <w:t>限制在地质灾害易发区、水土流失严重区域等生态脆弱区内开采矿产资源。</w:t>
                  </w:r>
                </w:p>
              </w:tc>
              <w:tc>
                <w:tcPr>
                  <w:tcW w:w="1938" w:type="pct"/>
                  <w:tcBorders>
                    <w:tl2br w:val="nil"/>
                    <w:tr2bl w:val="nil"/>
                  </w:tcBorders>
                  <w:noWrap w:val="0"/>
                  <w:vAlign w:val="center"/>
                </w:tcPr>
                <w:p w14:paraId="47006DBD">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Times New Roman" w:hAnsi="Times New Roman" w:eastAsia="仿宋" w:cs="Times New Roman"/>
                      <w:color w:val="auto"/>
                      <w:kern w:val="0"/>
                      <w:sz w:val="21"/>
                      <w:szCs w:val="21"/>
                      <w:highlight w:val="none"/>
                      <w:lang w:eastAsia="zh-CN"/>
                    </w:rPr>
                  </w:pPr>
                  <w:r>
                    <w:rPr>
                      <w:rFonts w:hint="default" w:ascii="Times New Roman" w:hAnsi="Times New Roman" w:eastAsia="仿宋" w:cs="Times New Roman"/>
                      <w:color w:val="auto"/>
                      <w:kern w:val="0"/>
                      <w:sz w:val="21"/>
                      <w:szCs w:val="21"/>
                      <w:highlight w:val="none"/>
                    </w:rPr>
                    <w:t>矿区不属于地质灾害易发区、水土流失严重区域</w:t>
                  </w:r>
                  <w:r>
                    <w:rPr>
                      <w:rFonts w:hint="eastAsia" w:eastAsia="仿宋" w:cs="Times New Roman"/>
                      <w:color w:val="auto"/>
                      <w:kern w:val="0"/>
                      <w:sz w:val="21"/>
                      <w:szCs w:val="21"/>
                      <w:highlight w:val="none"/>
                      <w:lang w:eastAsia="zh-CN"/>
                    </w:rPr>
                    <w:t>。</w:t>
                  </w:r>
                </w:p>
              </w:tc>
              <w:tc>
                <w:tcPr>
                  <w:tcW w:w="587" w:type="pct"/>
                  <w:tcBorders>
                    <w:tl2br w:val="nil"/>
                    <w:tr2bl w:val="nil"/>
                  </w:tcBorders>
                  <w:noWrap w:val="0"/>
                  <w:vAlign w:val="center"/>
                </w:tcPr>
                <w:p w14:paraId="11BDBD88">
                  <w:pPr>
                    <w:adjustRightInd w:val="0"/>
                    <w:snapToGrid w:val="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符合</w:t>
                  </w:r>
                </w:p>
              </w:tc>
            </w:tr>
          </w:tbl>
          <w:p w14:paraId="3E4DDD5C">
            <w:pPr>
              <w:pStyle w:val="5"/>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544"/>
              <w:textAlignment w:val="baseline"/>
              <w:rPr>
                <w:rFonts w:hint="default" w:ascii="Times New Roman" w:hAnsi="Times New Roman" w:eastAsia="仿宋" w:cs="Times New Roman"/>
                <w:b/>
                <w:bCs/>
                <w:color w:val="auto"/>
                <w:sz w:val="24"/>
                <w:szCs w:val="24"/>
                <w:highlight w:val="none"/>
                <w:lang w:val="en-US" w:eastAsia="zh-CN"/>
              </w:rPr>
            </w:pPr>
            <w:r>
              <w:rPr>
                <w:rFonts w:hint="eastAsia" w:eastAsia="仿宋" w:cs="Times New Roman"/>
                <w:b/>
                <w:bCs/>
                <w:snapToGrid/>
                <w:color w:val="auto"/>
                <w:sz w:val="24"/>
                <w:szCs w:val="24"/>
                <w:highlight w:val="none"/>
                <w:lang w:val="en-US" w:eastAsia="zh-CN"/>
              </w:rPr>
              <w:t>3.</w:t>
            </w:r>
            <w:r>
              <w:rPr>
                <w:rFonts w:hint="default" w:ascii="Times New Roman" w:hAnsi="Times New Roman" w:eastAsia="仿宋" w:cs="Times New Roman"/>
                <w:b/>
                <w:bCs/>
                <w:color w:val="auto"/>
                <w:kern w:val="0"/>
                <w:sz w:val="24"/>
                <w:szCs w:val="24"/>
                <w:highlight w:val="none"/>
                <w:lang w:val="en-US" w:eastAsia="zh-CN"/>
              </w:rPr>
              <w:t>与</w:t>
            </w:r>
            <w:r>
              <w:rPr>
                <w:rFonts w:hint="default" w:ascii="Times New Roman" w:hAnsi="Times New Roman" w:eastAsia="仿宋" w:cs="Times New Roman"/>
                <w:b/>
                <w:bCs/>
                <w:color w:val="auto"/>
                <w:sz w:val="24"/>
                <w:szCs w:val="24"/>
                <w:highlight w:val="none"/>
                <w:lang w:val="en-US" w:eastAsia="zh-CN"/>
              </w:rPr>
              <w:t>《非金属矿行业绿色矿山建设规范》符合性分析</w:t>
            </w:r>
          </w:p>
          <w:p w14:paraId="3EAB51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《非金属矿行业绿色矿山建设规范》（</w:t>
            </w:r>
            <w:r>
              <w:rPr>
                <w:rFonts w:hint="default" w:ascii="Times New Roman" w:hAnsi="Times New Roman" w:eastAsia="仿宋" w:cs="Times New Roman"/>
                <w:color w:val="000000"/>
                <w:sz w:val="24"/>
                <w:lang w:val="en-US" w:eastAsia="zh-CN"/>
              </w:rPr>
              <w:t>DZ/T0312-2018</w:t>
            </w:r>
            <w:r>
              <w:rPr>
                <w:rFonts w:hint="eastAsia" w:ascii="Times New Roman" w:hAnsi="Times New Roman" w:eastAsia="仿宋" w:cs="Times New Roman"/>
                <w:color w:val="000000"/>
                <w:sz w:val="24"/>
                <w:lang w:val="en-US" w:eastAsia="zh-CN"/>
              </w:rPr>
              <w:t xml:space="preserve">）中相关要求如下： </w:t>
            </w:r>
          </w:p>
          <w:p w14:paraId="42AA83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 xml:space="preserve">资源开发应与环境保护、资源保护、城乡建设相协调，最大限度地减少对自然环境的扰动和破坏，选择资源节约型环境友好型开发方式；根据非金属矿资源赋存状况，生态环境特征等条件，因地制宜地选择合理的开采顺序、开采方式、开采方法。矿山企业应优先选择国家鼓励、支持和推广的资源利用率高，且对矿区生态破坏小的先进装备、技术与工艺，充分实现资源分级利用、优质优用、综合利用；应贯彻“边开采、边治理、边恢复”的原则，及时治理恢复矿山地质环境，复垦矿山压占和损毁土地。矿山占用土地和损毁土地治理和复垦应符合矿山地质环境保护与土地复垦方案的要求。 </w:t>
            </w:r>
          </w:p>
          <w:p w14:paraId="161049D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 xml:space="preserve">矿山恢复治理后各类场地应与周边自然环境和景观相协调，矿山土地复垦应因地制宜，实现土地可持续利用，区域整体生态功能得到保护和恢复。 </w:t>
            </w:r>
          </w:p>
          <w:p w14:paraId="4FD484B7">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本项目严格按照开发利用方案进行开采，并委托编制</w:t>
            </w:r>
            <w:r>
              <w:rPr>
                <w:rFonts w:hint="eastAsia" w:eastAsia="仿宋" w:cs="Times New Roman"/>
                <w:color w:val="000000"/>
                <w:sz w:val="24"/>
                <w:lang w:val="en-US" w:eastAsia="zh-CN"/>
              </w:rPr>
              <w:t>矿产资源开采与生态修复方案</w:t>
            </w:r>
            <w:r>
              <w:rPr>
                <w:rFonts w:hint="eastAsia" w:ascii="Times New Roman" w:hAnsi="Times New Roman" w:eastAsia="仿宋" w:cs="Times New Roman"/>
                <w:color w:val="000000"/>
                <w:sz w:val="24"/>
                <w:lang w:val="en-US" w:eastAsia="zh-CN"/>
              </w:rPr>
              <w:t>，采用露天开采方式</w:t>
            </w:r>
            <w:r>
              <w:rPr>
                <w:rFonts w:hint="eastAsia" w:eastAsia="仿宋" w:cs="Times New Roman"/>
                <w:color w:val="000000"/>
                <w:sz w:val="24"/>
                <w:lang w:val="en-US" w:eastAsia="zh-CN"/>
              </w:rPr>
              <w:t>，在</w:t>
            </w:r>
            <w:r>
              <w:rPr>
                <w:rFonts w:hint="eastAsia" w:ascii="Times New Roman" w:hAnsi="Times New Roman" w:eastAsia="仿宋" w:cs="Times New Roman"/>
                <w:color w:val="000000"/>
                <w:sz w:val="24"/>
                <w:lang w:val="en-US" w:eastAsia="zh-CN"/>
              </w:rPr>
              <w:t>企业开采</w:t>
            </w:r>
            <w:r>
              <w:rPr>
                <w:rFonts w:hint="eastAsia" w:eastAsia="仿宋" w:cs="Times New Roman"/>
                <w:color w:val="000000"/>
                <w:sz w:val="24"/>
                <w:lang w:val="en-US" w:eastAsia="zh-CN"/>
              </w:rPr>
              <w:t>期间</w:t>
            </w:r>
            <w:r>
              <w:rPr>
                <w:rFonts w:hint="eastAsia" w:ascii="Times New Roman" w:hAnsi="Times New Roman" w:eastAsia="仿宋" w:cs="Times New Roman"/>
                <w:color w:val="000000"/>
                <w:sz w:val="24"/>
                <w:lang w:val="en-US" w:eastAsia="zh-CN"/>
              </w:rPr>
              <w:t>认真履行矿山地质环境恢复治理和土地复垦义务，切实做到‘谁开发、谁保护，谁破坏、谁治理’，因地制宜开展矿山生态修复。综上所述，本项目符合《非金属矿行业绿色矿山建设规范》中相关要求。</w:t>
            </w:r>
          </w:p>
          <w:p w14:paraId="498F7DB9">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rFonts w:hint="default" w:ascii="Times New Roman" w:hAnsi="Times New Roman" w:eastAsia="仿宋" w:cs="Times New Roman"/>
                <w:b/>
                <w:bCs/>
                <w:color w:val="auto"/>
                <w:sz w:val="24"/>
                <w:highlight w:val="none"/>
              </w:rPr>
            </w:pPr>
            <w:r>
              <w:rPr>
                <w:rFonts w:hint="eastAsia" w:eastAsia="仿宋" w:cs="Times New Roman"/>
                <w:b/>
                <w:color w:val="auto"/>
                <w:sz w:val="24"/>
                <w:szCs w:val="24"/>
                <w:highlight w:val="none"/>
                <w:lang w:val="en-US" w:eastAsia="zh-CN"/>
              </w:rPr>
              <w:t>4.</w:t>
            </w:r>
            <w:r>
              <w:rPr>
                <w:rFonts w:hint="default" w:ascii="Times New Roman" w:hAnsi="Times New Roman" w:eastAsia="仿宋" w:cs="Times New Roman"/>
                <w:b/>
                <w:bCs/>
                <w:color w:val="auto"/>
                <w:sz w:val="24"/>
                <w:highlight w:val="none"/>
              </w:rPr>
              <w:t>与《甘肃省自然资源厅关于规范砂石资源有序绿色开发保障全省经济高质量发展的指导意见》符合性分析</w:t>
            </w:r>
          </w:p>
          <w:p w14:paraId="3485EC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
                <w:bCs/>
                <w:color w:val="auto"/>
                <w:kern w:val="0"/>
                <w:sz w:val="21"/>
                <w:szCs w:val="21"/>
                <w:highlight w:val="none"/>
                <w:lang w:val="en-US" w:eastAsia="zh-CN"/>
              </w:rPr>
            </w:pPr>
            <w:r>
              <w:rPr>
                <w:rFonts w:hint="default" w:ascii="Times New Roman" w:hAnsi="Times New Roman" w:eastAsia="仿宋" w:cs="Times New Roman"/>
                <w:b/>
                <w:bCs/>
                <w:color w:val="auto"/>
                <w:kern w:val="0"/>
                <w:sz w:val="21"/>
                <w:szCs w:val="21"/>
                <w:highlight w:val="none"/>
                <w:lang w:val="en-US" w:eastAsia="zh-CN"/>
              </w:rPr>
              <w:t>表</w:t>
            </w:r>
            <w:r>
              <w:rPr>
                <w:rFonts w:hint="eastAsia" w:eastAsia="仿宋" w:cs="Times New Roman"/>
                <w:b/>
                <w:bCs/>
                <w:color w:val="auto"/>
                <w:kern w:val="0"/>
                <w:sz w:val="21"/>
                <w:szCs w:val="21"/>
                <w:highlight w:val="none"/>
                <w:lang w:val="en-US" w:eastAsia="zh-CN"/>
              </w:rPr>
              <w:t>6</w:t>
            </w:r>
            <w:r>
              <w:rPr>
                <w:rFonts w:hint="default" w:ascii="Times New Roman" w:hAnsi="Times New Roman" w:eastAsia="仿宋" w:cs="Times New Roman"/>
                <w:b/>
                <w:bCs/>
                <w:color w:val="auto"/>
                <w:kern w:val="0"/>
                <w:sz w:val="21"/>
                <w:szCs w:val="21"/>
                <w:highlight w:val="none"/>
                <w:lang w:val="en-US" w:eastAsia="zh-CN"/>
              </w:rPr>
              <w:t xml:space="preserve">   与《指导意见》符合性分析表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00"/>
              <w:gridCol w:w="4095"/>
              <w:gridCol w:w="1980"/>
              <w:gridCol w:w="626"/>
            </w:tblGrid>
            <w:tr w14:paraId="64E0DD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49" w:hRule="atLeast"/>
                <w:jc w:val="center"/>
              </w:trPr>
              <w:tc>
                <w:tcPr>
                  <w:tcW w:w="410" w:type="pct"/>
                  <w:tcBorders>
                    <w:tl2br w:val="nil"/>
                    <w:tr2bl w:val="nil"/>
                  </w:tcBorders>
                  <w:noWrap w:val="0"/>
                  <w:vAlign w:val="center"/>
                </w:tcPr>
                <w:p w14:paraId="4A4CD1E2">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类别</w:t>
                  </w:r>
                </w:p>
              </w:tc>
              <w:tc>
                <w:tcPr>
                  <w:tcW w:w="2804" w:type="pct"/>
                  <w:tcBorders>
                    <w:tl2br w:val="nil"/>
                    <w:tr2bl w:val="nil"/>
                  </w:tcBorders>
                  <w:noWrap w:val="0"/>
                  <w:vAlign w:val="center"/>
                </w:tcPr>
                <w:p w14:paraId="33F9EB9E">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bCs/>
                      <w:color w:val="auto"/>
                      <w:sz w:val="21"/>
                      <w:szCs w:val="21"/>
                      <w:highlight w:val="none"/>
                    </w:rPr>
                    <w:t>非金属矿行业绿色矿山建设规范</w:t>
                  </w:r>
                </w:p>
              </w:tc>
              <w:tc>
                <w:tcPr>
                  <w:tcW w:w="1355" w:type="pct"/>
                  <w:tcBorders>
                    <w:tl2br w:val="nil"/>
                    <w:tr2bl w:val="nil"/>
                  </w:tcBorders>
                  <w:noWrap w:val="0"/>
                  <w:vAlign w:val="center"/>
                </w:tcPr>
                <w:p w14:paraId="675CF5F7">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本项目情况</w:t>
                  </w:r>
                </w:p>
              </w:tc>
              <w:tc>
                <w:tcPr>
                  <w:tcW w:w="428" w:type="pct"/>
                  <w:tcBorders>
                    <w:tl2br w:val="nil"/>
                    <w:tr2bl w:val="nil"/>
                  </w:tcBorders>
                  <w:noWrap w:val="0"/>
                  <w:vAlign w:val="center"/>
                </w:tcPr>
                <w:p w14:paraId="5E2AAD4D">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符合</w:t>
                  </w:r>
                </w:p>
                <w:p w14:paraId="0248E713">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情况</w:t>
                  </w:r>
                </w:p>
              </w:tc>
            </w:tr>
            <w:tr w14:paraId="27139BF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44" w:hRule="atLeast"/>
                <w:jc w:val="center"/>
              </w:trPr>
              <w:tc>
                <w:tcPr>
                  <w:tcW w:w="410" w:type="pct"/>
                  <w:tcBorders>
                    <w:tl2br w:val="nil"/>
                    <w:tr2bl w:val="nil"/>
                  </w:tcBorders>
                  <w:noWrap w:val="0"/>
                  <w:vAlign w:val="center"/>
                </w:tcPr>
                <w:p w14:paraId="116EAF0A">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全面推动建设绿色矿山</w:t>
                  </w:r>
                </w:p>
              </w:tc>
              <w:tc>
                <w:tcPr>
                  <w:tcW w:w="2804" w:type="pct"/>
                  <w:tcBorders>
                    <w:tl2br w:val="nil"/>
                    <w:tr2bl w:val="nil"/>
                  </w:tcBorders>
                  <w:noWrap w:val="0"/>
                  <w:vAlign w:val="center"/>
                </w:tcPr>
                <w:p w14:paraId="16EE69FB">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严格按照原国土资源部等六部委《关于加快建设绿色矿山的实施意见》（国土资规〔2017〕4号）、《甘肃省绿色矿山建设工作方案》（甘国土资发〔2017〕228号）、《砂石行业绿色矿山建设规范DZ/T0316</w:t>
                  </w:r>
                  <w:r>
                    <w:rPr>
                      <w:rFonts w:hint="eastAsia" w:eastAsia="仿宋"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甘肃省自然资源厅关于打赢蓝天保卫战全面推进露天矿山综合整治的通知》（甘资矿发〔2019〕32号）有关要求，全面推动砂石行业绿色矿山建设工作，实现矿区环境生态化、开采方式科学化、资源利用高效化、管理信息数字化、矿区社区和谐化。采用先进的工艺技术与装备，做到绿色开采、绿色生产、绿色存贮、绿色运输。贯彻“边开采、边恢复、边治理”的原则，严格执行矿山地质环境保护与土地复垦方案。各级自然资源主管部门要把好资源配置关口，提高准入门槛，针对新建砂石料企业，不符合绿色矿山标准的，坚决不予配置矿业权；对已取得矿业权的企业，要求企业按照绿色矿山标准开展建设工作，设定改造期限，用政策手段倒逼企业转型升级，对不符合绿色矿山标准的企业，依法依规有序关闭退出。</w:t>
                  </w:r>
                </w:p>
              </w:tc>
              <w:tc>
                <w:tcPr>
                  <w:tcW w:w="1355" w:type="pct"/>
                  <w:tcBorders>
                    <w:tl2br w:val="nil"/>
                    <w:tr2bl w:val="nil"/>
                  </w:tcBorders>
                  <w:noWrap w:val="0"/>
                  <w:vAlign w:val="center"/>
                </w:tcPr>
                <w:p w14:paraId="20AD0577">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auto"/>
                      <w:kern w:val="0"/>
                      <w:sz w:val="21"/>
                      <w:szCs w:val="21"/>
                      <w:highlight w:val="none"/>
                    </w:rPr>
                  </w:pPr>
                  <w:r>
                    <w:rPr>
                      <w:rFonts w:hint="eastAsia" w:eastAsia="仿宋" w:cs="Times New Roman"/>
                      <w:color w:val="auto"/>
                      <w:kern w:val="0"/>
                      <w:sz w:val="21"/>
                      <w:szCs w:val="21"/>
                      <w:highlight w:val="none"/>
                      <w:lang w:val="en-US" w:eastAsia="zh-CN"/>
                    </w:rPr>
                    <w:t>本</w:t>
                  </w:r>
                  <w:r>
                    <w:rPr>
                      <w:rFonts w:hint="default" w:ascii="Times New Roman" w:hAnsi="Times New Roman" w:eastAsia="仿宋" w:cs="Times New Roman"/>
                      <w:color w:val="auto"/>
                      <w:kern w:val="0"/>
                      <w:sz w:val="21"/>
                      <w:szCs w:val="21"/>
                      <w:highlight w:val="none"/>
                    </w:rPr>
                    <w:t>项目满足</w:t>
                  </w:r>
                  <w:r>
                    <w:rPr>
                      <w:rFonts w:hint="default" w:ascii="Times New Roman" w:hAnsi="Times New Roman" w:eastAsia="仿宋" w:cs="Times New Roman"/>
                      <w:color w:val="auto"/>
                      <w:sz w:val="21"/>
                      <w:szCs w:val="21"/>
                      <w:highlight w:val="none"/>
                    </w:rPr>
                    <w:t>《关于加快建设绿色矿山的实施意见》（国土资规〔2017〕4号）、《甘肃省绿色矿山建设工作方案》（甘国土资发〔2017〕228号）、《砂石行业绿色矿山建设规范DZ/T0316</w:t>
                  </w:r>
                  <w:r>
                    <w:rPr>
                      <w:rFonts w:hint="eastAsia" w:eastAsia="仿宋" w:cs="Times New Roman"/>
                      <w:color w:val="auto"/>
                      <w:sz w:val="21"/>
                      <w:szCs w:val="21"/>
                      <w:highlight w:val="none"/>
                      <w:lang w:eastAsia="zh-CN"/>
                    </w:rPr>
                    <w:t>》《</w:t>
                  </w:r>
                  <w:r>
                    <w:rPr>
                      <w:rFonts w:hint="default" w:ascii="Times New Roman" w:hAnsi="Times New Roman" w:eastAsia="仿宋" w:cs="Times New Roman"/>
                      <w:color w:val="auto"/>
                      <w:sz w:val="21"/>
                      <w:szCs w:val="21"/>
                      <w:highlight w:val="none"/>
                    </w:rPr>
                    <w:t>甘肃省自然资源厅关于打赢蓝天保卫战全面推进露天矿山综合整治的通知》（甘资矿发〔2019〕32号）等有关要求。坚持“边开采、边恢复、边治理”的原则，严格执行矿山地质环境保护与土地复垦方案。</w:t>
                  </w:r>
                </w:p>
              </w:tc>
              <w:tc>
                <w:tcPr>
                  <w:tcW w:w="428" w:type="pct"/>
                  <w:tcBorders>
                    <w:tl2br w:val="nil"/>
                    <w:tr2bl w:val="nil"/>
                  </w:tcBorders>
                  <w:noWrap w:val="0"/>
                  <w:vAlign w:val="center"/>
                </w:tcPr>
                <w:p w14:paraId="5AFA3893">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符合</w:t>
                  </w:r>
                </w:p>
              </w:tc>
            </w:tr>
          </w:tbl>
          <w:p w14:paraId="407E2067">
            <w:pPr>
              <w:keepNext w:val="0"/>
              <w:keepLines w:val="0"/>
              <w:pageBreakBefore w:val="0"/>
              <w:widowControl/>
              <w:suppressLineNumbers w:val="0"/>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仿宋" w:cs="Times New Roman"/>
                <w:b/>
                <w:bCs/>
                <w:color w:val="auto"/>
                <w:kern w:val="0"/>
                <w:sz w:val="24"/>
                <w:szCs w:val="24"/>
                <w:highlight w:val="none"/>
                <w:lang w:val="en-US" w:eastAsia="zh-CN" w:bidi="ar"/>
              </w:rPr>
            </w:pPr>
            <w:r>
              <w:rPr>
                <w:rFonts w:hint="eastAsia" w:eastAsia="仿宋" w:cs="Times New Roman"/>
                <w:b/>
                <w:bCs/>
                <w:color w:val="auto"/>
                <w:kern w:val="0"/>
                <w:sz w:val="24"/>
                <w:szCs w:val="24"/>
                <w:highlight w:val="none"/>
                <w:lang w:val="en-US" w:eastAsia="zh-CN"/>
              </w:rPr>
              <w:t>5.</w:t>
            </w:r>
            <w:r>
              <w:rPr>
                <w:rFonts w:hint="default" w:ascii="Times New Roman" w:hAnsi="Times New Roman" w:eastAsia="仿宋" w:cs="Times New Roman"/>
                <w:b/>
                <w:bCs/>
                <w:color w:val="auto"/>
                <w:kern w:val="0"/>
                <w:sz w:val="24"/>
                <w:szCs w:val="24"/>
                <w:highlight w:val="none"/>
                <w:lang w:val="en-US" w:eastAsia="zh-CN" w:bidi="ar"/>
              </w:rPr>
              <w:t>与《甘肃省生态环境厅自然资源厅关于“举一反三”严格矿产开发生态环境准入的通知（甘环发</w:t>
            </w:r>
            <w:r>
              <w:rPr>
                <w:rFonts w:hint="eastAsia" w:ascii="Times New Roman" w:hAnsi="Times New Roman" w:eastAsia="仿宋" w:cs="Times New Roman"/>
                <w:b/>
                <w:bCs/>
                <w:color w:val="auto"/>
                <w:kern w:val="0"/>
                <w:sz w:val="24"/>
                <w:szCs w:val="24"/>
                <w:highlight w:val="none"/>
                <w:lang w:val="en-US" w:eastAsia="zh-CN" w:bidi="ar"/>
              </w:rPr>
              <w:t>〔2019〕124号</w:t>
            </w:r>
            <w:r>
              <w:rPr>
                <w:rFonts w:hint="default" w:ascii="Times New Roman" w:hAnsi="Times New Roman" w:eastAsia="仿宋" w:cs="Times New Roman"/>
                <w:b/>
                <w:bCs/>
                <w:color w:val="auto"/>
                <w:kern w:val="0"/>
                <w:sz w:val="24"/>
                <w:szCs w:val="24"/>
                <w:highlight w:val="none"/>
                <w:lang w:val="en-US" w:eastAsia="zh-CN" w:bidi="ar"/>
              </w:rPr>
              <w:t>）》符合性分析</w:t>
            </w:r>
          </w:p>
          <w:p w14:paraId="693A0B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
                <w:bCs/>
                <w:color w:val="auto"/>
                <w:kern w:val="0"/>
                <w:sz w:val="21"/>
                <w:szCs w:val="21"/>
                <w:highlight w:val="none"/>
                <w:lang w:val="en-US" w:eastAsia="zh-CN"/>
              </w:rPr>
            </w:pPr>
            <w:r>
              <w:rPr>
                <w:rFonts w:hint="default" w:ascii="Times New Roman" w:hAnsi="Times New Roman" w:eastAsia="仿宋" w:cs="Times New Roman"/>
                <w:b/>
                <w:bCs/>
                <w:color w:val="auto"/>
                <w:kern w:val="0"/>
                <w:sz w:val="21"/>
                <w:szCs w:val="21"/>
                <w:highlight w:val="none"/>
                <w:lang w:val="en-US" w:eastAsia="zh-CN"/>
              </w:rPr>
              <w:t>表</w:t>
            </w:r>
            <w:r>
              <w:rPr>
                <w:rFonts w:hint="eastAsia" w:eastAsia="仿宋" w:cs="Times New Roman"/>
                <w:b/>
                <w:bCs/>
                <w:color w:val="auto"/>
                <w:kern w:val="0"/>
                <w:sz w:val="21"/>
                <w:szCs w:val="21"/>
                <w:highlight w:val="none"/>
                <w:lang w:val="en-US" w:eastAsia="zh-CN"/>
              </w:rPr>
              <w:t>7</w:t>
            </w:r>
            <w:r>
              <w:rPr>
                <w:rFonts w:hint="eastAsia" w:ascii="Times New Roman" w:hAnsi="Times New Roman" w:eastAsia="仿宋" w:cs="Times New Roman"/>
                <w:b/>
                <w:bCs/>
                <w:color w:val="auto"/>
                <w:kern w:val="0"/>
                <w:sz w:val="21"/>
                <w:szCs w:val="21"/>
                <w:highlight w:val="none"/>
                <w:lang w:val="en-US" w:eastAsia="zh-CN"/>
              </w:rPr>
              <w:t xml:space="preserve">  </w:t>
            </w:r>
            <w:r>
              <w:rPr>
                <w:rFonts w:hint="default" w:ascii="Times New Roman" w:hAnsi="Times New Roman" w:eastAsia="仿宋" w:cs="Times New Roman"/>
                <w:b/>
                <w:bCs/>
                <w:color w:val="auto"/>
                <w:kern w:val="0"/>
                <w:sz w:val="21"/>
                <w:szCs w:val="21"/>
                <w:highlight w:val="none"/>
                <w:lang w:val="en-US" w:eastAsia="zh-CN"/>
              </w:rPr>
              <w:t>与《甘肃省生态环境厅自然资源厅关于“举一反三”严格矿产开发生态环境准入的通知》符合性分析一览表</w:t>
            </w:r>
          </w:p>
          <w:tbl>
            <w:tblPr>
              <w:tblStyle w:val="24"/>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350"/>
              <w:gridCol w:w="2510"/>
              <w:gridCol w:w="801"/>
            </w:tblGrid>
            <w:tr w14:paraId="6A3D11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dxa"/>
                  <w:tcBorders>
                    <w:tl2br w:val="nil"/>
                    <w:tr2bl w:val="nil"/>
                  </w:tcBorders>
                  <w:noWrap w:val="0"/>
                  <w:vAlign w:val="center"/>
                </w:tcPr>
                <w:p w14:paraId="3183084B">
                  <w:pPr>
                    <w:pStyle w:val="13"/>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序号</w:t>
                  </w:r>
                </w:p>
              </w:tc>
              <w:tc>
                <w:tcPr>
                  <w:tcW w:w="3350" w:type="dxa"/>
                  <w:tcBorders>
                    <w:tl2br w:val="nil"/>
                    <w:tr2bl w:val="nil"/>
                  </w:tcBorders>
                  <w:noWrap w:val="0"/>
                  <w:vAlign w:val="center"/>
                </w:tcPr>
                <w:p w14:paraId="776ADBF8">
                  <w:pPr>
                    <w:pStyle w:val="13"/>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相关规定</w:t>
                  </w:r>
                </w:p>
              </w:tc>
              <w:tc>
                <w:tcPr>
                  <w:tcW w:w="2510" w:type="dxa"/>
                  <w:tcBorders>
                    <w:tl2br w:val="nil"/>
                    <w:tr2bl w:val="nil"/>
                  </w:tcBorders>
                  <w:noWrap w:val="0"/>
                  <w:vAlign w:val="center"/>
                </w:tcPr>
                <w:p w14:paraId="2AC0B4D4">
                  <w:pPr>
                    <w:pStyle w:val="13"/>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本项目情况</w:t>
                  </w:r>
                </w:p>
              </w:tc>
              <w:tc>
                <w:tcPr>
                  <w:tcW w:w="801" w:type="dxa"/>
                  <w:tcBorders>
                    <w:tl2br w:val="nil"/>
                    <w:tr2bl w:val="nil"/>
                  </w:tcBorders>
                  <w:noWrap w:val="0"/>
                  <w:vAlign w:val="center"/>
                </w:tcPr>
                <w:p w14:paraId="2F94A64A">
                  <w:pPr>
                    <w:pStyle w:val="13"/>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default" w:ascii="Times New Roman" w:hAnsi="Times New Roman" w:eastAsia="仿宋" w:cs="Times New Roman"/>
                      <w:color w:val="auto"/>
                      <w:sz w:val="21"/>
                      <w:szCs w:val="21"/>
                      <w:highlight w:val="none"/>
                      <w:vertAlign w:val="baseline"/>
                      <w:lang w:val="en-US" w:eastAsia="zh-CN"/>
                    </w:rPr>
                    <w:t>符合性</w:t>
                  </w:r>
                </w:p>
              </w:tc>
            </w:tr>
            <w:tr w14:paraId="58A5F2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dxa"/>
                  <w:tcBorders>
                    <w:tl2br w:val="nil"/>
                    <w:tr2bl w:val="nil"/>
                  </w:tcBorders>
                  <w:noWrap w:val="0"/>
                  <w:vAlign w:val="center"/>
                </w:tcPr>
                <w:p w14:paraId="65E00303">
                  <w:pPr>
                    <w:pStyle w:val="13"/>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eastAsia" w:ascii="Times New Roman" w:eastAsia="仿宋" w:cs="Times New Roman"/>
                      <w:color w:val="auto"/>
                      <w:sz w:val="21"/>
                      <w:szCs w:val="21"/>
                      <w:highlight w:val="none"/>
                      <w:vertAlign w:val="baseline"/>
                      <w:lang w:val="en-US" w:eastAsia="zh-CN"/>
                    </w:rPr>
                    <w:t>1</w:t>
                  </w:r>
                </w:p>
              </w:tc>
              <w:tc>
                <w:tcPr>
                  <w:tcW w:w="3350" w:type="dxa"/>
                  <w:tcBorders>
                    <w:tl2br w:val="nil"/>
                    <w:tr2bl w:val="nil"/>
                  </w:tcBorders>
                  <w:noWrap w:val="0"/>
                  <w:vAlign w:val="center"/>
                </w:tcPr>
                <w:p w14:paraId="2899F41C">
                  <w:pPr>
                    <w:keepNext w:val="0"/>
                    <w:keepLines w:val="0"/>
                    <w:pageBreakBefore w:val="0"/>
                    <w:widowControl/>
                    <w:suppressLineNumbers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auto"/>
                      <w:sz w:val="21"/>
                      <w:szCs w:val="21"/>
                      <w:highlight w:val="none"/>
                      <w:vertAlign w:val="baseline"/>
                    </w:rPr>
                  </w:pPr>
                  <w:r>
                    <w:rPr>
                      <w:rFonts w:hint="default" w:ascii="Times New Roman" w:hAnsi="Times New Roman" w:eastAsia="仿宋" w:cs="Times New Roman"/>
                      <w:color w:val="auto"/>
                      <w:kern w:val="0"/>
                      <w:sz w:val="21"/>
                      <w:szCs w:val="21"/>
                      <w:highlight w:val="none"/>
                      <w:lang w:val="en-US" w:eastAsia="zh-CN" w:bidi="ar"/>
                    </w:rPr>
                    <w:t>环评在受理和审批前原则上应取得产业主管部门的备案或核准文件。</w:t>
                  </w:r>
                </w:p>
              </w:tc>
              <w:tc>
                <w:tcPr>
                  <w:tcW w:w="2510" w:type="dxa"/>
                  <w:tcBorders>
                    <w:tl2br w:val="nil"/>
                    <w:tr2bl w:val="nil"/>
                  </w:tcBorders>
                  <w:noWrap w:val="0"/>
                  <w:vAlign w:val="center"/>
                </w:tcPr>
                <w:p w14:paraId="0693375F">
                  <w:pPr>
                    <w:pStyle w:val="13"/>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auto"/>
                      <w:sz w:val="21"/>
                      <w:szCs w:val="21"/>
                      <w:highlight w:val="none"/>
                      <w:vertAlign w:val="baseline"/>
                    </w:rPr>
                  </w:pPr>
                  <w:r>
                    <w:rPr>
                      <w:rFonts w:hint="default" w:ascii="Times New Roman" w:hAnsi="Times New Roman" w:eastAsia="仿宋" w:cs="Times New Roman"/>
                      <w:color w:val="auto"/>
                      <w:sz w:val="21"/>
                      <w:szCs w:val="21"/>
                      <w:highlight w:val="none"/>
                      <w:vertAlign w:val="baseline"/>
                    </w:rPr>
                    <w:t>本项目</w:t>
                  </w:r>
                  <w:r>
                    <w:rPr>
                      <w:rFonts w:hint="default" w:ascii="Times New Roman" w:hAnsi="Times New Roman" w:eastAsia="仿宋" w:cs="Times New Roman"/>
                      <w:color w:val="auto"/>
                      <w:sz w:val="21"/>
                      <w:szCs w:val="21"/>
                      <w:highlight w:val="none"/>
                      <w:vertAlign w:val="baseline"/>
                      <w:lang w:val="en-US" w:eastAsia="zh-CN"/>
                    </w:rPr>
                    <w:t>已取得</w:t>
                  </w:r>
                  <w:r>
                    <w:rPr>
                      <w:rFonts w:hint="eastAsia" w:ascii="Times New Roman" w:eastAsia="仿宋" w:cs="Times New Roman"/>
                      <w:color w:val="auto"/>
                      <w:sz w:val="21"/>
                      <w:szCs w:val="21"/>
                      <w:highlight w:val="none"/>
                      <w:vertAlign w:val="baseline"/>
                      <w:lang w:val="en-US" w:eastAsia="zh-CN"/>
                    </w:rPr>
                    <w:t>张掖市自然资源局</w:t>
                  </w:r>
                  <w:r>
                    <w:rPr>
                      <w:rFonts w:hint="default" w:ascii="Times New Roman" w:hAnsi="Times New Roman" w:eastAsia="仿宋" w:cs="Times New Roman"/>
                      <w:color w:val="auto"/>
                      <w:sz w:val="21"/>
                      <w:szCs w:val="21"/>
                      <w:highlight w:val="none"/>
                      <w:vertAlign w:val="baseline"/>
                      <w:lang w:val="en-US" w:eastAsia="zh-CN"/>
                    </w:rPr>
                    <w:t>采矿许可证</w:t>
                  </w:r>
                  <w:r>
                    <w:rPr>
                      <w:rFonts w:hint="default" w:ascii="Times New Roman" w:hAnsi="Times New Roman" w:eastAsia="仿宋" w:cs="Times New Roman"/>
                      <w:color w:val="auto"/>
                      <w:sz w:val="21"/>
                      <w:szCs w:val="21"/>
                      <w:highlight w:val="none"/>
                      <w:vertAlign w:val="baseline"/>
                    </w:rPr>
                    <w:t>。</w:t>
                  </w:r>
                </w:p>
              </w:tc>
              <w:tc>
                <w:tcPr>
                  <w:tcW w:w="801" w:type="dxa"/>
                  <w:tcBorders>
                    <w:tl2br w:val="nil"/>
                    <w:tr2bl w:val="nil"/>
                  </w:tcBorders>
                  <w:noWrap w:val="0"/>
                  <w:vAlign w:val="center"/>
                </w:tcPr>
                <w:p w14:paraId="481DA190">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sz w:val="21"/>
                      <w:szCs w:val="21"/>
                      <w:highlight w:val="none"/>
                      <w:vertAlign w:val="baseline"/>
                    </w:rPr>
                  </w:pPr>
                  <w:r>
                    <w:rPr>
                      <w:rFonts w:hint="default" w:ascii="Times New Roman" w:hAnsi="Times New Roman" w:eastAsia="仿宋" w:cs="Times New Roman"/>
                      <w:color w:val="auto"/>
                      <w:sz w:val="21"/>
                      <w:szCs w:val="21"/>
                      <w:highlight w:val="none"/>
                      <w:vertAlign w:val="baseline"/>
                      <w:lang w:val="en-US" w:eastAsia="zh-CN"/>
                    </w:rPr>
                    <w:t>符合</w:t>
                  </w:r>
                </w:p>
              </w:tc>
            </w:tr>
            <w:tr w14:paraId="5F15680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dxa"/>
                  <w:tcBorders>
                    <w:tl2br w:val="nil"/>
                    <w:tr2bl w:val="nil"/>
                  </w:tcBorders>
                  <w:noWrap w:val="0"/>
                  <w:vAlign w:val="center"/>
                </w:tcPr>
                <w:p w14:paraId="634925A4">
                  <w:pPr>
                    <w:pStyle w:val="13"/>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eastAsia" w:ascii="Times New Roman" w:eastAsia="仿宋" w:cs="Times New Roman"/>
                      <w:color w:val="auto"/>
                      <w:sz w:val="21"/>
                      <w:szCs w:val="21"/>
                      <w:highlight w:val="none"/>
                      <w:vertAlign w:val="baseline"/>
                      <w:lang w:val="en-US" w:eastAsia="zh-CN"/>
                    </w:rPr>
                    <w:t>2</w:t>
                  </w:r>
                </w:p>
              </w:tc>
              <w:tc>
                <w:tcPr>
                  <w:tcW w:w="3350" w:type="dxa"/>
                  <w:tcBorders>
                    <w:tl2br w:val="nil"/>
                    <w:tr2bl w:val="nil"/>
                  </w:tcBorders>
                  <w:noWrap w:val="0"/>
                  <w:vAlign w:val="center"/>
                </w:tcPr>
                <w:p w14:paraId="13A7D63A">
                  <w:pPr>
                    <w:pStyle w:val="13"/>
                    <w:keepNext w:val="0"/>
                    <w:keepLines w:val="0"/>
                    <w:pageBreakBefore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auto"/>
                      <w:sz w:val="21"/>
                      <w:szCs w:val="21"/>
                      <w:highlight w:val="none"/>
                      <w:vertAlign w:val="baseline"/>
                    </w:rPr>
                  </w:pPr>
                  <w:r>
                    <w:rPr>
                      <w:rFonts w:hint="default" w:ascii="Times New Roman" w:hAnsi="Times New Roman" w:eastAsia="仿宋" w:cs="Times New Roman"/>
                      <w:color w:val="auto"/>
                      <w:sz w:val="21"/>
                      <w:szCs w:val="21"/>
                      <w:highlight w:val="none"/>
                      <w:vertAlign w:val="baseline"/>
                    </w:rPr>
                    <w:t>应严格按照自然资源部门编审要求编制和审查矿产资源开发利用、矿山地质环境保护与治理恢复、土地复垦方案（内容），矿产资源开发利用项目，环评报告原则上应在编制完成矿产资源开发利用方案或</w:t>
                  </w:r>
                  <w:r>
                    <w:rPr>
                      <w:rFonts w:hint="eastAsia" w:ascii="Times New Roman" w:hAnsi="Times New Roman" w:eastAsia="仿宋" w:cs="Times New Roman"/>
                      <w:color w:val="auto"/>
                      <w:sz w:val="21"/>
                      <w:szCs w:val="21"/>
                      <w:highlight w:val="none"/>
                      <w:vertAlign w:val="baseline"/>
                      <w:lang w:eastAsia="zh-CN"/>
                    </w:rPr>
                    <w:t>矿产资源开采与生态修复方案</w:t>
                  </w:r>
                  <w:r>
                    <w:rPr>
                      <w:rFonts w:hint="default" w:ascii="Times New Roman" w:hAnsi="Times New Roman" w:eastAsia="仿宋" w:cs="Times New Roman"/>
                      <w:color w:val="auto"/>
                      <w:sz w:val="21"/>
                      <w:szCs w:val="21"/>
                      <w:highlight w:val="none"/>
                      <w:vertAlign w:val="baseline"/>
                    </w:rPr>
                    <w:t>并通过专家审查后受理。</w:t>
                  </w:r>
                </w:p>
              </w:tc>
              <w:tc>
                <w:tcPr>
                  <w:tcW w:w="2510" w:type="dxa"/>
                  <w:tcBorders>
                    <w:tl2br w:val="nil"/>
                    <w:tr2bl w:val="nil"/>
                  </w:tcBorders>
                  <w:noWrap w:val="0"/>
                  <w:vAlign w:val="center"/>
                </w:tcPr>
                <w:p w14:paraId="7EE43293">
                  <w:pPr>
                    <w:pStyle w:val="13"/>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auto"/>
                      <w:sz w:val="21"/>
                      <w:szCs w:val="21"/>
                      <w:highlight w:val="none"/>
                      <w:vertAlign w:val="baseline"/>
                      <w:lang w:eastAsia="zh-CN"/>
                    </w:rPr>
                  </w:pPr>
                  <w:r>
                    <w:rPr>
                      <w:rFonts w:hint="default" w:ascii="Times New Roman" w:hAnsi="Times New Roman" w:eastAsia="仿宋" w:cs="Times New Roman"/>
                      <w:color w:val="auto"/>
                      <w:sz w:val="21"/>
                      <w:szCs w:val="21"/>
                      <w:highlight w:val="none"/>
                      <w:vertAlign w:val="baseline"/>
                      <w:lang w:val="en-US" w:eastAsia="zh-CN"/>
                    </w:rPr>
                    <w:t>本项目</w:t>
                  </w:r>
                  <w:r>
                    <w:rPr>
                      <w:rFonts w:hint="eastAsia" w:ascii="Times New Roman" w:hAnsi="Times New Roman" w:eastAsia="仿宋" w:cs="Times New Roman"/>
                      <w:color w:val="auto"/>
                      <w:sz w:val="21"/>
                      <w:szCs w:val="21"/>
                      <w:highlight w:val="none"/>
                      <w:vertAlign w:val="baseline"/>
                      <w:lang w:val="en-US" w:eastAsia="zh-CN"/>
                    </w:rPr>
                    <w:t>《临泽县金源矿业有限责任公司平川镇羊圈湾冶金用石英岩矿开采方案与矿区生态修复方案》</w:t>
                  </w:r>
                  <w:r>
                    <w:rPr>
                      <w:rFonts w:hint="default" w:ascii="Times New Roman" w:hAnsi="Times New Roman" w:eastAsia="仿宋" w:cs="Times New Roman"/>
                      <w:color w:val="auto"/>
                      <w:sz w:val="21"/>
                      <w:szCs w:val="21"/>
                      <w:highlight w:val="none"/>
                      <w:vertAlign w:val="baseline"/>
                      <w:lang w:val="en-US" w:eastAsia="zh-CN"/>
                    </w:rPr>
                    <w:t>已编制完成并通过专家审查</w:t>
                  </w:r>
                  <w:r>
                    <w:rPr>
                      <w:rFonts w:hint="default" w:ascii="Times New Roman" w:hAnsi="Times New Roman" w:eastAsia="仿宋" w:cs="Times New Roman"/>
                      <w:color w:val="auto"/>
                      <w:sz w:val="21"/>
                      <w:szCs w:val="21"/>
                      <w:highlight w:val="none"/>
                      <w:vertAlign w:val="baseline"/>
                      <w:lang w:eastAsia="zh-CN"/>
                    </w:rPr>
                    <w:t>。</w:t>
                  </w:r>
                </w:p>
              </w:tc>
              <w:tc>
                <w:tcPr>
                  <w:tcW w:w="801" w:type="dxa"/>
                  <w:tcBorders>
                    <w:tl2br w:val="nil"/>
                    <w:tr2bl w:val="nil"/>
                  </w:tcBorders>
                  <w:noWrap w:val="0"/>
                  <w:vAlign w:val="center"/>
                </w:tcPr>
                <w:p w14:paraId="63421235">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sz w:val="21"/>
                      <w:szCs w:val="21"/>
                      <w:highlight w:val="none"/>
                      <w:vertAlign w:val="baseline"/>
                    </w:rPr>
                  </w:pPr>
                  <w:r>
                    <w:rPr>
                      <w:rFonts w:hint="default" w:ascii="Times New Roman" w:hAnsi="Times New Roman" w:eastAsia="仿宋" w:cs="Times New Roman"/>
                      <w:color w:val="auto"/>
                      <w:sz w:val="21"/>
                      <w:szCs w:val="21"/>
                      <w:highlight w:val="none"/>
                      <w:vertAlign w:val="baseline"/>
                      <w:lang w:val="en-US" w:eastAsia="zh-CN"/>
                    </w:rPr>
                    <w:t>符合</w:t>
                  </w:r>
                </w:p>
              </w:tc>
            </w:tr>
            <w:tr w14:paraId="694930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dxa"/>
                  <w:tcBorders>
                    <w:tl2br w:val="nil"/>
                    <w:tr2bl w:val="nil"/>
                  </w:tcBorders>
                  <w:noWrap w:val="0"/>
                  <w:vAlign w:val="center"/>
                </w:tcPr>
                <w:p w14:paraId="6D6EF957">
                  <w:pPr>
                    <w:pStyle w:val="13"/>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sz w:val="21"/>
                      <w:szCs w:val="21"/>
                      <w:highlight w:val="none"/>
                      <w:vertAlign w:val="baseline"/>
                      <w:lang w:val="en-US" w:eastAsia="zh-CN"/>
                    </w:rPr>
                  </w:pPr>
                  <w:r>
                    <w:rPr>
                      <w:rFonts w:hint="eastAsia" w:ascii="Times New Roman" w:eastAsia="仿宋" w:cs="Times New Roman"/>
                      <w:color w:val="auto"/>
                      <w:sz w:val="21"/>
                      <w:szCs w:val="21"/>
                      <w:highlight w:val="none"/>
                      <w:vertAlign w:val="baseline"/>
                      <w:lang w:val="en-US" w:eastAsia="zh-CN"/>
                    </w:rPr>
                    <w:t>3</w:t>
                  </w:r>
                </w:p>
              </w:tc>
              <w:tc>
                <w:tcPr>
                  <w:tcW w:w="3350" w:type="dxa"/>
                  <w:tcBorders>
                    <w:tl2br w:val="nil"/>
                    <w:tr2bl w:val="nil"/>
                  </w:tcBorders>
                  <w:noWrap w:val="0"/>
                  <w:vAlign w:val="center"/>
                </w:tcPr>
                <w:p w14:paraId="7E5C8FBD">
                  <w:pPr>
                    <w:pStyle w:val="13"/>
                    <w:keepNext w:val="0"/>
                    <w:keepLines w:val="0"/>
                    <w:pageBreakBefore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auto"/>
                      <w:sz w:val="21"/>
                      <w:szCs w:val="21"/>
                      <w:highlight w:val="none"/>
                      <w:vertAlign w:val="baseline"/>
                    </w:rPr>
                  </w:pPr>
                  <w:r>
                    <w:rPr>
                      <w:rFonts w:hint="default" w:ascii="Times New Roman" w:hAnsi="Times New Roman" w:eastAsia="仿宋" w:cs="Times New Roman"/>
                      <w:color w:val="auto"/>
                      <w:sz w:val="21"/>
                      <w:szCs w:val="21"/>
                      <w:highlight w:val="none"/>
                      <w:vertAlign w:val="baseline"/>
                    </w:rPr>
                    <w:t>环评报告应结合矿产资源开发利用方案、矿山地质环境保护与治理恢复方案、土地复垦方案或</w:t>
                  </w:r>
                  <w:r>
                    <w:rPr>
                      <w:rFonts w:hint="eastAsia" w:ascii="Times New Roman" w:hAnsi="Times New Roman" w:eastAsia="仿宋" w:cs="Times New Roman"/>
                      <w:color w:val="auto"/>
                      <w:sz w:val="21"/>
                      <w:szCs w:val="21"/>
                      <w:highlight w:val="none"/>
                      <w:vertAlign w:val="baseline"/>
                      <w:lang w:eastAsia="zh-CN"/>
                    </w:rPr>
                    <w:t>矿产资源开采与生态修复方案</w:t>
                  </w:r>
                  <w:r>
                    <w:rPr>
                      <w:rFonts w:hint="default" w:ascii="Times New Roman" w:hAnsi="Times New Roman" w:eastAsia="仿宋" w:cs="Times New Roman"/>
                      <w:color w:val="auto"/>
                      <w:sz w:val="21"/>
                      <w:szCs w:val="21"/>
                      <w:highlight w:val="none"/>
                      <w:vertAlign w:val="baseline"/>
                    </w:rPr>
                    <w:t>中矿山地质环境保护与治理恢复、土地复垦相关措施和要求，提出生态恢复治理措施，并厘清各项投资。</w:t>
                  </w:r>
                </w:p>
              </w:tc>
              <w:tc>
                <w:tcPr>
                  <w:tcW w:w="2510" w:type="dxa"/>
                  <w:tcBorders>
                    <w:tl2br w:val="nil"/>
                    <w:tr2bl w:val="nil"/>
                  </w:tcBorders>
                  <w:noWrap w:val="0"/>
                  <w:vAlign w:val="center"/>
                </w:tcPr>
                <w:p w14:paraId="765D6318">
                  <w:pPr>
                    <w:pStyle w:val="13"/>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auto"/>
                      <w:sz w:val="21"/>
                      <w:szCs w:val="21"/>
                      <w:highlight w:val="none"/>
                      <w:vertAlign w:val="baseline"/>
                    </w:rPr>
                  </w:pPr>
                  <w:r>
                    <w:rPr>
                      <w:rFonts w:hint="default" w:ascii="Times New Roman" w:hAnsi="Times New Roman" w:eastAsia="仿宋" w:cs="Times New Roman"/>
                      <w:color w:val="auto"/>
                      <w:sz w:val="21"/>
                      <w:szCs w:val="21"/>
                      <w:highlight w:val="none"/>
                      <w:vertAlign w:val="baseline"/>
                    </w:rPr>
                    <w:t>环评报告结合</w:t>
                  </w:r>
                  <w:r>
                    <w:rPr>
                      <w:rFonts w:hint="eastAsia" w:ascii="Times New Roman" w:hAnsi="Times New Roman" w:eastAsia="仿宋" w:cs="Times New Roman"/>
                      <w:color w:val="auto"/>
                      <w:sz w:val="21"/>
                      <w:szCs w:val="21"/>
                      <w:highlight w:val="none"/>
                      <w:vertAlign w:val="baseline"/>
                      <w:lang w:val="en-US" w:eastAsia="zh-CN"/>
                    </w:rPr>
                    <w:t>《临泽县金源矿业有限责任公司平川镇羊圈湾冶金用石英岩矿开采方案与矿区生态修复方案》</w:t>
                  </w:r>
                  <w:r>
                    <w:rPr>
                      <w:rFonts w:hint="default" w:ascii="Times New Roman" w:hAnsi="Times New Roman" w:eastAsia="仿宋" w:cs="Times New Roman"/>
                      <w:color w:val="auto"/>
                      <w:sz w:val="21"/>
                      <w:szCs w:val="21"/>
                      <w:highlight w:val="none"/>
                      <w:vertAlign w:val="baseline"/>
                    </w:rPr>
                    <w:t>，提出生态恢复治理措施，并说明了生态恢复治理投资。</w:t>
                  </w:r>
                </w:p>
              </w:tc>
              <w:tc>
                <w:tcPr>
                  <w:tcW w:w="801" w:type="dxa"/>
                  <w:tcBorders>
                    <w:tl2br w:val="nil"/>
                    <w:tr2bl w:val="nil"/>
                  </w:tcBorders>
                  <w:noWrap w:val="0"/>
                  <w:vAlign w:val="center"/>
                </w:tcPr>
                <w:p w14:paraId="4429DF8E">
                  <w:pPr>
                    <w:keepNext w:val="0"/>
                    <w:keepLines w:val="0"/>
                    <w:pageBreakBefore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auto"/>
                      <w:sz w:val="21"/>
                      <w:szCs w:val="21"/>
                      <w:highlight w:val="none"/>
                      <w:vertAlign w:val="baseline"/>
                    </w:rPr>
                  </w:pPr>
                  <w:r>
                    <w:rPr>
                      <w:rFonts w:hint="default" w:ascii="Times New Roman" w:hAnsi="Times New Roman" w:eastAsia="仿宋" w:cs="Times New Roman"/>
                      <w:color w:val="auto"/>
                      <w:sz w:val="21"/>
                      <w:szCs w:val="21"/>
                      <w:highlight w:val="none"/>
                      <w:vertAlign w:val="baseline"/>
                      <w:lang w:val="en-US" w:eastAsia="zh-CN"/>
                    </w:rPr>
                    <w:t>符合</w:t>
                  </w:r>
                </w:p>
              </w:tc>
            </w:tr>
          </w:tbl>
          <w:p w14:paraId="26226B32">
            <w:pPr>
              <w:keepNext w:val="0"/>
              <w:keepLines w:val="0"/>
              <w:pageBreakBefore w:val="0"/>
              <w:widowControl/>
              <w:kinsoku/>
              <w:wordWrap/>
              <w:overflowPunct/>
              <w:topLinePunct w:val="0"/>
              <w:autoSpaceDE/>
              <w:autoSpaceDN/>
              <w:bidi w:val="0"/>
              <w:adjustRightInd w:val="0"/>
              <w:snapToGrid w:val="0"/>
              <w:spacing w:before="157" w:beforeLines="50" w:line="360" w:lineRule="auto"/>
              <w:ind w:firstLine="482" w:firstLineChars="200"/>
              <w:textAlignment w:val="auto"/>
              <w:rPr>
                <w:rFonts w:hint="default" w:eastAsia="仿宋"/>
                <w:b/>
                <w:bCs/>
                <w:color w:val="000000"/>
                <w:spacing w:val="6"/>
                <w:sz w:val="24"/>
                <w:lang w:val="en-US"/>
              </w:rPr>
            </w:pPr>
            <w:r>
              <w:rPr>
                <w:rFonts w:hint="eastAsia" w:eastAsia="仿宋" w:cs="Times New Roman"/>
                <w:b/>
                <w:bCs/>
                <w:color w:val="auto"/>
                <w:kern w:val="0"/>
                <w:sz w:val="24"/>
                <w:szCs w:val="24"/>
                <w:highlight w:val="none"/>
                <w:lang w:val="en-US" w:eastAsia="zh-CN" w:bidi="ar"/>
              </w:rPr>
              <w:t>6.</w:t>
            </w:r>
            <w:r>
              <w:rPr>
                <w:rFonts w:hint="eastAsia" w:eastAsia="仿宋"/>
                <w:b/>
                <w:bCs/>
                <w:color w:val="000000"/>
                <w:spacing w:val="6"/>
                <w:sz w:val="24"/>
                <w:lang w:val="en-US" w:eastAsia="zh-CN"/>
              </w:rPr>
              <w:t>与</w:t>
            </w:r>
            <w:r>
              <w:rPr>
                <w:rFonts w:hint="eastAsia" w:eastAsia="仿宋"/>
                <w:b/>
                <w:bCs/>
                <w:color w:val="000000"/>
                <w:spacing w:val="6"/>
                <w:sz w:val="24"/>
                <w:lang w:eastAsia="zh-CN"/>
              </w:rPr>
              <w:t>《</w:t>
            </w:r>
            <w:r>
              <w:rPr>
                <w:rFonts w:hint="eastAsia" w:eastAsia="仿宋"/>
                <w:b/>
                <w:bCs/>
                <w:color w:val="000000"/>
                <w:spacing w:val="6"/>
                <w:sz w:val="24"/>
                <w:lang w:val="en-US" w:eastAsia="zh-CN"/>
              </w:rPr>
              <w:t>甘肃省高质量推进绿色矿山建设实施方案（2021-2025）</w:t>
            </w:r>
            <w:r>
              <w:rPr>
                <w:rFonts w:hint="eastAsia" w:eastAsia="仿宋"/>
                <w:b/>
                <w:bCs/>
                <w:color w:val="000000"/>
                <w:spacing w:val="6"/>
                <w:sz w:val="24"/>
                <w:lang w:eastAsia="zh-CN"/>
              </w:rPr>
              <w:t>》</w:t>
            </w:r>
            <w:r>
              <w:rPr>
                <w:rFonts w:hint="eastAsia" w:eastAsia="仿宋"/>
                <w:b/>
                <w:bCs/>
                <w:color w:val="000000"/>
                <w:spacing w:val="6"/>
                <w:sz w:val="24"/>
                <w:lang w:val="en-US" w:eastAsia="zh-CN"/>
              </w:rPr>
              <w:t>符合性分析</w:t>
            </w:r>
          </w:p>
          <w:p w14:paraId="50C3BA5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根据《甘肃省高质量推进绿色矿山建设实施方案（</w:t>
            </w:r>
            <w:r>
              <w:rPr>
                <w:rFonts w:hint="default" w:ascii="Times New Roman" w:hAnsi="Times New Roman" w:eastAsia="仿宋" w:cs="Times New Roman"/>
                <w:color w:val="000000"/>
                <w:sz w:val="24"/>
                <w:lang w:val="en-US" w:eastAsia="zh-CN"/>
              </w:rPr>
              <w:t>2021</w:t>
            </w:r>
            <w:r>
              <w:rPr>
                <w:rFonts w:hint="eastAsia" w:eastAsia="仿宋" w:cs="Times New Roman"/>
                <w:color w:val="000000"/>
                <w:sz w:val="24"/>
                <w:lang w:val="en-US" w:eastAsia="zh-CN"/>
              </w:rPr>
              <w:t>-</w:t>
            </w:r>
            <w:r>
              <w:rPr>
                <w:rFonts w:hint="default" w:ascii="Times New Roman" w:hAnsi="Times New Roman" w:eastAsia="仿宋" w:cs="Times New Roman"/>
                <w:color w:val="000000"/>
                <w:sz w:val="24"/>
                <w:lang w:val="en-US" w:eastAsia="zh-CN"/>
              </w:rPr>
              <w:t>2025</w:t>
            </w:r>
            <w:r>
              <w:rPr>
                <w:rFonts w:hint="eastAsia" w:ascii="Times New Roman" w:hAnsi="Times New Roman" w:eastAsia="仿宋" w:cs="Times New Roman"/>
                <w:color w:val="000000"/>
                <w:sz w:val="24"/>
                <w:lang w:val="en-US" w:eastAsia="zh-CN"/>
              </w:rPr>
              <w:t>年）》（甘资字〔</w:t>
            </w:r>
            <w:r>
              <w:rPr>
                <w:rFonts w:hint="default" w:ascii="Times New Roman" w:hAnsi="Times New Roman" w:eastAsia="仿宋" w:cs="Times New Roman"/>
                <w:color w:val="000000"/>
                <w:sz w:val="24"/>
                <w:lang w:val="en-US" w:eastAsia="zh-CN"/>
              </w:rPr>
              <w:t>2023</w:t>
            </w:r>
            <w:r>
              <w:rPr>
                <w:rFonts w:hint="eastAsia" w:ascii="Times New Roman" w:hAnsi="Times New Roman" w:eastAsia="仿宋" w:cs="Times New Roman"/>
                <w:color w:val="000000"/>
                <w:sz w:val="24"/>
                <w:lang w:val="en-US" w:eastAsia="zh-CN"/>
              </w:rPr>
              <w:t>〕</w:t>
            </w:r>
            <w:r>
              <w:rPr>
                <w:rFonts w:hint="default" w:ascii="Times New Roman" w:hAnsi="Times New Roman" w:eastAsia="仿宋" w:cs="Times New Roman"/>
                <w:color w:val="000000"/>
                <w:sz w:val="24"/>
                <w:lang w:val="en-US" w:eastAsia="zh-CN"/>
              </w:rPr>
              <w:t>11</w:t>
            </w:r>
            <w:r>
              <w:rPr>
                <w:rFonts w:hint="eastAsia" w:ascii="Times New Roman" w:hAnsi="Times New Roman" w:eastAsia="仿宋" w:cs="Times New Roman"/>
                <w:color w:val="000000"/>
                <w:sz w:val="24"/>
                <w:lang w:val="en-US" w:eastAsia="zh-CN"/>
              </w:rPr>
              <w:t xml:space="preserve">号）提出：“加强资源综合利用率。严格落实矿产资源合理开发利用‘三率’最低指标要求，指导督促矿山企业选择先进生产工艺和高效设备，禁止采用淘汰类技术、材料和设备，逐步提高矿山‘三率’水平。加强矿山生态保护修复。引导矿山企业合理布局生产区、生活区、办公区等功能区，提高土地节约集约利用水平，主要功能区与生活区保持安全距离，矿区绿化与周边自然生态相协调，营造干净卫生、整洁美观的矿容矿貌。强化源头治理，对新建矿山严格执行环境影响评价、环境保护和水土保持‘三同时’制度，落实污染防治措施，加强矿山废石、尾矿、废水、废气、噪声、扬尘等污染防治全过程监管，督促矿山企业定期监测污染物排放，加强矿山安全生产管理，制定突发环境事故应急预案。加强‘边生产、边修复’监管，严格落实企业履行矿山生态保护修复的主体责任，全面加强矿山生态修复动态化”。 </w:t>
            </w:r>
          </w:p>
          <w:p w14:paraId="4A70121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kern w:val="0"/>
                <w:sz w:val="24"/>
                <w:lang w:val="en-US" w:eastAsia="zh-CN"/>
              </w:rPr>
              <w:t>本项目</w:t>
            </w:r>
            <w:r>
              <w:rPr>
                <w:rFonts w:hint="eastAsia" w:ascii="Times New Roman" w:hAnsi="Times New Roman" w:eastAsia="仿宋" w:cs="Times New Roman"/>
                <w:color w:val="000000"/>
                <w:sz w:val="24"/>
                <w:lang w:val="en-US" w:eastAsia="zh-CN"/>
              </w:rPr>
              <w:t>属于冶金用石英岩矿开采及加工</w:t>
            </w:r>
            <w:r>
              <w:rPr>
                <w:rFonts w:hint="default" w:ascii="Times New Roman" w:hAnsi="Times New Roman" w:eastAsia="仿宋" w:cs="Times New Roman"/>
                <w:color w:val="000000"/>
                <w:sz w:val="24"/>
                <w:lang w:val="en-US" w:eastAsia="zh-CN"/>
              </w:rPr>
              <w:t>建设项目</w:t>
            </w:r>
            <w:r>
              <w:rPr>
                <w:rFonts w:hint="eastAsia" w:ascii="Times New Roman" w:hAnsi="Times New Roman" w:eastAsia="仿宋" w:cs="Times New Roman"/>
                <w:color w:val="000000"/>
                <w:sz w:val="24"/>
                <w:lang w:val="en-US" w:eastAsia="zh-CN"/>
              </w:rPr>
              <w:t>，开采规模</w:t>
            </w:r>
            <w:r>
              <w:rPr>
                <w:rFonts w:hint="eastAsia" w:ascii="Times New Roman" w:hAnsi="Times New Roman" w:eastAsia="仿宋" w:cs="Times New Roman"/>
                <w:color w:val="000000"/>
                <w:kern w:val="0"/>
                <w:sz w:val="24"/>
                <w:lang w:val="en-US" w:eastAsia="zh-CN"/>
              </w:rPr>
              <w:t>为</w:t>
            </w:r>
            <w:r>
              <w:rPr>
                <w:rFonts w:hint="eastAsia" w:eastAsia="仿宋" w:cs="Times New Roman"/>
                <w:color w:val="000000"/>
                <w:kern w:val="0"/>
                <w:sz w:val="24"/>
                <w:lang w:val="en-US" w:eastAsia="zh-CN"/>
              </w:rPr>
              <w:t>10</w:t>
            </w:r>
            <w:r>
              <w:rPr>
                <w:rFonts w:hint="eastAsia" w:ascii="Times New Roman" w:hAnsi="Times New Roman" w:eastAsia="仿宋" w:cs="Times New Roman"/>
                <w:color w:val="000000"/>
                <w:kern w:val="0"/>
                <w:sz w:val="24"/>
                <w:lang w:val="en-US" w:eastAsia="zh-CN"/>
              </w:rPr>
              <w:t>万</w:t>
            </w:r>
            <w:r>
              <w:rPr>
                <w:rFonts w:hint="eastAsia" w:eastAsia="仿宋" w:cs="Times New Roman"/>
                <w:color w:val="000000"/>
                <w:kern w:val="0"/>
                <w:sz w:val="24"/>
                <w:lang w:val="en-US" w:eastAsia="zh-CN"/>
              </w:rPr>
              <w:t>t</w:t>
            </w:r>
            <w:r>
              <w:rPr>
                <w:rFonts w:hint="default" w:ascii="Times New Roman" w:hAnsi="Times New Roman" w:eastAsia="仿宋" w:cs="Times New Roman"/>
                <w:color w:val="000000"/>
                <w:kern w:val="0"/>
                <w:sz w:val="24"/>
                <w:lang w:val="en-US" w:eastAsia="zh-CN"/>
              </w:rPr>
              <w:t>/</w:t>
            </w:r>
            <w:r>
              <w:rPr>
                <w:rFonts w:hint="eastAsia" w:ascii="Times New Roman" w:hAnsi="Times New Roman" w:eastAsia="仿宋" w:cs="Times New Roman"/>
                <w:color w:val="000000"/>
                <w:kern w:val="0"/>
                <w:sz w:val="24"/>
                <w:lang w:val="en-US" w:eastAsia="zh-CN"/>
              </w:rPr>
              <w:t>年，开采方式为</w:t>
            </w:r>
            <w:r>
              <w:rPr>
                <w:rFonts w:hint="eastAsia" w:eastAsia="仿宋" w:cs="Times New Roman"/>
                <w:color w:val="000000"/>
                <w:kern w:val="0"/>
                <w:sz w:val="24"/>
                <w:lang w:val="en-US" w:eastAsia="zh-CN"/>
              </w:rPr>
              <w:t>露天</w:t>
            </w:r>
            <w:r>
              <w:rPr>
                <w:rFonts w:hint="eastAsia" w:ascii="Times New Roman" w:hAnsi="Times New Roman" w:eastAsia="仿宋" w:cs="Times New Roman"/>
                <w:color w:val="000000"/>
                <w:kern w:val="0"/>
                <w:sz w:val="24"/>
                <w:lang w:val="en-US" w:eastAsia="zh-CN"/>
              </w:rPr>
              <w:t>开采，</w:t>
            </w:r>
            <w:r>
              <w:rPr>
                <w:rFonts w:hint="eastAsia" w:ascii="Times New Roman" w:hAnsi="Times New Roman" w:eastAsia="仿宋" w:cs="Times New Roman"/>
                <w:color w:val="000000"/>
                <w:sz w:val="24"/>
                <w:lang w:val="en-US" w:eastAsia="zh-CN"/>
              </w:rPr>
              <w:t>项目生产区与生活区分开布置，企业按照相关要求及时进行生态恢复，严格执行环境影响评价、环境保护和水土保持“三同时”制度，落实污染防治措施，履行矿山生态保护修复的主体责任。</w:t>
            </w:r>
            <w:r>
              <w:rPr>
                <w:rFonts w:hint="eastAsia" w:ascii="Times New Roman" w:hAnsi="Times New Roman" w:eastAsia="仿宋" w:cs="Times New Roman"/>
                <w:color w:val="000000"/>
                <w:sz w:val="24"/>
              </w:rPr>
              <w:t>综上所述，本项目符合</w:t>
            </w:r>
            <w:r>
              <w:rPr>
                <w:rFonts w:hint="eastAsia" w:ascii="Times New Roman" w:hAnsi="Times New Roman" w:eastAsia="仿宋" w:cs="Times New Roman"/>
                <w:color w:val="000000"/>
                <w:sz w:val="24"/>
                <w:lang w:val="en-US" w:eastAsia="zh-CN"/>
              </w:rPr>
              <w:t>《甘肃省高质量推进绿色矿山建设实施方案（</w:t>
            </w:r>
            <w:r>
              <w:rPr>
                <w:rFonts w:hint="default" w:ascii="Times New Roman" w:hAnsi="Times New Roman" w:eastAsia="仿宋" w:cs="Times New Roman"/>
                <w:color w:val="000000"/>
                <w:sz w:val="24"/>
                <w:lang w:val="en-US" w:eastAsia="zh-CN"/>
              </w:rPr>
              <w:t>2021</w:t>
            </w:r>
            <w:r>
              <w:rPr>
                <w:rFonts w:hint="eastAsia" w:eastAsia="仿宋" w:cs="Times New Roman"/>
                <w:color w:val="000000"/>
                <w:sz w:val="24"/>
                <w:lang w:val="en-US" w:eastAsia="zh-CN"/>
              </w:rPr>
              <w:t>-</w:t>
            </w:r>
            <w:r>
              <w:rPr>
                <w:rFonts w:hint="default" w:ascii="Times New Roman" w:hAnsi="Times New Roman" w:eastAsia="仿宋" w:cs="Times New Roman"/>
                <w:color w:val="000000"/>
                <w:sz w:val="24"/>
                <w:lang w:val="en-US" w:eastAsia="zh-CN"/>
              </w:rPr>
              <w:t>2025</w:t>
            </w:r>
            <w:r>
              <w:rPr>
                <w:rFonts w:hint="eastAsia" w:ascii="Times New Roman" w:hAnsi="Times New Roman" w:eastAsia="仿宋" w:cs="Times New Roman"/>
                <w:color w:val="000000"/>
                <w:sz w:val="24"/>
                <w:lang w:val="en-US" w:eastAsia="zh-CN"/>
              </w:rPr>
              <w:t>年）》中的相关要求。</w:t>
            </w:r>
          </w:p>
          <w:p w14:paraId="54801EA1">
            <w:pPr>
              <w:keepNext w:val="0"/>
              <w:keepLines w:val="0"/>
              <w:pageBreakBefore w:val="0"/>
              <w:widowControl/>
              <w:kinsoku/>
              <w:wordWrap/>
              <w:overflowPunct/>
              <w:topLinePunct w:val="0"/>
              <w:autoSpaceDE/>
              <w:autoSpaceDN/>
              <w:bidi w:val="0"/>
              <w:adjustRightInd w:val="0"/>
              <w:snapToGrid w:val="0"/>
              <w:spacing w:line="360" w:lineRule="auto"/>
              <w:ind w:firstLine="482" w:firstLineChars="200"/>
              <w:textAlignment w:val="auto"/>
              <w:rPr>
                <w:rFonts w:eastAsia="仿宋"/>
                <w:b/>
                <w:bCs/>
                <w:color w:val="000000"/>
                <w:spacing w:val="6"/>
                <w:sz w:val="24"/>
              </w:rPr>
            </w:pPr>
            <w:r>
              <w:rPr>
                <w:rFonts w:hint="eastAsia" w:eastAsia="仿宋" w:cs="Times New Roman"/>
                <w:b/>
                <w:bCs/>
                <w:color w:val="auto"/>
                <w:kern w:val="0"/>
                <w:sz w:val="24"/>
                <w:szCs w:val="24"/>
                <w:highlight w:val="none"/>
                <w:lang w:val="en-US" w:eastAsia="zh-CN" w:bidi="ar"/>
              </w:rPr>
              <w:t>7.</w:t>
            </w:r>
            <w:r>
              <w:rPr>
                <w:rFonts w:eastAsia="仿宋"/>
                <w:b/>
                <w:bCs/>
                <w:color w:val="000000"/>
                <w:spacing w:val="6"/>
                <w:sz w:val="24"/>
              </w:rPr>
              <w:t>产业政策符合性分析</w:t>
            </w:r>
          </w:p>
          <w:p w14:paraId="7A7C1735">
            <w:pPr>
              <w:adjustRightInd w:val="0"/>
              <w:snapToGrid w:val="0"/>
              <w:spacing w:line="360" w:lineRule="auto"/>
              <w:ind w:firstLine="480" w:firstLineChars="200"/>
              <w:jc w:val="left"/>
              <w:rPr>
                <w:rFonts w:eastAsia="仿宋"/>
                <w:color w:val="000000"/>
                <w:sz w:val="24"/>
              </w:rPr>
            </w:pPr>
            <w:r>
              <w:rPr>
                <w:rFonts w:hint="eastAsia" w:eastAsia="仿宋"/>
                <w:color w:val="000000"/>
                <w:sz w:val="24"/>
                <w:lang w:val="en-US" w:eastAsia="zh-CN"/>
              </w:rPr>
              <w:t>根据</w:t>
            </w:r>
            <w:r>
              <w:rPr>
                <w:rFonts w:eastAsia="仿宋"/>
                <w:color w:val="000000"/>
                <w:sz w:val="24"/>
              </w:rPr>
              <w:t>《产业结构调整指导目录（20</w:t>
            </w:r>
            <w:r>
              <w:rPr>
                <w:rFonts w:hint="eastAsia" w:eastAsia="仿宋"/>
                <w:color w:val="000000"/>
                <w:sz w:val="24"/>
                <w:lang w:val="en-US" w:eastAsia="zh-CN"/>
              </w:rPr>
              <w:t>24</w:t>
            </w:r>
            <w:r>
              <w:rPr>
                <w:rFonts w:eastAsia="仿宋"/>
                <w:color w:val="000000"/>
                <w:sz w:val="24"/>
              </w:rPr>
              <w:t>年本）》，本项目</w:t>
            </w:r>
            <w:r>
              <w:rPr>
                <w:rFonts w:hint="eastAsia" w:eastAsia="仿宋"/>
                <w:color w:val="000000"/>
                <w:sz w:val="24"/>
                <w:lang w:val="en-US" w:eastAsia="zh-CN"/>
              </w:rPr>
              <w:t>不属于鼓励类、限制类和淘汰类项目，属于允许类项目</w:t>
            </w:r>
            <w:r>
              <w:rPr>
                <w:rFonts w:eastAsia="仿宋"/>
                <w:color w:val="000000"/>
                <w:sz w:val="24"/>
              </w:rPr>
              <w:t>，</w:t>
            </w:r>
            <w:r>
              <w:rPr>
                <w:rFonts w:hint="eastAsia" w:eastAsia="仿宋"/>
                <w:color w:val="000000"/>
                <w:sz w:val="24"/>
                <w:lang w:val="en-US" w:eastAsia="zh-CN"/>
              </w:rPr>
              <w:t>因此，</w:t>
            </w:r>
            <w:r>
              <w:rPr>
                <w:rFonts w:eastAsia="仿宋"/>
                <w:color w:val="000000"/>
                <w:sz w:val="24"/>
              </w:rPr>
              <w:t>符合国家产业政策要求。</w:t>
            </w:r>
          </w:p>
          <w:p w14:paraId="0263B01C">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color w:val="auto"/>
                <w:sz w:val="24"/>
                <w:szCs w:val="24"/>
                <w:highlight w:val="none"/>
              </w:rPr>
            </w:pPr>
            <w:r>
              <w:rPr>
                <w:rFonts w:hint="eastAsia" w:eastAsia="仿宋" w:cs="Times New Roman"/>
                <w:b/>
                <w:bCs/>
                <w:color w:val="auto"/>
                <w:kern w:val="0"/>
                <w:sz w:val="24"/>
                <w:szCs w:val="24"/>
                <w:highlight w:val="none"/>
                <w:lang w:val="en-US" w:eastAsia="zh-CN" w:bidi="ar"/>
              </w:rPr>
              <w:t>8.</w:t>
            </w:r>
            <w:r>
              <w:rPr>
                <w:rFonts w:hint="eastAsia" w:ascii="Times New Roman" w:hAnsi="Times New Roman" w:eastAsia="仿宋" w:cs="Times New Roman"/>
                <w:b/>
                <w:bCs/>
                <w:color w:val="auto"/>
                <w:kern w:val="0"/>
                <w:sz w:val="24"/>
                <w:szCs w:val="24"/>
                <w:highlight w:val="none"/>
                <w:lang w:val="en-US" w:eastAsia="zh-CN" w:bidi="ar"/>
              </w:rPr>
              <w:t>选址合理性分析</w:t>
            </w:r>
            <w:r>
              <w:rPr>
                <w:rFonts w:hint="default" w:ascii="Times New Roman" w:hAnsi="Times New Roman" w:eastAsia="仿宋" w:cs="Times New Roman"/>
                <w:b/>
                <w:bCs/>
                <w:color w:val="auto"/>
                <w:kern w:val="0"/>
                <w:sz w:val="24"/>
                <w:szCs w:val="24"/>
                <w:highlight w:val="none"/>
                <w:lang w:val="en-US" w:eastAsia="zh-CN" w:bidi="ar"/>
              </w:rPr>
              <w:t xml:space="preserve"> </w:t>
            </w:r>
          </w:p>
          <w:p w14:paraId="35B8711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eastAsia="仿宋"/>
                <w:color w:val="auto"/>
                <w:sz w:val="24"/>
                <w:highlight w:val="none"/>
              </w:rPr>
            </w:pPr>
            <w:r>
              <w:rPr>
                <w:rFonts w:eastAsia="仿宋"/>
                <w:color w:val="auto"/>
                <w:sz w:val="24"/>
                <w:highlight w:val="none"/>
              </w:rPr>
              <w:t>本项目</w:t>
            </w:r>
            <w:r>
              <w:rPr>
                <w:rFonts w:hint="eastAsia" w:eastAsia="仿宋"/>
                <w:color w:val="auto"/>
                <w:sz w:val="24"/>
                <w:highlight w:val="none"/>
                <w:lang w:val="en-US" w:eastAsia="zh-CN"/>
              </w:rPr>
              <w:t>及评价范围内</w:t>
            </w:r>
            <w:r>
              <w:rPr>
                <w:rFonts w:eastAsia="仿宋"/>
                <w:color w:val="auto"/>
                <w:sz w:val="24"/>
                <w:highlight w:val="none"/>
              </w:rPr>
              <w:t>无名胜古迹、重点文物保护单位、饮用水水源地、自然保护区和风景名胜区等敏感环境保护目标，</w:t>
            </w:r>
            <w:r>
              <w:rPr>
                <w:rFonts w:hint="eastAsia" w:eastAsia="仿宋"/>
                <w:color w:val="auto"/>
                <w:sz w:val="24"/>
                <w:highlight w:val="none"/>
                <w:lang w:val="en-US" w:eastAsia="zh-CN"/>
              </w:rPr>
              <w:t>本项目5km范围内无环境保护目标，废气、废水、噪声及固废等采取相应的环保治理措施后</w:t>
            </w:r>
            <w:r>
              <w:rPr>
                <w:rFonts w:eastAsia="仿宋"/>
                <w:color w:val="auto"/>
                <w:sz w:val="24"/>
                <w:highlight w:val="none"/>
              </w:rPr>
              <w:t>对周围环境影响较小。因此，本项目选址合理。</w:t>
            </w:r>
          </w:p>
          <w:p w14:paraId="5F01C7AD">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仿宋" w:cs="Times New Roman"/>
                <w:b/>
                <w:bCs/>
                <w:color w:val="auto"/>
                <w:kern w:val="0"/>
                <w:sz w:val="24"/>
                <w:szCs w:val="24"/>
                <w:highlight w:val="none"/>
                <w:lang w:val="en-US" w:eastAsia="zh-CN" w:bidi="ar"/>
              </w:rPr>
            </w:pPr>
            <w:r>
              <w:rPr>
                <w:rFonts w:hint="eastAsia" w:eastAsia="仿宋" w:cs="Times New Roman"/>
                <w:b/>
                <w:bCs/>
                <w:color w:val="auto"/>
                <w:kern w:val="0"/>
                <w:sz w:val="24"/>
                <w:szCs w:val="24"/>
                <w:highlight w:val="none"/>
                <w:lang w:val="en-US" w:eastAsia="zh-CN" w:bidi="ar"/>
              </w:rPr>
              <w:t>9.</w:t>
            </w:r>
            <w:r>
              <w:rPr>
                <w:rFonts w:hint="eastAsia" w:ascii="Times New Roman" w:hAnsi="Times New Roman" w:eastAsia="仿宋" w:cs="Times New Roman"/>
                <w:b/>
                <w:bCs/>
                <w:color w:val="auto"/>
                <w:kern w:val="0"/>
                <w:sz w:val="24"/>
                <w:szCs w:val="24"/>
                <w:highlight w:val="none"/>
                <w:lang w:val="en-US" w:eastAsia="zh-CN" w:bidi="ar"/>
              </w:rPr>
              <w:t>与《甘肃省“十四五”生态环境保护规划》符合性分析</w:t>
            </w:r>
          </w:p>
          <w:p w14:paraId="1C95458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kern w:val="2"/>
                <w:sz w:val="24"/>
                <w:szCs w:val="24"/>
                <w:highlight w:val="none"/>
                <w:lang w:val="en-US" w:eastAsia="zh-CN" w:bidi="ar-SA"/>
              </w:rPr>
            </w:pPr>
            <w:r>
              <w:rPr>
                <w:rFonts w:ascii="Times New Roman" w:hAnsi="Times New Roman" w:eastAsia="仿宋" w:cs="Times New Roman"/>
                <w:color w:val="auto"/>
                <w:sz w:val="24"/>
                <w:highlight w:val="none"/>
              </w:rPr>
              <w:t>根据《甘肃省“十四五”生态环境保护规划</w:t>
            </w:r>
            <w:r>
              <w:rPr>
                <w:rFonts w:ascii="Times New Roman" w:hAnsi="Times New Roman" w:eastAsia="仿宋" w:cs="Times New Roman"/>
                <w:b w:val="0"/>
                <w:bCs w:val="0"/>
                <w:color w:val="auto"/>
                <w:sz w:val="24"/>
                <w:highlight w:val="none"/>
              </w:rPr>
              <w:t>》，</w:t>
            </w:r>
            <w:r>
              <w:rPr>
                <w:rFonts w:ascii="Times New Roman" w:hAnsi="Times New Roman" w:eastAsia="仿宋" w:cs="Times New Roman"/>
                <w:b w:val="0"/>
                <w:bCs w:val="0"/>
                <w:color w:val="auto"/>
                <w:kern w:val="2"/>
                <w:sz w:val="24"/>
                <w:szCs w:val="24"/>
                <w:highlight w:val="none"/>
                <w:lang w:val="en-US" w:eastAsia="zh-CN" w:bidi="ar-SA"/>
              </w:rPr>
              <w:t>积极推进矿山生态修复治理。</w:t>
            </w:r>
            <w:r>
              <w:rPr>
                <w:rFonts w:hint="eastAsia" w:ascii="Times New Roman" w:hAnsi="Times New Roman" w:eastAsia="仿宋" w:cs="Times New Roman"/>
                <w:b w:val="0"/>
                <w:bCs w:val="0"/>
                <w:color w:val="auto"/>
                <w:kern w:val="2"/>
                <w:sz w:val="24"/>
                <w:szCs w:val="24"/>
                <w:highlight w:val="none"/>
                <w:lang w:val="en-US" w:eastAsia="zh-CN" w:bidi="ar-SA"/>
              </w:rPr>
              <w:t>督促矿山生产企业依法编制矿山资源开</w:t>
            </w:r>
            <w:r>
              <w:rPr>
                <w:rFonts w:hint="eastAsia" w:ascii="Times New Roman" w:hAnsi="Times New Roman" w:eastAsia="仿宋" w:cs="Times New Roman"/>
                <w:color w:val="auto"/>
                <w:kern w:val="2"/>
                <w:sz w:val="24"/>
                <w:szCs w:val="24"/>
                <w:highlight w:val="none"/>
                <w:lang w:val="en-US" w:eastAsia="zh-CN" w:bidi="ar-SA"/>
              </w:rPr>
              <w:t>发与恢复治理方案，完善和落实水土环境污染修复工程措施，全面推进绿色矿山建设。开展历史遗留废弃矿山综合整治和生态修复，积极推进全省国家重点生态功能区历史遗留矿山生态环境综合治理与修复，谋划实施祁连山北麓、陇中—陇东南、河西走廊等历史遗留废弃矿山生态修复重点区域的生态保护修复工程。统筹推进平川、华亭、崇信新窑等采煤沉陷区综合治理。开展白银、庆阳、平凉等采矿集中区矿区污染治理试点示范，因地制宜开展矿山生态修复和矿业遗迹保护、生态建设综合利用。</w:t>
            </w:r>
          </w:p>
          <w:p w14:paraId="15723549">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rPr>
              <w:t>本项目</w:t>
            </w:r>
            <w:r>
              <w:rPr>
                <w:rFonts w:hint="eastAsia" w:ascii="Times New Roman" w:hAnsi="Times New Roman" w:eastAsia="仿宋" w:cs="Times New Roman"/>
                <w:color w:val="auto"/>
                <w:sz w:val="24"/>
                <w:highlight w:val="none"/>
                <w:lang w:val="en-US" w:eastAsia="zh-CN"/>
              </w:rPr>
              <w:t>严格按照《临泽县金源矿业有限责任公司平川镇羊圈湾冶金用石英岩矿开采方案与矿区生态修复方案》进行开采</w:t>
            </w:r>
            <w:r>
              <w:rPr>
                <w:rFonts w:hint="eastAsia" w:eastAsia="仿宋" w:cs="Times New Roman"/>
                <w:color w:val="auto"/>
                <w:sz w:val="24"/>
                <w:highlight w:val="none"/>
                <w:lang w:val="en-US" w:eastAsia="zh-CN"/>
              </w:rPr>
              <w:t>和生态修复</w:t>
            </w:r>
            <w:r>
              <w:rPr>
                <w:rFonts w:hint="eastAsia" w:ascii="Times New Roman" w:hAnsi="Times New Roman" w:eastAsia="仿宋" w:cs="Times New Roman"/>
                <w:color w:val="auto"/>
                <w:sz w:val="24"/>
                <w:highlight w:val="none"/>
                <w:lang w:val="en-US" w:eastAsia="zh-CN"/>
              </w:rPr>
              <w:t>；同时对废气、废水、噪声及固废等采取相应治理措施，确保达标排放和得到合理有效</w:t>
            </w:r>
            <w:r>
              <w:rPr>
                <w:rFonts w:hint="eastAsia" w:eastAsia="仿宋" w:cs="Times New Roman"/>
                <w:color w:val="auto"/>
                <w:sz w:val="24"/>
                <w:highlight w:val="none"/>
                <w:lang w:val="en-US" w:eastAsia="zh-CN"/>
              </w:rPr>
              <w:t>地</w:t>
            </w:r>
            <w:r>
              <w:rPr>
                <w:rFonts w:hint="eastAsia" w:ascii="Times New Roman" w:hAnsi="Times New Roman" w:eastAsia="仿宋" w:cs="Times New Roman"/>
                <w:color w:val="auto"/>
                <w:sz w:val="24"/>
                <w:highlight w:val="none"/>
                <w:lang w:val="en-US" w:eastAsia="zh-CN"/>
              </w:rPr>
              <w:t>处置</w:t>
            </w:r>
            <w:r>
              <w:rPr>
                <w:rFonts w:ascii="Times New Roman" w:hAnsi="Times New Roman" w:eastAsia="仿宋" w:cs="Times New Roman"/>
                <w:color w:val="auto"/>
                <w:sz w:val="24"/>
                <w:highlight w:val="none"/>
              </w:rPr>
              <w:t>，</w:t>
            </w:r>
            <w:r>
              <w:rPr>
                <w:rFonts w:hint="eastAsia" w:ascii="Times New Roman" w:hAnsi="Times New Roman" w:eastAsia="仿宋" w:cs="Times New Roman"/>
                <w:color w:val="auto"/>
                <w:sz w:val="24"/>
                <w:highlight w:val="none"/>
              </w:rPr>
              <w:t>对周围环境</w:t>
            </w:r>
            <w:r>
              <w:rPr>
                <w:rFonts w:hint="eastAsia" w:ascii="Times New Roman" w:hAnsi="Times New Roman" w:eastAsia="仿宋" w:cs="Times New Roman"/>
                <w:color w:val="auto"/>
                <w:sz w:val="24"/>
                <w:highlight w:val="none"/>
                <w:lang w:val="en-US" w:eastAsia="zh-CN"/>
              </w:rPr>
              <w:t>影响较小</w:t>
            </w:r>
            <w:r>
              <w:rPr>
                <w:rFonts w:ascii="Times New Roman" w:hAnsi="Times New Roman" w:eastAsia="仿宋" w:cs="Times New Roman"/>
                <w:color w:val="auto"/>
                <w:sz w:val="24"/>
                <w:highlight w:val="none"/>
              </w:rPr>
              <w:t>。因此</w:t>
            </w:r>
            <w:r>
              <w:rPr>
                <w:rFonts w:hint="eastAsia" w:ascii="Times New Roman" w:hAnsi="Times New Roman" w:eastAsia="仿宋" w:cs="Times New Roman"/>
                <w:color w:val="auto"/>
                <w:sz w:val="24"/>
                <w:highlight w:val="none"/>
                <w:lang w:eastAsia="zh-CN"/>
              </w:rPr>
              <w:t>，</w:t>
            </w:r>
            <w:r>
              <w:rPr>
                <w:rFonts w:ascii="Times New Roman" w:hAnsi="Times New Roman" w:eastAsia="仿宋" w:cs="Times New Roman"/>
                <w:color w:val="auto"/>
                <w:sz w:val="24"/>
                <w:highlight w:val="none"/>
              </w:rPr>
              <w:t>本项目</w:t>
            </w:r>
            <w:r>
              <w:rPr>
                <w:rFonts w:hint="eastAsia" w:ascii="Times New Roman" w:hAnsi="Times New Roman" w:eastAsia="仿宋" w:cs="Times New Roman"/>
                <w:color w:val="auto"/>
                <w:sz w:val="24"/>
                <w:highlight w:val="none"/>
                <w:lang w:val="en-US" w:eastAsia="zh-CN"/>
              </w:rPr>
              <w:t>符合</w:t>
            </w:r>
            <w:r>
              <w:rPr>
                <w:rFonts w:ascii="Times New Roman" w:hAnsi="Times New Roman" w:eastAsia="仿宋" w:cs="Times New Roman"/>
                <w:color w:val="auto"/>
                <w:sz w:val="24"/>
                <w:highlight w:val="none"/>
              </w:rPr>
              <w:t>《甘肃省“十四五”生态环境保护规划》</w:t>
            </w:r>
            <w:r>
              <w:rPr>
                <w:rFonts w:hint="eastAsia" w:ascii="Times New Roman" w:hAnsi="Times New Roman" w:eastAsia="仿宋" w:cs="Times New Roman"/>
                <w:color w:val="auto"/>
                <w:sz w:val="24"/>
                <w:highlight w:val="none"/>
                <w:lang w:val="en-US" w:eastAsia="zh-CN"/>
              </w:rPr>
              <w:t>中的相关要求</w:t>
            </w:r>
            <w:r>
              <w:rPr>
                <w:rFonts w:ascii="Times New Roman" w:hAnsi="Times New Roman" w:eastAsia="仿宋" w:cs="Times New Roman"/>
                <w:color w:val="auto"/>
                <w:sz w:val="24"/>
                <w:highlight w:val="none"/>
              </w:rPr>
              <w:t>。</w:t>
            </w:r>
          </w:p>
          <w:p w14:paraId="772DE605">
            <w:pPr>
              <w:keepNext w:val="0"/>
              <w:keepLines w:val="0"/>
              <w:pageBreakBefore w:val="0"/>
              <w:widowControl/>
              <w:kinsoku/>
              <w:wordWrap/>
              <w:overflowPunct/>
              <w:topLinePunct w:val="0"/>
              <w:autoSpaceDE/>
              <w:autoSpaceDN/>
              <w:bidi w:val="0"/>
              <w:adjustRightInd w:val="0"/>
              <w:snapToGrid w:val="0"/>
              <w:spacing w:line="360" w:lineRule="auto"/>
              <w:ind w:firstLine="506" w:firstLineChars="200"/>
              <w:textAlignment w:val="auto"/>
              <w:rPr>
                <w:rFonts w:hint="eastAsia" w:ascii="Times New Roman" w:hAnsi="Times New Roman" w:eastAsia="仿宋" w:cs="Times New Roman"/>
                <w:b/>
                <w:bCs/>
                <w:color w:val="000000"/>
                <w:spacing w:val="6"/>
                <w:sz w:val="24"/>
                <w:lang w:val="en-US" w:eastAsia="zh-CN"/>
              </w:rPr>
            </w:pPr>
            <w:r>
              <w:rPr>
                <w:rFonts w:hint="eastAsia" w:eastAsia="仿宋" w:cs="Times New Roman"/>
                <w:b/>
                <w:bCs/>
                <w:color w:val="000000"/>
                <w:spacing w:val="6"/>
                <w:sz w:val="24"/>
                <w:lang w:val="en-US" w:eastAsia="zh-CN"/>
              </w:rPr>
              <w:t>10.</w:t>
            </w:r>
            <w:r>
              <w:rPr>
                <w:rFonts w:hint="eastAsia" w:ascii="Times New Roman" w:hAnsi="Times New Roman" w:eastAsia="仿宋" w:cs="Times New Roman"/>
                <w:b/>
                <w:bCs/>
                <w:color w:val="000000"/>
                <w:spacing w:val="6"/>
                <w:sz w:val="24"/>
                <w:lang w:val="en-US" w:eastAsia="zh-CN"/>
              </w:rPr>
              <w:t>与《张掖市推动矿产资源勘查开发高质量发展实施意见》符合性分析</w:t>
            </w:r>
          </w:p>
          <w:p w14:paraId="62A92D00">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根据《张掖市推动矿产资源勘查开发高质量发展实施意见》（张政办发〔2022〕88号），推进矿业绿色发展。牢固树立绿色发展理念，全面实施绿色勘查。探索形成先进成熟的绿色勘查新理论、新方法、新技术、新工艺，将绿色勘查贯穿地勘项目设计、实施、验收全过程。分类有序推进绿色矿山建设，新建、改建、扩建矿山严格按照绿色矿山建设标准进行规划、设计、建设、运营及管理，生产矿山加快绿色升级改造，逐步达到绿色矿山建设标准。全面推进绿色采、选、冶及伴生资源和二次资源综合回收利用技术研发，同步恢复治理植被破坏、水土流失、地质环境破坏、重金属污染等矿山生态环境问题。鼓励支持社会资本和专业队伍积极参与历史遗留废弃矿山、工矿废弃地、矸石山、尾矿库、露天采坑等生态修复。全面落实矿产地质环境治理恢复基金制度，鼓励社会资本成立绿色矿业产业基金。</w:t>
            </w:r>
          </w:p>
          <w:p w14:paraId="12C3874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r>
              <w:rPr>
                <w:rFonts w:ascii="Times New Roman" w:hAnsi="Times New Roman" w:eastAsia="仿宋" w:cs="Times New Roman"/>
                <w:color w:val="auto"/>
                <w:sz w:val="24"/>
                <w:highlight w:val="none"/>
              </w:rPr>
              <w:t>本项目</w:t>
            </w:r>
            <w:r>
              <w:rPr>
                <w:rFonts w:hint="eastAsia" w:ascii="Times New Roman" w:hAnsi="Times New Roman" w:eastAsia="仿宋" w:cs="Times New Roman"/>
                <w:color w:val="auto"/>
                <w:sz w:val="24"/>
                <w:highlight w:val="none"/>
                <w:lang w:val="en-US" w:eastAsia="zh-CN"/>
              </w:rPr>
              <w:t>严格按照《临泽县金源矿业有限责任公司平川镇羊圈湾冶金用石英岩矿开采方案与矿区生态修复方案》进行开采</w:t>
            </w:r>
            <w:r>
              <w:rPr>
                <w:rFonts w:hint="eastAsia" w:eastAsia="仿宋" w:cs="Times New Roman"/>
                <w:color w:val="auto"/>
                <w:sz w:val="24"/>
                <w:highlight w:val="none"/>
                <w:lang w:val="en-US" w:eastAsia="zh-CN"/>
              </w:rPr>
              <w:t>和生态修复</w:t>
            </w:r>
            <w:r>
              <w:rPr>
                <w:rFonts w:hint="eastAsia" w:ascii="Times New Roman" w:hAnsi="Times New Roman" w:eastAsia="仿宋" w:cs="Times New Roman"/>
                <w:color w:val="auto"/>
                <w:sz w:val="24"/>
                <w:highlight w:val="none"/>
                <w:lang w:val="en-US" w:eastAsia="zh-CN"/>
              </w:rPr>
              <w:t>；同时对废气、废水、噪声及固废等采取相应治理措施，确保达标排放和得到合理有效</w:t>
            </w:r>
            <w:r>
              <w:rPr>
                <w:rFonts w:hint="eastAsia" w:eastAsia="仿宋" w:cs="Times New Roman"/>
                <w:color w:val="auto"/>
                <w:sz w:val="24"/>
                <w:highlight w:val="none"/>
                <w:lang w:val="en-US" w:eastAsia="zh-CN"/>
              </w:rPr>
              <w:t>地</w:t>
            </w:r>
            <w:r>
              <w:rPr>
                <w:rFonts w:hint="eastAsia" w:ascii="Times New Roman" w:hAnsi="Times New Roman" w:eastAsia="仿宋" w:cs="Times New Roman"/>
                <w:color w:val="auto"/>
                <w:sz w:val="24"/>
                <w:highlight w:val="none"/>
                <w:lang w:val="en-US" w:eastAsia="zh-CN"/>
              </w:rPr>
              <w:t>处置</w:t>
            </w:r>
            <w:r>
              <w:rPr>
                <w:rFonts w:ascii="Times New Roman" w:hAnsi="Times New Roman" w:eastAsia="仿宋" w:cs="Times New Roman"/>
                <w:color w:val="auto"/>
                <w:sz w:val="24"/>
                <w:highlight w:val="none"/>
              </w:rPr>
              <w:t>，</w:t>
            </w:r>
            <w:r>
              <w:rPr>
                <w:rFonts w:hint="eastAsia" w:ascii="Times New Roman" w:hAnsi="Times New Roman" w:eastAsia="仿宋" w:cs="Times New Roman"/>
                <w:color w:val="auto"/>
                <w:sz w:val="24"/>
                <w:highlight w:val="none"/>
              </w:rPr>
              <w:t>对周围环境</w:t>
            </w:r>
            <w:r>
              <w:rPr>
                <w:rFonts w:hint="eastAsia" w:ascii="Times New Roman" w:hAnsi="Times New Roman" w:eastAsia="仿宋" w:cs="Times New Roman"/>
                <w:color w:val="auto"/>
                <w:sz w:val="24"/>
                <w:highlight w:val="none"/>
                <w:lang w:val="en-US" w:eastAsia="zh-CN"/>
              </w:rPr>
              <w:t>影响较小</w:t>
            </w:r>
            <w:r>
              <w:rPr>
                <w:rFonts w:ascii="Times New Roman" w:hAnsi="Times New Roman" w:eastAsia="仿宋" w:cs="Times New Roman"/>
                <w:color w:val="auto"/>
                <w:sz w:val="24"/>
                <w:highlight w:val="none"/>
              </w:rPr>
              <w:t>。因此</w:t>
            </w:r>
            <w:r>
              <w:rPr>
                <w:rFonts w:hint="eastAsia" w:ascii="Times New Roman" w:hAnsi="Times New Roman" w:eastAsia="仿宋" w:cs="Times New Roman"/>
                <w:color w:val="auto"/>
                <w:sz w:val="24"/>
                <w:highlight w:val="none"/>
                <w:lang w:eastAsia="zh-CN"/>
              </w:rPr>
              <w:t>，</w:t>
            </w:r>
            <w:r>
              <w:rPr>
                <w:rFonts w:ascii="Times New Roman" w:hAnsi="Times New Roman" w:eastAsia="仿宋" w:cs="Times New Roman"/>
                <w:color w:val="auto"/>
                <w:sz w:val="24"/>
                <w:highlight w:val="none"/>
              </w:rPr>
              <w:t>本项目</w:t>
            </w:r>
            <w:r>
              <w:rPr>
                <w:rFonts w:hint="eastAsia" w:ascii="Times New Roman" w:hAnsi="Times New Roman" w:eastAsia="仿宋" w:cs="Times New Roman"/>
                <w:color w:val="auto"/>
                <w:sz w:val="24"/>
                <w:highlight w:val="none"/>
                <w:lang w:val="en-US" w:eastAsia="zh-CN"/>
              </w:rPr>
              <w:t>符合《张掖市推动矿产资源勘查开发高质量发展实施意见》中的相关要求。</w:t>
            </w:r>
          </w:p>
          <w:p w14:paraId="03E1D94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7A591C3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333C5D9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344E6A0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1ED7C1C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6A4A2A4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3FAC7A5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5F689BF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0EA6AD0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3C0616B2">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0672CCF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3A6A556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19E8A89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3C787B8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2233549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566B880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4FA9B3B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41C6449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199C17C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p w14:paraId="6A79A37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p>
        </w:tc>
      </w:tr>
    </w:tbl>
    <w:p w14:paraId="21985F78">
      <w:pPr>
        <w:jc w:val="center"/>
        <w:rPr>
          <w:rFonts w:hint="default" w:ascii="Times New Roman" w:hAnsi="Times New Roman" w:eastAsia="仿宋" w:cs="Times New Roman"/>
          <w:b/>
          <w:bCs/>
          <w:snapToGrid w:val="0"/>
          <w:color w:val="auto"/>
          <w:sz w:val="30"/>
          <w:szCs w:val="30"/>
          <w:highlight w:val="none"/>
        </w:rPr>
      </w:pPr>
      <w:bookmarkStart w:id="7" w:name="_Toc503710109"/>
      <w:r>
        <w:rPr>
          <w:rFonts w:hint="default" w:ascii="Times New Roman" w:hAnsi="Times New Roman" w:eastAsia="仿宋" w:cs="Times New Roman"/>
          <w:snapToGrid w:val="0"/>
          <w:color w:val="auto"/>
          <w:sz w:val="30"/>
          <w:szCs w:val="30"/>
          <w:highlight w:val="none"/>
        </w:rPr>
        <w:br w:type="page"/>
      </w:r>
      <w:r>
        <w:rPr>
          <w:rFonts w:hint="default" w:ascii="Times New Roman" w:hAnsi="Times New Roman" w:eastAsia="仿宋" w:cs="Times New Roman"/>
          <w:b/>
          <w:bCs/>
          <w:snapToGrid w:val="0"/>
          <w:color w:val="auto"/>
          <w:sz w:val="30"/>
          <w:szCs w:val="30"/>
          <w:highlight w:val="none"/>
        </w:rPr>
        <w:t>二、建设内容</w:t>
      </w:r>
      <w:bookmarkEnd w:id="7"/>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85"/>
        <w:gridCol w:w="8137"/>
      </w:tblGrid>
      <w:tr w14:paraId="6AD405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26" w:type="pct"/>
            <w:tcBorders>
              <w:tl2br w:val="nil"/>
              <w:tr2bl w:val="nil"/>
            </w:tcBorders>
            <w:vAlign w:val="center"/>
          </w:tcPr>
          <w:p w14:paraId="31DEC5A2">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color w:val="auto"/>
                <w:sz w:val="24"/>
                <w:szCs w:val="24"/>
                <w:highlight w:val="none"/>
                <w:vertAlign w:val="baseline"/>
              </w:rPr>
            </w:pPr>
            <w:r>
              <w:rPr>
                <w:rFonts w:hint="default" w:ascii="Times New Roman" w:hAnsi="Times New Roman" w:eastAsia="仿宋" w:cs="Times New Roman"/>
                <w:color w:val="auto"/>
                <w:kern w:val="0"/>
                <w:sz w:val="24"/>
                <w:szCs w:val="24"/>
                <w:highlight w:val="none"/>
              </w:rPr>
              <w:t>地理位置</w:t>
            </w:r>
          </w:p>
        </w:tc>
        <w:tc>
          <w:tcPr>
            <w:tcW w:w="8068" w:type="dxa"/>
            <w:tcBorders>
              <w:tl2br w:val="nil"/>
              <w:tr2bl w:val="nil"/>
            </w:tcBorders>
          </w:tcPr>
          <w:p w14:paraId="711461C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eastAsia="仿宋"/>
                <w:color w:val="000000"/>
                <w:sz w:val="24"/>
                <w:u w:val="none"/>
                <w:lang w:val="en-US" w:eastAsia="zh-CN"/>
              </w:rPr>
            </w:pPr>
            <w:r>
              <w:rPr>
                <w:rFonts w:hint="eastAsia" w:ascii="Times New Roman" w:hAnsi="Times New Roman" w:eastAsia="仿宋" w:cs="Times New Roman"/>
                <w:color w:val="000000"/>
                <w:kern w:val="0"/>
                <w:sz w:val="24"/>
                <w:u w:val="none"/>
                <w:lang w:val="en-US" w:eastAsia="zh-CN"/>
              </w:rPr>
              <w:t>本项目位于甘肃省张掖</w:t>
            </w:r>
            <w:r>
              <w:rPr>
                <w:rFonts w:hint="default" w:ascii="Times New Roman" w:hAnsi="Times New Roman" w:eastAsia="仿宋" w:cs="Times New Roman"/>
                <w:color w:val="000000"/>
                <w:kern w:val="0"/>
                <w:sz w:val="24"/>
                <w:u w:val="none"/>
                <w:lang w:val="en-US" w:eastAsia="zh-CN"/>
              </w:rPr>
              <w:t>市</w:t>
            </w:r>
            <w:r>
              <w:rPr>
                <w:rFonts w:hint="eastAsia" w:ascii="Times New Roman" w:hAnsi="Times New Roman" w:eastAsia="仿宋" w:cs="Times New Roman"/>
                <w:color w:val="000000"/>
                <w:kern w:val="0"/>
                <w:sz w:val="24"/>
                <w:u w:val="none"/>
                <w:lang w:val="en-US" w:eastAsia="zh-CN"/>
              </w:rPr>
              <w:t>临泽县平川镇小黑山，矿区中心地理坐标为：</w:t>
            </w:r>
            <w:r>
              <w:rPr>
                <w:rFonts w:eastAsia="仿宋"/>
                <w:color w:val="000000"/>
                <w:sz w:val="24"/>
                <w:u w:val="none"/>
              </w:rPr>
              <w:t>东经</w:t>
            </w:r>
            <w:r>
              <w:rPr>
                <w:rFonts w:hint="eastAsia" w:eastAsia="仿宋"/>
                <w:color w:val="000000"/>
                <w:sz w:val="24"/>
                <w:u w:val="none"/>
                <w:lang w:val="en-US" w:eastAsia="zh-CN"/>
              </w:rPr>
              <w:t>100°07′02.056″</w:t>
            </w:r>
            <w:r>
              <w:rPr>
                <w:rFonts w:eastAsia="仿宋"/>
                <w:color w:val="000000"/>
                <w:sz w:val="24"/>
                <w:u w:val="none"/>
              </w:rPr>
              <w:t>，北纬</w:t>
            </w:r>
            <w:r>
              <w:rPr>
                <w:rFonts w:hint="eastAsia" w:eastAsia="仿宋"/>
                <w:color w:val="000000"/>
                <w:sz w:val="24"/>
                <w:u w:val="none"/>
                <w:lang w:val="en-US" w:eastAsia="zh-CN"/>
              </w:rPr>
              <w:t>39°28′03.028″，本项目地理位置图见附图3。</w:t>
            </w:r>
          </w:p>
        </w:tc>
      </w:tr>
      <w:tr w14:paraId="084433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3" w:hRule="atLeast"/>
          <w:jc w:val="center"/>
        </w:trPr>
        <w:tc>
          <w:tcPr>
            <w:tcW w:w="226" w:type="pct"/>
            <w:tcBorders>
              <w:tl2br w:val="nil"/>
              <w:tr2bl w:val="nil"/>
            </w:tcBorders>
            <w:vAlign w:val="center"/>
          </w:tcPr>
          <w:p w14:paraId="4475EC42">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color w:val="auto"/>
                <w:kern w:val="0"/>
                <w:szCs w:val="21"/>
                <w:highlight w:val="none"/>
              </w:rPr>
            </w:pPr>
            <w:r>
              <w:rPr>
                <w:rFonts w:hint="default" w:ascii="Times New Roman" w:hAnsi="Times New Roman" w:eastAsia="仿宋" w:cs="Times New Roman"/>
                <w:color w:val="auto"/>
                <w:kern w:val="0"/>
                <w:sz w:val="24"/>
                <w:szCs w:val="24"/>
                <w:highlight w:val="none"/>
              </w:rPr>
              <w:t>项目组成及规模</w:t>
            </w:r>
          </w:p>
        </w:tc>
        <w:tc>
          <w:tcPr>
            <w:tcW w:w="8068" w:type="dxa"/>
            <w:tcBorders>
              <w:tl2br w:val="nil"/>
              <w:tr2bl w:val="nil"/>
            </w:tcBorders>
          </w:tcPr>
          <w:p w14:paraId="6EDAC4AC">
            <w:pPr>
              <w:pStyle w:val="12"/>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eastAsia="仿宋"/>
                <w:b/>
                <w:color w:val="000000"/>
                <w:sz w:val="24"/>
                <w:lang w:eastAsia="zh-CN"/>
              </w:rPr>
            </w:pPr>
            <w:r>
              <w:rPr>
                <w:rFonts w:hint="eastAsia" w:ascii="Times New Roman" w:hAnsi="Times New Roman" w:eastAsia="仿宋" w:cs="Times New Roman"/>
                <w:b/>
                <w:bCs/>
                <w:color w:val="auto"/>
                <w:sz w:val="24"/>
                <w:szCs w:val="32"/>
                <w:highlight w:val="none"/>
                <w:lang w:val="en-US" w:eastAsia="zh-CN"/>
              </w:rPr>
              <w:t>1.</w:t>
            </w:r>
            <w:r>
              <w:rPr>
                <w:rFonts w:hint="eastAsia" w:eastAsia="仿宋"/>
                <w:b/>
                <w:color w:val="000000"/>
                <w:sz w:val="24"/>
                <w:lang w:val="en-US" w:eastAsia="zh-CN"/>
              </w:rPr>
              <w:t>环评编制依据</w:t>
            </w:r>
          </w:p>
          <w:p w14:paraId="72B92EA4">
            <w:pPr>
              <w:autoSpaceDE w:val="0"/>
              <w:autoSpaceDN w:val="0"/>
              <w:adjustRightInd w:val="0"/>
              <w:snapToGrid w:val="0"/>
              <w:spacing w:line="360" w:lineRule="auto"/>
              <w:ind w:firstLine="480" w:firstLineChars="200"/>
              <w:jc w:val="both"/>
              <w:rPr>
                <w:rFonts w:hint="default" w:ascii="Times New Roman" w:hAnsi="Times New Roman" w:eastAsia="仿宋" w:cs="Times New Roman"/>
                <w:color w:val="000000"/>
                <w:sz w:val="24"/>
                <w:lang w:val="en-US"/>
              </w:rPr>
            </w:pPr>
            <w:r>
              <w:rPr>
                <w:rFonts w:ascii="Times New Roman" w:hAnsi="Times New Roman" w:eastAsia="仿宋" w:cs="Times New Roman"/>
                <w:color w:val="000000"/>
                <w:sz w:val="24"/>
              </w:rPr>
              <w:t>根据《建设项目环境影响评价分类管理名录》（2021年版）</w:t>
            </w:r>
            <w:r>
              <w:rPr>
                <w:rFonts w:hint="eastAsia" w:ascii="Times New Roman" w:hAnsi="Times New Roman" w:eastAsia="仿宋" w:cs="Times New Roman"/>
                <w:color w:val="000000"/>
                <w:sz w:val="24"/>
                <w:lang w:val="en-US" w:eastAsia="zh-CN"/>
              </w:rPr>
              <w:t>“八、非金属矿采选业中11、土砂石开采（不含河道采砂项目）中涉及环境敏感区的（不含单独的矿石破碎、集运；不含矿区修复治理工程）的编制报告书，其他编制报告表”，</w:t>
            </w:r>
            <w:r>
              <w:rPr>
                <w:rFonts w:hint="eastAsia" w:ascii="Times New Roman" w:hAnsi="Times New Roman" w:eastAsia="仿宋" w:cs="Times New Roman"/>
                <w:b w:val="0"/>
                <w:bCs w:val="0"/>
                <w:color w:val="000000"/>
                <w:kern w:val="2"/>
                <w:sz w:val="24"/>
                <w:szCs w:val="24"/>
                <w:lang w:val="en-US" w:eastAsia="zh-CN"/>
              </w:rPr>
              <w:t>“二十七非金属矿物制品业 60、耐火材料制品制造；石墨及其他非金属矿物制</w:t>
            </w:r>
            <w:r>
              <w:rPr>
                <w:rFonts w:hint="eastAsia" w:ascii="Times New Roman" w:hAnsi="Times New Roman" w:eastAsia="仿宋" w:cs="Times New Roman"/>
                <w:color w:val="000000"/>
                <w:sz w:val="24"/>
                <w:lang w:val="en-US" w:eastAsia="zh-CN"/>
              </w:rPr>
              <w:t>品制造”规定，“石棉制品；含焙烧的石墨、碳素制品”编制环境影响报告书，“其他”编制环境影响报告表”。本项目属于冶金用石英岩矿开采及加工</w:t>
            </w:r>
            <w:r>
              <w:rPr>
                <w:rFonts w:hint="default" w:ascii="Times New Roman" w:hAnsi="Times New Roman" w:eastAsia="仿宋" w:cs="Times New Roman"/>
                <w:color w:val="000000"/>
                <w:sz w:val="24"/>
                <w:lang w:val="en-US" w:eastAsia="zh-CN"/>
              </w:rPr>
              <w:t>建设项目</w:t>
            </w:r>
            <w:r>
              <w:rPr>
                <w:rFonts w:hint="eastAsia" w:ascii="Times New Roman" w:hAnsi="Times New Roman" w:eastAsia="仿宋" w:cs="Times New Roman"/>
                <w:color w:val="000000"/>
                <w:sz w:val="24"/>
                <w:lang w:val="en-US" w:eastAsia="zh-CN"/>
              </w:rPr>
              <w:t>，不涉及环境敏感区。因此，本项目需编制环境影响报告表。</w:t>
            </w:r>
          </w:p>
          <w:p w14:paraId="64116CFC">
            <w:pPr>
              <w:keepNext/>
              <w:keepLines/>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outlineLvl w:val="1"/>
              <w:rPr>
                <w:rFonts w:hint="default" w:eastAsia="仿宋" w:cs="Times New Roman"/>
                <w:b/>
                <w:bCs/>
                <w:color w:val="auto"/>
                <w:sz w:val="24"/>
                <w:szCs w:val="32"/>
                <w:highlight w:val="none"/>
                <w:lang w:val="en-US" w:eastAsia="zh-CN"/>
              </w:rPr>
            </w:pPr>
            <w:r>
              <w:rPr>
                <w:rFonts w:hint="eastAsia" w:eastAsia="仿宋" w:cs="Times New Roman"/>
                <w:b/>
                <w:bCs/>
                <w:color w:val="auto"/>
                <w:sz w:val="24"/>
                <w:szCs w:val="32"/>
                <w:highlight w:val="none"/>
                <w:lang w:val="en-US" w:eastAsia="zh-CN"/>
              </w:rPr>
              <w:t>2.矿山开采历史情况</w:t>
            </w:r>
          </w:p>
          <w:p w14:paraId="584E020D">
            <w:pPr>
              <w:autoSpaceDE w:val="0"/>
              <w:autoSpaceDN w:val="0"/>
              <w:adjustRightInd w:val="0"/>
              <w:snapToGrid w:val="0"/>
              <w:spacing w:line="360" w:lineRule="auto"/>
              <w:ind w:firstLine="480" w:firstLineChars="200"/>
              <w:jc w:val="both"/>
              <w:rPr>
                <w:rFonts w:hint="eastAsia" w:eastAsia="仿宋" w:cs="Times New Roman"/>
                <w:b w:val="0"/>
                <w:bCs w:val="0"/>
                <w:color w:val="FF0000"/>
                <w:kern w:val="2"/>
                <w:sz w:val="24"/>
                <w:szCs w:val="24"/>
                <w:lang w:val="en-US" w:eastAsia="zh-CN"/>
              </w:rPr>
            </w:pPr>
            <w:r>
              <w:rPr>
                <w:rFonts w:hint="default" w:ascii="Times New Roman" w:hAnsi="Times New Roman" w:eastAsia="仿宋" w:cs="Times New Roman"/>
                <w:b w:val="0"/>
                <w:bCs w:val="0"/>
                <w:color w:val="FF0000"/>
                <w:kern w:val="2"/>
                <w:sz w:val="24"/>
                <w:szCs w:val="24"/>
                <w:lang w:val="en-US" w:eastAsia="zh-CN"/>
              </w:rPr>
              <w:t>平川镇羊圈湾冶金用石英岩矿自2010年12月17日取得采矿权以来，一直未进行开采，2012年12月《采矿许可证》到期后企业进行了采矿证延续，并调整了矿山生产规模，由原来的3×10</w:t>
            </w:r>
            <w:r>
              <w:rPr>
                <w:rFonts w:hint="default" w:ascii="Times New Roman" w:hAnsi="Times New Roman" w:eastAsia="仿宋" w:cs="Times New Roman"/>
                <w:b w:val="0"/>
                <w:bCs w:val="0"/>
                <w:color w:val="FF0000"/>
                <w:kern w:val="2"/>
                <w:sz w:val="24"/>
                <w:szCs w:val="24"/>
                <w:vertAlign w:val="superscript"/>
                <w:lang w:val="en-US" w:eastAsia="zh-CN"/>
              </w:rPr>
              <w:t>4</w:t>
            </w:r>
            <w:r>
              <w:rPr>
                <w:rFonts w:hint="default" w:ascii="Times New Roman" w:hAnsi="Times New Roman" w:eastAsia="仿宋" w:cs="Times New Roman"/>
                <w:b w:val="0"/>
                <w:bCs w:val="0"/>
                <w:color w:val="FF0000"/>
                <w:kern w:val="2"/>
                <w:sz w:val="24"/>
                <w:szCs w:val="24"/>
                <w:lang w:val="en-US" w:eastAsia="zh-CN"/>
              </w:rPr>
              <w:t>t/年调整到5×10</w:t>
            </w:r>
            <w:r>
              <w:rPr>
                <w:rFonts w:hint="default" w:ascii="Times New Roman" w:hAnsi="Times New Roman" w:eastAsia="仿宋" w:cs="Times New Roman"/>
                <w:b w:val="0"/>
                <w:bCs w:val="0"/>
                <w:color w:val="FF0000"/>
                <w:kern w:val="2"/>
                <w:sz w:val="24"/>
                <w:szCs w:val="24"/>
                <w:vertAlign w:val="superscript"/>
                <w:lang w:val="en-US" w:eastAsia="zh-CN"/>
              </w:rPr>
              <w:t>4</w:t>
            </w:r>
            <w:r>
              <w:rPr>
                <w:rFonts w:hint="default" w:ascii="Times New Roman" w:hAnsi="Times New Roman" w:eastAsia="仿宋" w:cs="Times New Roman"/>
                <w:b w:val="0"/>
                <w:bCs w:val="0"/>
                <w:color w:val="FF0000"/>
                <w:kern w:val="2"/>
                <w:sz w:val="24"/>
                <w:szCs w:val="24"/>
                <w:lang w:val="en-US" w:eastAsia="zh-CN"/>
              </w:rPr>
              <w:t>t/年，但由于受市场投资影响，矿山未进行开采，仅在前期进行过简单剥离作业，</w:t>
            </w:r>
            <w:r>
              <w:rPr>
                <w:rFonts w:hint="eastAsia" w:eastAsia="仿宋" w:cs="Times New Roman"/>
                <w:b w:val="0"/>
                <w:bCs w:val="0"/>
                <w:color w:val="FF0000"/>
                <w:kern w:val="2"/>
                <w:sz w:val="24"/>
                <w:szCs w:val="24"/>
                <w:lang w:val="en-US" w:eastAsia="zh-CN"/>
              </w:rPr>
              <w:t>2019年12月25日建设单位取得《张掖市生态环境局关于〈临泽县金源矿业有限责任公司平川镇羊圈湾冶金用石英岩矿项目环境影响报告书〉的批复》（张环环评发</w:t>
            </w:r>
            <w:r>
              <w:rPr>
                <w:rFonts w:hint="default" w:ascii="Times New Roman" w:hAnsi="Times New Roman" w:eastAsia="仿宋" w:cs="Times New Roman"/>
                <w:color w:val="FF0000"/>
                <w:kern w:val="0"/>
                <w:sz w:val="24"/>
                <w:highlight w:val="none"/>
                <w:lang w:val="en-US" w:eastAsia="zh-CN"/>
              </w:rPr>
              <w:t>〔20</w:t>
            </w:r>
            <w:r>
              <w:rPr>
                <w:rFonts w:hint="eastAsia" w:eastAsia="仿宋" w:cs="Times New Roman"/>
                <w:color w:val="FF0000"/>
                <w:kern w:val="0"/>
                <w:sz w:val="24"/>
                <w:highlight w:val="none"/>
                <w:lang w:val="en-US" w:eastAsia="zh-CN"/>
              </w:rPr>
              <w:t>19</w:t>
            </w:r>
            <w:r>
              <w:rPr>
                <w:rFonts w:hint="default" w:ascii="Times New Roman" w:hAnsi="Times New Roman" w:eastAsia="仿宋" w:cs="Times New Roman"/>
                <w:color w:val="FF0000"/>
                <w:kern w:val="0"/>
                <w:sz w:val="24"/>
                <w:highlight w:val="none"/>
                <w:lang w:val="en-US" w:eastAsia="zh-CN"/>
              </w:rPr>
              <w:t>〕</w:t>
            </w:r>
            <w:r>
              <w:rPr>
                <w:rFonts w:hint="eastAsia" w:eastAsia="仿宋" w:cs="Times New Roman"/>
                <w:color w:val="FF0000"/>
                <w:kern w:val="0"/>
                <w:sz w:val="24"/>
                <w:highlight w:val="none"/>
                <w:lang w:val="en-US" w:eastAsia="zh-CN"/>
              </w:rPr>
              <w:t>25号</w:t>
            </w:r>
            <w:r>
              <w:rPr>
                <w:rFonts w:hint="eastAsia" w:eastAsia="仿宋" w:cs="Times New Roman"/>
                <w:b w:val="0"/>
                <w:bCs w:val="0"/>
                <w:color w:val="FF0000"/>
                <w:kern w:val="2"/>
                <w:sz w:val="24"/>
                <w:szCs w:val="24"/>
                <w:lang w:val="en-US" w:eastAsia="zh-CN"/>
              </w:rPr>
              <w:t>），</w:t>
            </w:r>
            <w:r>
              <w:rPr>
                <w:rFonts w:hint="default" w:ascii="Times New Roman" w:hAnsi="Times New Roman" w:eastAsia="仿宋" w:cs="Times New Roman"/>
                <w:b w:val="0"/>
                <w:bCs w:val="0"/>
                <w:color w:val="FF0000"/>
                <w:kern w:val="2"/>
                <w:sz w:val="24"/>
                <w:szCs w:val="24"/>
                <w:lang w:val="en-US" w:eastAsia="zh-CN"/>
              </w:rPr>
              <w:t>2021年矿山取得安全生产许可证</w:t>
            </w:r>
            <w:r>
              <w:rPr>
                <w:rFonts w:hint="eastAsia" w:eastAsia="仿宋" w:cs="Times New Roman"/>
                <w:b w:val="0"/>
                <w:bCs w:val="0"/>
                <w:color w:val="FF0000"/>
                <w:kern w:val="2"/>
                <w:sz w:val="24"/>
                <w:szCs w:val="24"/>
                <w:lang w:val="en-US" w:eastAsia="zh-CN"/>
              </w:rPr>
              <w:t>，2021年至2022年1月进行了开采加工，</w:t>
            </w:r>
            <w:r>
              <w:rPr>
                <w:rFonts w:hint="default" w:ascii="Times New Roman" w:hAnsi="Times New Roman" w:eastAsia="仿宋" w:cs="Times New Roman"/>
                <w:b w:val="0"/>
                <w:bCs w:val="0"/>
                <w:color w:val="FF0000"/>
                <w:kern w:val="2"/>
                <w:sz w:val="24"/>
                <w:szCs w:val="24"/>
                <w:lang w:val="en-US" w:eastAsia="zh-CN"/>
              </w:rPr>
              <w:t>生产矿石5.38×10</w:t>
            </w:r>
            <w:r>
              <w:rPr>
                <w:rFonts w:hint="default" w:ascii="Times New Roman" w:hAnsi="Times New Roman" w:eastAsia="仿宋" w:cs="Times New Roman"/>
                <w:b w:val="0"/>
                <w:bCs w:val="0"/>
                <w:color w:val="FF0000"/>
                <w:kern w:val="2"/>
                <w:sz w:val="24"/>
                <w:szCs w:val="24"/>
                <w:vertAlign w:val="superscript"/>
                <w:lang w:val="en-US" w:eastAsia="zh-CN"/>
              </w:rPr>
              <w:t>4</w:t>
            </w:r>
            <w:r>
              <w:rPr>
                <w:rFonts w:hint="default" w:ascii="Times New Roman" w:hAnsi="Times New Roman" w:eastAsia="仿宋" w:cs="Times New Roman"/>
                <w:b w:val="0"/>
                <w:bCs w:val="0"/>
                <w:color w:val="FF0000"/>
                <w:kern w:val="2"/>
                <w:sz w:val="24"/>
                <w:szCs w:val="24"/>
                <w:lang w:val="en-US" w:eastAsia="zh-CN"/>
              </w:rPr>
              <w:t>t，由于受市场经济</w:t>
            </w:r>
            <w:r>
              <w:rPr>
                <w:rFonts w:hint="eastAsia" w:eastAsia="仿宋" w:cs="Times New Roman"/>
                <w:b w:val="0"/>
                <w:bCs w:val="0"/>
                <w:color w:val="FF0000"/>
                <w:kern w:val="2"/>
                <w:sz w:val="24"/>
                <w:szCs w:val="24"/>
                <w:lang w:val="en-US" w:eastAsia="zh-CN"/>
              </w:rPr>
              <w:t>影响</w:t>
            </w:r>
            <w:r>
              <w:rPr>
                <w:rFonts w:hint="default" w:ascii="Times New Roman" w:hAnsi="Times New Roman" w:eastAsia="仿宋" w:cs="Times New Roman"/>
                <w:b w:val="0"/>
                <w:bCs w:val="0"/>
                <w:color w:val="FF0000"/>
                <w:kern w:val="2"/>
                <w:sz w:val="24"/>
                <w:szCs w:val="24"/>
                <w:lang w:val="en-US" w:eastAsia="zh-CN"/>
              </w:rPr>
              <w:t>，自2022年1月至今一直处于停产状态。</w:t>
            </w:r>
          </w:p>
          <w:p w14:paraId="6B435D6E">
            <w:pPr>
              <w:autoSpaceDE w:val="0"/>
              <w:autoSpaceDN w:val="0"/>
              <w:adjustRightInd w:val="0"/>
              <w:snapToGrid w:val="0"/>
              <w:spacing w:line="360" w:lineRule="auto"/>
              <w:ind w:firstLine="480" w:firstLineChars="200"/>
              <w:jc w:val="both"/>
              <w:rPr>
                <w:rFonts w:hint="default" w:ascii="Times New Roman" w:hAnsi="Times New Roman" w:eastAsia="仿宋" w:cs="Times New Roman"/>
                <w:b w:val="0"/>
                <w:bCs w:val="0"/>
                <w:color w:val="FF0000"/>
                <w:kern w:val="2"/>
                <w:sz w:val="24"/>
                <w:szCs w:val="24"/>
                <w:lang w:val="en-US" w:eastAsia="zh-CN"/>
              </w:rPr>
            </w:pPr>
            <w:r>
              <w:rPr>
                <w:rFonts w:hint="eastAsia" w:ascii="Times New Roman" w:hAnsi="Times New Roman" w:eastAsia="仿宋" w:cs="Times New Roman"/>
                <w:b w:val="0"/>
                <w:bCs w:val="0"/>
                <w:snapToGrid/>
                <w:color w:val="FF0000"/>
                <w:kern w:val="0"/>
                <w:sz w:val="24"/>
                <w:szCs w:val="24"/>
                <w:vertAlign w:val="baseline"/>
                <w:lang w:val="en-US" w:eastAsia="zh-CN" w:bidi="ar-SA"/>
              </w:rPr>
              <w:t>根据调查，2026年5月29日，由临泽县自然资源局组织对临泽县金源矿业有限责任公司平川镇羊圈湾冶金用石英岩矿矿山地质环境恢复治理进行了验收。</w:t>
            </w:r>
            <w:r>
              <w:rPr>
                <w:rFonts w:hint="eastAsia" w:eastAsia="仿宋" w:cs="Times New Roman"/>
                <w:b w:val="0"/>
                <w:bCs w:val="0"/>
                <w:color w:val="FF0000"/>
                <w:kern w:val="2"/>
                <w:sz w:val="24"/>
                <w:szCs w:val="24"/>
                <w:lang w:val="en-US" w:eastAsia="zh-CN"/>
              </w:rPr>
              <w:t>矿区前期由于开采活动遗留的环境问题全部进行了生态恢复，破碎工业场地的设备已全部拆除并进行生态恢复等，本次环评破碎场生产设备全部为新购置。</w:t>
            </w:r>
          </w:p>
          <w:p w14:paraId="1119E917">
            <w:pPr>
              <w:autoSpaceDE w:val="0"/>
              <w:autoSpaceDN w:val="0"/>
              <w:adjustRightInd w:val="0"/>
              <w:snapToGrid w:val="0"/>
              <w:spacing w:line="360" w:lineRule="auto"/>
              <w:ind w:firstLine="480" w:firstLineChars="200"/>
              <w:jc w:val="both"/>
              <w:rPr>
                <w:rFonts w:hint="default"/>
                <w:color w:val="auto"/>
                <w:sz w:val="28"/>
                <w:szCs w:val="28"/>
                <w:lang w:val="en-US"/>
              </w:rPr>
            </w:pPr>
            <w:r>
              <w:rPr>
                <w:rFonts w:hint="eastAsia" w:eastAsia="仿宋" w:cs="Times New Roman"/>
                <w:b w:val="0"/>
                <w:bCs w:val="0"/>
                <w:color w:val="000000"/>
                <w:kern w:val="2"/>
                <w:sz w:val="24"/>
                <w:szCs w:val="24"/>
                <w:lang w:val="en-US" w:eastAsia="zh-CN"/>
              </w:rPr>
              <w:t>根据《临泽县金源矿业有限责任公司平川镇羊圈湾冶金用石英岩矿开采方案与矿区生态修复方案》可知，</w:t>
            </w:r>
            <w:r>
              <w:rPr>
                <w:rFonts w:hint="default" w:ascii="Times New Roman" w:hAnsi="Times New Roman" w:eastAsia="仿宋" w:cs="Times New Roman"/>
                <w:b w:val="0"/>
                <w:bCs w:val="0"/>
                <w:color w:val="000000"/>
                <w:kern w:val="2"/>
                <w:sz w:val="24"/>
                <w:szCs w:val="24"/>
                <w:lang w:val="en-US" w:eastAsia="zh-CN"/>
              </w:rPr>
              <w:t>原临泽县金源矿业有限责任公司平川镇羊圈湾冶金用石英岩矿矿区范围由4个拐点坐标圈定，矿区面积为0.414km²，开采深度由</w:t>
            </w:r>
            <w:r>
              <w:rPr>
                <w:rFonts w:hint="default" w:ascii="Times New Roman" w:hAnsi="Times New Roman" w:eastAsia="仿宋" w:cs="Times New Roman"/>
                <w:b w:val="0"/>
                <w:bCs w:val="0"/>
                <w:color w:val="000000"/>
                <w:kern w:val="2"/>
                <w:sz w:val="24"/>
                <w:szCs w:val="24"/>
                <w:lang w:val="zh-CN" w:eastAsia="zh-CN"/>
              </w:rPr>
              <w:t>1511-14</w:t>
            </w:r>
            <w:r>
              <w:rPr>
                <w:rFonts w:hint="eastAsia" w:eastAsia="仿宋" w:cs="Times New Roman"/>
                <w:b w:val="0"/>
                <w:bCs w:val="0"/>
                <w:color w:val="000000"/>
                <w:kern w:val="2"/>
                <w:sz w:val="24"/>
                <w:szCs w:val="24"/>
                <w:lang w:val="en-US" w:eastAsia="zh-CN"/>
              </w:rPr>
              <w:t>8</w:t>
            </w:r>
            <w:r>
              <w:rPr>
                <w:rFonts w:hint="default" w:ascii="Times New Roman" w:hAnsi="Times New Roman" w:eastAsia="仿宋" w:cs="Times New Roman"/>
                <w:b w:val="0"/>
                <w:bCs w:val="0"/>
                <w:color w:val="000000"/>
                <w:kern w:val="2"/>
                <w:sz w:val="24"/>
                <w:szCs w:val="24"/>
                <w:lang w:val="zh-CN" w:eastAsia="zh-CN"/>
              </w:rPr>
              <w:t>0</w:t>
            </w:r>
            <w:r>
              <w:rPr>
                <w:rFonts w:hint="default" w:ascii="Times New Roman" w:hAnsi="Times New Roman" w:eastAsia="仿宋" w:cs="Times New Roman"/>
                <w:b w:val="0"/>
                <w:bCs w:val="0"/>
                <w:color w:val="000000"/>
                <w:kern w:val="2"/>
                <w:sz w:val="24"/>
                <w:szCs w:val="24"/>
                <w:lang w:val="en-US" w:eastAsia="zh-CN"/>
              </w:rPr>
              <w:t>m</w:t>
            </w:r>
            <w:r>
              <w:rPr>
                <w:rFonts w:hint="default" w:ascii="Times New Roman" w:hAnsi="Times New Roman" w:eastAsia="仿宋" w:cs="Times New Roman"/>
                <w:b w:val="0"/>
                <w:bCs w:val="0"/>
                <w:color w:val="000000"/>
                <w:kern w:val="2"/>
                <w:sz w:val="24"/>
                <w:szCs w:val="24"/>
                <w:lang w:val="zh-CN" w:eastAsia="zh-CN"/>
              </w:rPr>
              <w:t>，</w:t>
            </w:r>
            <w:r>
              <w:rPr>
                <w:rFonts w:hint="default" w:ascii="Times New Roman" w:hAnsi="Times New Roman" w:eastAsia="仿宋" w:cs="Times New Roman"/>
                <w:b w:val="0"/>
                <w:bCs w:val="0"/>
                <w:color w:val="000000"/>
                <w:kern w:val="2"/>
                <w:sz w:val="24"/>
                <w:szCs w:val="24"/>
                <w:lang w:val="en-US" w:eastAsia="zh-CN"/>
              </w:rPr>
              <w:t>生产规模5.0万t/</w:t>
            </w:r>
            <w:r>
              <w:rPr>
                <w:rFonts w:hint="eastAsia" w:eastAsia="仿宋" w:cs="Times New Roman"/>
                <w:b w:val="0"/>
                <w:bCs w:val="0"/>
                <w:color w:val="000000"/>
                <w:kern w:val="2"/>
                <w:sz w:val="24"/>
                <w:szCs w:val="24"/>
                <w:lang w:val="en-US" w:eastAsia="zh-CN"/>
              </w:rPr>
              <w:t>年，本次方案设计矿区范围由6个拐点圈定，矿区面积扩大为0.4588km</w:t>
            </w:r>
            <w:r>
              <w:rPr>
                <w:rFonts w:hint="eastAsia" w:eastAsia="仿宋" w:cs="Times New Roman"/>
                <w:b w:val="0"/>
                <w:bCs w:val="0"/>
                <w:color w:val="000000"/>
                <w:kern w:val="2"/>
                <w:sz w:val="24"/>
                <w:szCs w:val="24"/>
                <w:vertAlign w:val="superscript"/>
                <w:lang w:val="en-US" w:eastAsia="zh-CN"/>
              </w:rPr>
              <w:t>2</w:t>
            </w:r>
            <w:r>
              <w:rPr>
                <w:rFonts w:hint="eastAsia" w:eastAsia="仿宋" w:cs="Times New Roman"/>
                <w:b w:val="0"/>
                <w:bCs w:val="0"/>
                <w:color w:val="000000"/>
                <w:kern w:val="2"/>
                <w:sz w:val="24"/>
                <w:szCs w:val="24"/>
                <w:lang w:val="en-US" w:eastAsia="zh-CN"/>
              </w:rPr>
              <w:t>，开采标高</w:t>
            </w:r>
            <w:r>
              <w:rPr>
                <w:rFonts w:hint="eastAsia" w:eastAsia="仿宋" w:cs="Times New Roman"/>
                <w:b w:val="0"/>
                <w:color w:val="auto"/>
                <w:kern w:val="2"/>
                <w:sz w:val="24"/>
                <w:szCs w:val="32"/>
                <w:highlight w:val="none"/>
                <w:lang w:val="en-US" w:eastAsia="zh-CN" w:bidi="ar-SA"/>
              </w:rPr>
              <w:t>1509</w:t>
            </w:r>
            <w:r>
              <w:rPr>
                <w:rFonts w:hint="default" w:ascii="Times New Roman" w:hAnsi="Times New Roman" w:eastAsia="仿宋" w:cs="Times New Roman"/>
                <w:b w:val="0"/>
                <w:color w:val="auto"/>
                <w:kern w:val="2"/>
                <w:sz w:val="24"/>
                <w:szCs w:val="32"/>
                <w:highlight w:val="none"/>
                <w:lang w:val="en-US" w:eastAsia="zh-CN" w:bidi="ar-SA"/>
              </w:rPr>
              <w:t>m</w:t>
            </w:r>
            <w:r>
              <w:rPr>
                <w:rFonts w:hint="eastAsia" w:ascii="Times New Roman" w:hAnsi="Times New Roman" w:eastAsia="仿宋" w:cs="Times New Roman"/>
                <w:b w:val="0"/>
                <w:color w:val="auto"/>
                <w:kern w:val="2"/>
                <w:sz w:val="24"/>
                <w:szCs w:val="32"/>
                <w:highlight w:val="none"/>
                <w:lang w:val="en-US" w:eastAsia="zh-CN" w:bidi="ar-SA"/>
              </w:rPr>
              <w:t>～</w:t>
            </w:r>
            <w:r>
              <w:rPr>
                <w:rFonts w:hint="eastAsia" w:eastAsia="仿宋" w:cs="Times New Roman"/>
                <w:b w:val="0"/>
                <w:color w:val="auto"/>
                <w:kern w:val="2"/>
                <w:sz w:val="24"/>
                <w:szCs w:val="32"/>
                <w:highlight w:val="none"/>
                <w:lang w:val="en-US" w:eastAsia="zh-CN" w:bidi="ar-SA"/>
              </w:rPr>
              <w:t>1397</w:t>
            </w:r>
            <w:r>
              <w:rPr>
                <w:rFonts w:hint="default" w:ascii="Times New Roman" w:hAnsi="Times New Roman" w:eastAsia="仿宋" w:cs="Times New Roman"/>
                <w:b w:val="0"/>
                <w:color w:val="auto"/>
                <w:kern w:val="2"/>
                <w:sz w:val="24"/>
                <w:szCs w:val="32"/>
                <w:highlight w:val="none"/>
                <w:lang w:val="en-US" w:eastAsia="zh-CN" w:bidi="ar-SA"/>
              </w:rPr>
              <w:t>m</w:t>
            </w:r>
            <w:r>
              <w:rPr>
                <w:rFonts w:hint="eastAsia" w:eastAsia="仿宋" w:cs="Times New Roman"/>
                <w:b w:val="0"/>
                <w:color w:val="auto"/>
                <w:kern w:val="2"/>
                <w:sz w:val="24"/>
                <w:szCs w:val="32"/>
                <w:highlight w:val="none"/>
                <w:lang w:val="en-US" w:eastAsia="zh-CN" w:bidi="ar-SA"/>
              </w:rPr>
              <w:t>，生产规模增大为10</w:t>
            </w:r>
            <w:r>
              <w:rPr>
                <w:rFonts w:hint="default" w:ascii="Times New Roman" w:hAnsi="Times New Roman" w:eastAsia="仿宋" w:cs="Times New Roman"/>
                <w:b w:val="0"/>
                <w:color w:val="auto"/>
                <w:kern w:val="2"/>
                <w:sz w:val="24"/>
                <w:szCs w:val="32"/>
                <w:highlight w:val="none"/>
                <w:lang w:val="en-US" w:eastAsia="zh-CN" w:bidi="ar-SA"/>
              </w:rPr>
              <w:t>万</w:t>
            </w:r>
            <w:r>
              <w:rPr>
                <w:rFonts w:hint="eastAsia" w:eastAsia="仿宋" w:cs="Times New Roman"/>
                <w:b w:val="0"/>
                <w:color w:val="auto"/>
                <w:kern w:val="2"/>
                <w:sz w:val="24"/>
                <w:szCs w:val="32"/>
                <w:highlight w:val="none"/>
                <w:lang w:val="en-US" w:eastAsia="zh-CN" w:bidi="ar-SA"/>
              </w:rPr>
              <w:t>t</w:t>
            </w:r>
            <w:r>
              <w:rPr>
                <w:rFonts w:hint="default" w:ascii="Times New Roman" w:hAnsi="Times New Roman" w:eastAsia="仿宋" w:cs="Times New Roman"/>
                <w:b w:val="0"/>
                <w:color w:val="auto"/>
                <w:kern w:val="2"/>
                <w:sz w:val="24"/>
                <w:szCs w:val="32"/>
                <w:highlight w:val="none"/>
                <w:lang w:val="en-US" w:eastAsia="zh-CN" w:bidi="ar-SA"/>
              </w:rPr>
              <w:t>/年</w:t>
            </w:r>
            <w:r>
              <w:rPr>
                <w:rFonts w:hint="eastAsia" w:eastAsia="仿宋" w:cs="Times New Roman"/>
                <w:b w:val="0"/>
                <w:color w:val="auto"/>
                <w:kern w:val="2"/>
                <w:sz w:val="24"/>
                <w:szCs w:val="32"/>
                <w:highlight w:val="none"/>
                <w:lang w:val="en-US" w:eastAsia="zh-CN" w:bidi="ar-SA"/>
              </w:rPr>
              <w:t>。</w:t>
            </w:r>
          </w:p>
          <w:p w14:paraId="3A63AB77">
            <w:pPr>
              <w:keepNext/>
              <w:keepLines/>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outlineLvl w:val="1"/>
              <w:rPr>
                <w:rFonts w:hint="default" w:ascii="Times New Roman" w:hAnsi="Times New Roman" w:eastAsia="仿宋" w:cs="Times New Roman"/>
                <w:b/>
                <w:bCs/>
                <w:color w:val="auto"/>
                <w:sz w:val="24"/>
                <w:szCs w:val="32"/>
                <w:highlight w:val="none"/>
                <w:lang w:val="en-US" w:eastAsia="zh-CN"/>
              </w:rPr>
            </w:pPr>
            <w:r>
              <w:rPr>
                <w:rFonts w:hint="eastAsia" w:eastAsia="仿宋" w:cs="Times New Roman"/>
                <w:b/>
                <w:bCs/>
                <w:color w:val="auto"/>
                <w:sz w:val="24"/>
                <w:szCs w:val="32"/>
                <w:highlight w:val="none"/>
                <w:lang w:val="en-US" w:eastAsia="zh-CN"/>
              </w:rPr>
              <w:t>3.</w:t>
            </w:r>
            <w:r>
              <w:rPr>
                <w:rFonts w:hint="default" w:ascii="Times New Roman" w:hAnsi="Times New Roman" w:eastAsia="仿宋" w:cs="Times New Roman"/>
                <w:b/>
                <w:bCs/>
                <w:color w:val="auto"/>
                <w:sz w:val="24"/>
                <w:szCs w:val="32"/>
                <w:highlight w:val="none"/>
                <w:lang w:val="en-US" w:eastAsia="zh-CN"/>
              </w:rPr>
              <w:t>项目概况</w:t>
            </w:r>
          </w:p>
          <w:p w14:paraId="79FD7C03">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val="0"/>
                <w:color w:val="auto"/>
                <w:kern w:val="2"/>
                <w:sz w:val="24"/>
                <w:szCs w:val="32"/>
                <w:highlight w:val="none"/>
                <w:lang w:val="en-US" w:eastAsia="zh-CN" w:bidi="ar-SA"/>
              </w:rPr>
              <w:t>项目名称：</w:t>
            </w:r>
            <w:r>
              <w:rPr>
                <w:rFonts w:hint="eastAsia" w:eastAsia="仿宋" w:cs="Times New Roman"/>
                <w:color w:val="000000" w:themeColor="text1"/>
                <w:sz w:val="24"/>
                <w:szCs w:val="24"/>
                <w:highlight w:val="none"/>
                <w:lang w:val="en-US" w:eastAsia="zh-CN"/>
                <w14:textFill>
                  <w14:solidFill>
                    <w14:schemeClr w14:val="tx1"/>
                  </w14:solidFill>
                </w14:textFill>
              </w:rPr>
              <w:t>临泽县金源矿业有限责任公司平川镇羊圈湾冶金用石英岩矿及配套设施建设项目</w:t>
            </w:r>
          </w:p>
          <w:p w14:paraId="4359D035">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32"/>
                <w:highlight w:val="none"/>
                <w:lang w:val="en-US" w:eastAsia="zh-CN" w:bidi="ar-SA"/>
              </w:rPr>
            </w:pPr>
            <w:r>
              <w:rPr>
                <w:rFonts w:hint="default" w:ascii="Times New Roman" w:hAnsi="Times New Roman" w:eastAsia="仿宋" w:cs="Times New Roman"/>
                <w:b w:val="0"/>
                <w:color w:val="auto"/>
                <w:kern w:val="2"/>
                <w:sz w:val="24"/>
                <w:szCs w:val="32"/>
                <w:highlight w:val="none"/>
                <w:lang w:val="en-US" w:eastAsia="zh-CN" w:bidi="ar-SA"/>
              </w:rPr>
              <w:t>采矿权人：</w:t>
            </w:r>
            <w:r>
              <w:rPr>
                <w:rFonts w:hint="eastAsia" w:eastAsia="仿宋" w:cs="Times New Roman"/>
                <w:color w:val="000000" w:themeColor="text1"/>
                <w:sz w:val="24"/>
                <w:szCs w:val="24"/>
                <w:highlight w:val="none"/>
                <w:lang w:val="en-US" w:eastAsia="zh-CN"/>
                <w14:textFill>
                  <w14:solidFill>
                    <w14:schemeClr w14:val="tx1"/>
                  </w14:solidFill>
                </w14:textFill>
              </w:rPr>
              <w:t>临泽县金源矿业有限责任公司</w:t>
            </w:r>
          </w:p>
          <w:p w14:paraId="1450A08D">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32"/>
                <w:highlight w:val="none"/>
                <w:lang w:val="en-US" w:eastAsia="zh-CN" w:bidi="ar-SA"/>
              </w:rPr>
            </w:pPr>
            <w:r>
              <w:rPr>
                <w:rFonts w:hint="default" w:ascii="Times New Roman" w:hAnsi="Times New Roman" w:eastAsia="仿宋" w:cs="Times New Roman"/>
                <w:b w:val="0"/>
                <w:color w:val="auto"/>
                <w:kern w:val="2"/>
                <w:sz w:val="24"/>
                <w:szCs w:val="32"/>
                <w:highlight w:val="none"/>
                <w:lang w:val="en-US" w:eastAsia="zh-CN" w:bidi="ar-SA"/>
              </w:rPr>
              <w:t>开采矿种：</w:t>
            </w:r>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冶金用石英岩原矿</w:t>
            </w:r>
          </w:p>
          <w:p w14:paraId="5A81711C">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32"/>
                <w:highlight w:val="none"/>
                <w:lang w:val="en-US" w:eastAsia="zh-CN" w:bidi="ar-SA"/>
              </w:rPr>
            </w:pPr>
            <w:r>
              <w:rPr>
                <w:rFonts w:hint="default" w:ascii="Times New Roman" w:hAnsi="Times New Roman" w:eastAsia="仿宋" w:cs="Times New Roman"/>
                <w:b w:val="0"/>
                <w:color w:val="auto"/>
                <w:kern w:val="2"/>
                <w:sz w:val="24"/>
                <w:szCs w:val="32"/>
                <w:highlight w:val="none"/>
                <w:lang w:val="en-US" w:eastAsia="zh-CN" w:bidi="ar-SA"/>
              </w:rPr>
              <w:t>开采方式：露天开采</w:t>
            </w:r>
          </w:p>
          <w:p w14:paraId="0493BD28">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32"/>
                <w:highlight w:val="none"/>
                <w:lang w:val="en-US" w:eastAsia="zh-CN" w:bidi="ar-SA"/>
              </w:rPr>
            </w:pPr>
            <w:r>
              <w:rPr>
                <w:rFonts w:hint="default" w:ascii="Times New Roman" w:hAnsi="Times New Roman" w:eastAsia="仿宋" w:cs="Times New Roman"/>
                <w:b w:val="0"/>
                <w:color w:val="auto"/>
                <w:kern w:val="2"/>
                <w:sz w:val="24"/>
                <w:szCs w:val="32"/>
                <w:highlight w:val="none"/>
                <w:lang w:val="en-US" w:eastAsia="zh-CN" w:bidi="ar-SA"/>
              </w:rPr>
              <w:t>生产规模：</w:t>
            </w:r>
            <w:r>
              <w:rPr>
                <w:rFonts w:hint="eastAsia" w:eastAsia="仿宋" w:cs="Times New Roman"/>
                <w:b w:val="0"/>
                <w:color w:val="auto"/>
                <w:kern w:val="2"/>
                <w:sz w:val="24"/>
                <w:szCs w:val="32"/>
                <w:highlight w:val="none"/>
                <w:lang w:val="en-US" w:eastAsia="zh-CN" w:bidi="ar-SA"/>
              </w:rPr>
              <w:t>10</w:t>
            </w:r>
            <w:r>
              <w:rPr>
                <w:rFonts w:hint="default" w:ascii="Times New Roman" w:hAnsi="Times New Roman" w:eastAsia="仿宋" w:cs="Times New Roman"/>
                <w:b w:val="0"/>
                <w:color w:val="auto"/>
                <w:kern w:val="2"/>
                <w:sz w:val="24"/>
                <w:szCs w:val="32"/>
                <w:highlight w:val="none"/>
                <w:lang w:val="en-US" w:eastAsia="zh-CN" w:bidi="ar-SA"/>
              </w:rPr>
              <w:t>万</w:t>
            </w:r>
            <w:r>
              <w:rPr>
                <w:rFonts w:hint="eastAsia" w:eastAsia="仿宋" w:cs="Times New Roman"/>
                <w:b w:val="0"/>
                <w:color w:val="auto"/>
                <w:kern w:val="2"/>
                <w:sz w:val="24"/>
                <w:szCs w:val="32"/>
                <w:highlight w:val="none"/>
                <w:lang w:val="en-US" w:eastAsia="zh-CN" w:bidi="ar-SA"/>
              </w:rPr>
              <w:t>t</w:t>
            </w:r>
            <w:r>
              <w:rPr>
                <w:rFonts w:hint="default" w:ascii="Times New Roman" w:hAnsi="Times New Roman" w:eastAsia="仿宋" w:cs="Times New Roman"/>
                <w:b w:val="0"/>
                <w:color w:val="auto"/>
                <w:kern w:val="2"/>
                <w:sz w:val="24"/>
                <w:szCs w:val="32"/>
                <w:highlight w:val="none"/>
                <w:lang w:val="en-US" w:eastAsia="zh-CN" w:bidi="ar-SA"/>
              </w:rPr>
              <w:t>/年</w:t>
            </w:r>
          </w:p>
          <w:p w14:paraId="731EA4BA">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32"/>
                <w:highlight w:val="none"/>
                <w:lang w:val="en-US" w:eastAsia="zh-CN" w:bidi="ar-SA"/>
              </w:rPr>
            </w:pPr>
            <w:r>
              <w:rPr>
                <w:rFonts w:hint="eastAsia" w:eastAsia="仿宋" w:cs="Times New Roman"/>
                <w:b w:val="0"/>
                <w:color w:val="auto"/>
                <w:kern w:val="2"/>
                <w:sz w:val="24"/>
                <w:szCs w:val="32"/>
                <w:highlight w:val="none"/>
                <w:lang w:val="en-US" w:eastAsia="zh-CN" w:bidi="ar-SA"/>
              </w:rPr>
              <w:t>开拓方式：公路开拓</w:t>
            </w:r>
          </w:p>
          <w:p w14:paraId="7F956C47">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32"/>
                <w:highlight w:val="none"/>
                <w:lang w:val="en-US" w:eastAsia="zh-CN" w:bidi="ar-SA"/>
              </w:rPr>
            </w:pPr>
            <w:r>
              <w:rPr>
                <w:rFonts w:hint="eastAsia" w:eastAsia="仿宋" w:cs="Times New Roman"/>
                <w:b w:val="0"/>
                <w:color w:val="auto"/>
                <w:kern w:val="2"/>
                <w:sz w:val="24"/>
                <w:szCs w:val="32"/>
                <w:highlight w:val="none"/>
                <w:lang w:val="en-US" w:eastAsia="zh-CN" w:bidi="ar-SA"/>
              </w:rPr>
              <w:t>采矿方式：自上而下台阶式开采</w:t>
            </w:r>
          </w:p>
          <w:p w14:paraId="794A8DA4">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32"/>
                <w:highlight w:val="none"/>
                <w:lang w:val="en-US" w:eastAsia="zh-CN" w:bidi="ar-SA"/>
              </w:rPr>
            </w:pPr>
            <w:r>
              <w:rPr>
                <w:rFonts w:hint="eastAsia" w:eastAsia="仿宋" w:cs="Times New Roman"/>
                <w:b w:val="0"/>
                <w:color w:val="auto"/>
                <w:kern w:val="2"/>
                <w:sz w:val="24"/>
                <w:szCs w:val="32"/>
                <w:highlight w:val="none"/>
                <w:lang w:val="en-US" w:eastAsia="zh-CN" w:bidi="ar-SA"/>
              </w:rPr>
              <w:t>选矿方式：破碎、筛分</w:t>
            </w:r>
          </w:p>
          <w:p w14:paraId="250C58A4">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32"/>
                <w:highlight w:val="none"/>
                <w:lang w:val="en-US" w:eastAsia="zh-CN" w:bidi="ar-SA"/>
              </w:rPr>
            </w:pPr>
            <w:r>
              <w:rPr>
                <w:rFonts w:hint="eastAsia" w:eastAsia="仿宋" w:cs="Times New Roman"/>
                <w:b w:val="0"/>
                <w:color w:val="auto"/>
                <w:kern w:val="2"/>
                <w:sz w:val="24"/>
                <w:szCs w:val="32"/>
                <w:highlight w:val="none"/>
                <w:lang w:val="en-US" w:eastAsia="zh-CN" w:bidi="ar-SA"/>
              </w:rPr>
              <w:t>矿山服务年限：10.4a（不含基建期）</w:t>
            </w:r>
          </w:p>
          <w:p w14:paraId="0B183614">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32"/>
                <w:highlight w:val="none"/>
                <w:lang w:val="en-US" w:eastAsia="zh-CN" w:bidi="ar-SA"/>
              </w:rPr>
            </w:pPr>
            <w:r>
              <w:rPr>
                <w:rFonts w:hint="default" w:ascii="Times New Roman" w:hAnsi="Times New Roman" w:eastAsia="仿宋" w:cs="Times New Roman"/>
                <w:b w:val="0"/>
                <w:color w:val="auto"/>
                <w:kern w:val="2"/>
                <w:sz w:val="24"/>
                <w:szCs w:val="32"/>
                <w:highlight w:val="none"/>
                <w:lang w:val="en-US" w:eastAsia="zh-CN" w:bidi="ar-SA"/>
              </w:rPr>
              <w:t>矿区面积：</w:t>
            </w:r>
            <w:r>
              <w:rPr>
                <w:rFonts w:hint="eastAsia" w:eastAsia="仿宋" w:cs="Times New Roman"/>
                <w:b w:val="0"/>
                <w:color w:val="auto"/>
                <w:kern w:val="2"/>
                <w:sz w:val="24"/>
                <w:szCs w:val="32"/>
                <w:highlight w:val="none"/>
                <w:lang w:val="en-US" w:eastAsia="zh-CN" w:bidi="ar-SA"/>
              </w:rPr>
              <w:t>0.4588</w:t>
            </w:r>
            <w:r>
              <w:rPr>
                <w:rFonts w:hint="default" w:ascii="Times New Roman" w:hAnsi="Times New Roman" w:eastAsia="仿宋" w:cs="Times New Roman"/>
                <w:b w:val="0"/>
                <w:color w:val="auto"/>
                <w:kern w:val="2"/>
                <w:sz w:val="24"/>
                <w:szCs w:val="32"/>
                <w:highlight w:val="none"/>
                <w:lang w:val="en-US" w:eastAsia="zh-CN" w:bidi="ar-SA"/>
              </w:rPr>
              <w:t>km</w:t>
            </w:r>
            <w:r>
              <w:rPr>
                <w:rFonts w:hint="default" w:ascii="Times New Roman" w:hAnsi="Times New Roman" w:eastAsia="仿宋" w:cs="Times New Roman"/>
                <w:b w:val="0"/>
                <w:color w:val="auto"/>
                <w:kern w:val="2"/>
                <w:sz w:val="24"/>
                <w:szCs w:val="32"/>
                <w:highlight w:val="none"/>
                <w:vertAlign w:val="superscript"/>
                <w:lang w:val="en-US" w:eastAsia="zh-CN" w:bidi="ar-SA"/>
              </w:rPr>
              <w:t>2</w:t>
            </w:r>
          </w:p>
          <w:p w14:paraId="21F24834">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32"/>
                <w:highlight w:val="none"/>
                <w:lang w:val="en-US" w:eastAsia="zh-CN" w:bidi="ar-SA"/>
              </w:rPr>
            </w:pPr>
            <w:r>
              <w:rPr>
                <w:rFonts w:hint="default" w:ascii="Times New Roman" w:hAnsi="Times New Roman" w:eastAsia="仿宋" w:cs="Times New Roman"/>
                <w:b w:val="0"/>
                <w:color w:val="auto"/>
                <w:kern w:val="2"/>
                <w:sz w:val="24"/>
                <w:szCs w:val="32"/>
                <w:highlight w:val="none"/>
                <w:lang w:val="en-US" w:eastAsia="zh-CN" w:bidi="ar-SA"/>
              </w:rPr>
              <w:t>采矿标高：</w:t>
            </w:r>
            <w:r>
              <w:rPr>
                <w:rFonts w:hint="eastAsia" w:eastAsia="仿宋" w:cs="Times New Roman"/>
                <w:b w:val="0"/>
                <w:color w:val="auto"/>
                <w:kern w:val="2"/>
                <w:sz w:val="24"/>
                <w:szCs w:val="32"/>
                <w:highlight w:val="none"/>
                <w:lang w:val="en-US" w:eastAsia="zh-CN" w:bidi="ar-SA"/>
              </w:rPr>
              <w:t>1509</w:t>
            </w:r>
            <w:r>
              <w:rPr>
                <w:rFonts w:hint="default" w:ascii="Times New Roman" w:hAnsi="Times New Roman" w:eastAsia="仿宋" w:cs="Times New Roman"/>
                <w:b w:val="0"/>
                <w:color w:val="auto"/>
                <w:kern w:val="2"/>
                <w:sz w:val="24"/>
                <w:szCs w:val="32"/>
                <w:highlight w:val="none"/>
                <w:lang w:val="en-US" w:eastAsia="zh-CN" w:bidi="ar-SA"/>
              </w:rPr>
              <w:t>m</w:t>
            </w:r>
            <w:r>
              <w:rPr>
                <w:rFonts w:hint="eastAsia" w:ascii="Times New Roman" w:hAnsi="Times New Roman" w:eastAsia="仿宋" w:cs="Times New Roman"/>
                <w:b w:val="0"/>
                <w:color w:val="auto"/>
                <w:kern w:val="2"/>
                <w:sz w:val="24"/>
                <w:szCs w:val="32"/>
                <w:highlight w:val="none"/>
                <w:lang w:val="en-US" w:eastAsia="zh-CN" w:bidi="ar-SA"/>
              </w:rPr>
              <w:t>～</w:t>
            </w:r>
            <w:r>
              <w:rPr>
                <w:rFonts w:hint="eastAsia" w:eastAsia="仿宋" w:cs="Times New Roman"/>
                <w:b w:val="0"/>
                <w:color w:val="auto"/>
                <w:kern w:val="2"/>
                <w:sz w:val="24"/>
                <w:szCs w:val="32"/>
                <w:highlight w:val="none"/>
                <w:lang w:val="en-US" w:eastAsia="zh-CN" w:bidi="ar-SA"/>
              </w:rPr>
              <w:t>1397</w:t>
            </w:r>
            <w:r>
              <w:rPr>
                <w:rFonts w:hint="default" w:ascii="Times New Roman" w:hAnsi="Times New Roman" w:eastAsia="仿宋" w:cs="Times New Roman"/>
                <w:b w:val="0"/>
                <w:color w:val="auto"/>
                <w:kern w:val="2"/>
                <w:sz w:val="24"/>
                <w:szCs w:val="32"/>
                <w:highlight w:val="none"/>
                <w:lang w:val="en-US" w:eastAsia="zh-CN" w:bidi="ar-SA"/>
              </w:rPr>
              <w:t>m</w:t>
            </w:r>
          </w:p>
          <w:p w14:paraId="3DD1D637">
            <w:pPr>
              <w:keepNext/>
              <w:keepLines/>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outlineLvl w:val="1"/>
              <w:rPr>
                <w:rFonts w:hint="default" w:ascii="Times New Roman" w:hAnsi="Times New Roman" w:eastAsia="仿宋" w:cs="Times New Roman"/>
                <w:b/>
                <w:bCs/>
                <w:color w:val="auto"/>
                <w:sz w:val="24"/>
                <w:szCs w:val="32"/>
                <w:highlight w:val="none"/>
                <w:lang w:val="en-US" w:eastAsia="zh-CN"/>
              </w:rPr>
            </w:pPr>
            <w:r>
              <w:rPr>
                <w:rFonts w:hint="eastAsia" w:eastAsia="仿宋" w:cs="Times New Roman"/>
                <w:b/>
                <w:bCs/>
                <w:color w:val="auto"/>
                <w:sz w:val="24"/>
                <w:szCs w:val="32"/>
                <w:highlight w:val="none"/>
                <w:lang w:val="en-US" w:eastAsia="zh-CN"/>
              </w:rPr>
              <w:t>4.</w:t>
            </w:r>
            <w:r>
              <w:rPr>
                <w:rFonts w:hint="default" w:ascii="Times New Roman" w:hAnsi="Times New Roman" w:eastAsia="仿宋" w:cs="Times New Roman"/>
                <w:b/>
                <w:bCs/>
                <w:color w:val="auto"/>
                <w:sz w:val="24"/>
                <w:szCs w:val="32"/>
                <w:highlight w:val="none"/>
                <w:lang w:val="en-US" w:eastAsia="zh-CN"/>
              </w:rPr>
              <w:t>建设内容</w:t>
            </w:r>
            <w:r>
              <w:rPr>
                <w:rFonts w:hint="eastAsia" w:eastAsia="仿宋" w:cs="Times New Roman"/>
                <w:b/>
                <w:bCs/>
                <w:color w:val="auto"/>
                <w:sz w:val="24"/>
                <w:szCs w:val="32"/>
                <w:highlight w:val="none"/>
                <w:lang w:val="en-US" w:eastAsia="zh-CN"/>
              </w:rPr>
              <w:t>及规模</w:t>
            </w:r>
          </w:p>
          <w:p w14:paraId="658BB27E">
            <w:pPr>
              <w:pStyle w:val="1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32"/>
                <w:highlight w:val="none"/>
                <w:lang w:val="en-US" w:eastAsia="zh-CN" w:bidi="ar-SA"/>
              </w:rPr>
            </w:pPr>
            <w:r>
              <w:rPr>
                <w:rFonts w:hint="eastAsia" w:ascii="Times New Roman" w:hAnsi="Times New Roman" w:eastAsia="仿宋" w:cs="Times New Roman"/>
                <w:b w:val="0"/>
                <w:color w:val="auto"/>
                <w:kern w:val="2"/>
                <w:sz w:val="24"/>
                <w:szCs w:val="32"/>
                <w:highlight w:val="none"/>
                <w:lang w:val="en-US" w:eastAsia="zh-CN" w:bidi="ar-SA"/>
              </w:rPr>
              <w:t>本</w:t>
            </w:r>
            <w:r>
              <w:rPr>
                <w:rFonts w:hint="default" w:ascii="Times New Roman" w:hAnsi="Times New Roman" w:eastAsia="仿宋" w:cs="Times New Roman"/>
                <w:b w:val="0"/>
                <w:color w:val="auto"/>
                <w:kern w:val="2"/>
                <w:sz w:val="24"/>
                <w:szCs w:val="32"/>
                <w:highlight w:val="none"/>
                <w:lang w:val="en-US" w:eastAsia="zh-CN" w:bidi="ar-SA"/>
              </w:rPr>
              <w:t>项目主要建设内容情况见表</w:t>
            </w:r>
            <w:r>
              <w:rPr>
                <w:rFonts w:hint="eastAsia" w:ascii="Times New Roman" w:hAnsi="Times New Roman" w:eastAsia="仿宋" w:cs="Times New Roman"/>
                <w:b w:val="0"/>
                <w:color w:val="auto"/>
                <w:kern w:val="2"/>
                <w:sz w:val="24"/>
                <w:szCs w:val="32"/>
                <w:highlight w:val="none"/>
                <w:lang w:val="en-US" w:eastAsia="zh-CN" w:bidi="ar-SA"/>
              </w:rPr>
              <w:t>8</w:t>
            </w:r>
            <w:r>
              <w:rPr>
                <w:rFonts w:hint="default" w:ascii="Times New Roman" w:hAnsi="Times New Roman" w:eastAsia="仿宋" w:cs="Times New Roman"/>
                <w:b w:val="0"/>
                <w:color w:val="auto"/>
                <w:kern w:val="2"/>
                <w:sz w:val="24"/>
                <w:szCs w:val="32"/>
                <w:highlight w:val="none"/>
                <w:lang w:val="en-US" w:eastAsia="zh-CN" w:bidi="ar-SA"/>
              </w:rPr>
              <w:t>。</w:t>
            </w:r>
          </w:p>
          <w:p w14:paraId="4A94D225">
            <w:pPr>
              <w:pStyle w:val="35"/>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仿宋" w:cs="Times New Roman"/>
                <w:b/>
                <w:bCs/>
                <w:color w:val="000000" w:themeColor="text1"/>
                <w:sz w:val="21"/>
                <w:szCs w:val="21"/>
                <w:highlight w:val="none"/>
                <w14:textFill>
                  <w14:solidFill>
                    <w14:schemeClr w14:val="tx1"/>
                  </w14:solidFill>
                </w14:textFill>
              </w:rPr>
            </w:pPr>
            <w:r>
              <w:rPr>
                <w:rFonts w:hint="default" w:ascii="Times New Roman" w:hAnsi="Times New Roman" w:eastAsia="仿宋" w:cs="Times New Roman"/>
                <w:b/>
                <w:bCs/>
                <w:color w:val="000000" w:themeColor="text1"/>
                <w:sz w:val="21"/>
                <w:szCs w:val="21"/>
                <w:highlight w:val="none"/>
                <w14:textFill>
                  <w14:solidFill>
                    <w14:schemeClr w14:val="tx1"/>
                  </w14:solidFill>
                </w14:textFill>
              </w:rPr>
              <w:t>表</w:t>
            </w:r>
            <w:r>
              <w:rPr>
                <w:rFonts w:hint="eastAsia" w:ascii="Times New Roman" w:eastAsia="仿宋" w:cs="Times New Roman"/>
                <w:b/>
                <w:bCs/>
                <w:color w:val="000000" w:themeColor="text1"/>
                <w:sz w:val="21"/>
                <w:szCs w:val="21"/>
                <w:highlight w:val="none"/>
                <w:lang w:val="en-US" w:eastAsia="zh-CN"/>
                <w14:textFill>
                  <w14:solidFill>
                    <w14:schemeClr w14:val="tx1"/>
                  </w14:solidFill>
                </w14:textFill>
              </w:rPr>
              <w:t>8</w:t>
            </w:r>
            <w:r>
              <w:rPr>
                <w:rFonts w:hint="default" w:ascii="Times New Roman" w:hAnsi="Times New Roman" w:eastAsia="仿宋" w:cs="Times New Roman"/>
                <w:b/>
                <w:bCs/>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仿宋" w:cs="Times New Roman"/>
                <w:b/>
                <w:bCs/>
                <w:color w:val="000000" w:themeColor="text1"/>
                <w:sz w:val="21"/>
                <w:szCs w:val="21"/>
                <w:highlight w:val="none"/>
                <w14:textFill>
                  <w14:solidFill>
                    <w14:schemeClr w14:val="tx1"/>
                  </w14:solidFill>
                </w14:textFill>
              </w:rPr>
              <w:t>主要建设内容一览表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1146"/>
              <w:gridCol w:w="1239"/>
              <w:gridCol w:w="5536"/>
            </w:tblGrid>
            <w:tr w14:paraId="2D571A7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171" w:hRule="atLeast"/>
                <w:jc w:val="center"/>
              </w:trPr>
              <w:tc>
                <w:tcPr>
                  <w:tcW w:w="1136" w:type="dxa"/>
                  <w:tcBorders>
                    <w:tl2br w:val="nil"/>
                    <w:tr2bl w:val="nil"/>
                  </w:tcBorders>
                  <w:noWrap w:val="0"/>
                  <w:vAlign w:val="center"/>
                </w:tcPr>
                <w:p w14:paraId="1661E891">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工程类别</w:t>
                  </w:r>
                </w:p>
              </w:tc>
              <w:tc>
                <w:tcPr>
                  <w:tcW w:w="1228" w:type="dxa"/>
                  <w:tcBorders>
                    <w:tl2br w:val="nil"/>
                    <w:tr2bl w:val="nil"/>
                  </w:tcBorders>
                  <w:noWrap w:val="0"/>
                  <w:vAlign w:val="center"/>
                </w:tcPr>
                <w:p w14:paraId="6904B38C">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工程名称</w:t>
                  </w:r>
                </w:p>
              </w:tc>
              <w:tc>
                <w:tcPr>
                  <w:tcW w:w="5488" w:type="dxa"/>
                  <w:tcBorders>
                    <w:tl2br w:val="nil"/>
                    <w:tr2bl w:val="nil"/>
                  </w:tcBorders>
                  <w:noWrap w:val="0"/>
                  <w:vAlign w:val="center"/>
                </w:tcPr>
                <w:p w14:paraId="640822C6">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工程内容</w:t>
                  </w:r>
                </w:p>
              </w:tc>
            </w:tr>
            <w:tr w14:paraId="3B8F22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1" w:hRule="atLeast"/>
                <w:jc w:val="center"/>
              </w:trPr>
              <w:tc>
                <w:tcPr>
                  <w:tcW w:w="1136" w:type="dxa"/>
                  <w:vMerge w:val="restart"/>
                  <w:tcBorders>
                    <w:tl2br w:val="nil"/>
                    <w:tr2bl w:val="nil"/>
                  </w:tcBorders>
                  <w:noWrap w:val="0"/>
                  <w:vAlign w:val="center"/>
                </w:tcPr>
                <w:p w14:paraId="006A07A9">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主体工程</w:t>
                  </w:r>
                </w:p>
              </w:tc>
              <w:tc>
                <w:tcPr>
                  <w:tcW w:w="1228" w:type="dxa"/>
                  <w:tcBorders>
                    <w:tl2br w:val="nil"/>
                    <w:tr2bl w:val="nil"/>
                  </w:tcBorders>
                  <w:noWrap w:val="0"/>
                  <w:vAlign w:val="center"/>
                </w:tcPr>
                <w:p w14:paraId="2CEA9704">
                  <w:pPr>
                    <w:keepNext w:val="0"/>
                    <w:keepLines w:val="0"/>
                    <w:pageBreakBefore w:val="0"/>
                    <w:widowControl w:val="0"/>
                    <w:kinsoku/>
                    <w:wordWrap/>
                    <w:overflowPunct/>
                    <w:autoSpaceDE/>
                    <w:bidi w:val="0"/>
                    <w:adjustRightInd w:val="0"/>
                    <w:snapToGrid w:val="0"/>
                    <w:jc w:val="center"/>
                    <w:textAlignment w:val="baseline"/>
                    <w:rPr>
                      <w:rFonts w:hint="eastAsia" w:ascii="Times New Roman" w:hAnsi="Times New Roman" w:eastAsia="仿宋" w:cs="Times New Roman"/>
                      <w:color w:val="000000" w:themeColor="text1"/>
                      <w:sz w:val="21"/>
                      <w:szCs w:val="21"/>
                      <w:highlight w:val="none"/>
                      <w:lang w:eastAsia="zh-CN"/>
                      <w14:textFill>
                        <w14:solidFill>
                          <w14:schemeClr w14:val="tx1"/>
                        </w14:solidFill>
                      </w14:textFill>
                    </w:rPr>
                  </w:pPr>
                  <w:r>
                    <w:rPr>
                      <w:rFonts w:hint="eastAsia" w:eastAsia="仿宋" w:cs="Times New Roman"/>
                      <w:color w:val="000000" w:themeColor="text1"/>
                      <w:sz w:val="21"/>
                      <w:szCs w:val="21"/>
                      <w:highlight w:val="none"/>
                      <w:lang w:val="en-US" w:eastAsia="zh-CN"/>
                      <w14:textFill>
                        <w14:solidFill>
                          <w14:schemeClr w14:val="tx1"/>
                        </w14:solidFill>
                      </w14:textFill>
                    </w:rPr>
                    <w:t>矿区</w:t>
                  </w:r>
                </w:p>
              </w:tc>
              <w:tc>
                <w:tcPr>
                  <w:tcW w:w="5488" w:type="dxa"/>
                  <w:tcBorders>
                    <w:tl2br w:val="nil"/>
                    <w:tr2bl w:val="nil"/>
                  </w:tcBorders>
                  <w:noWrap w:val="0"/>
                  <w:vAlign w:val="center"/>
                </w:tcPr>
                <w:p w14:paraId="3246129F">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仿宋" w:cs="Times New Roman"/>
                      <w:color w:val="FF0000"/>
                      <w:sz w:val="21"/>
                      <w:szCs w:val="21"/>
                      <w:highlight w:val="none"/>
                    </w:rPr>
                    <w:t>矿区面积为</w:t>
                  </w:r>
                  <w:r>
                    <w:rPr>
                      <w:rFonts w:hint="eastAsia" w:eastAsia="仿宋" w:cs="Times New Roman"/>
                      <w:color w:val="FF0000"/>
                      <w:sz w:val="21"/>
                      <w:szCs w:val="21"/>
                      <w:highlight w:val="none"/>
                      <w:lang w:val="en-US" w:eastAsia="zh-CN"/>
                    </w:rPr>
                    <w:t>0.4588k</w:t>
                  </w:r>
                  <w:r>
                    <w:rPr>
                      <w:rFonts w:hint="default" w:ascii="Times New Roman" w:hAnsi="Times New Roman" w:eastAsia="仿宋" w:cs="Times New Roman"/>
                      <w:color w:val="FF0000"/>
                      <w:sz w:val="21"/>
                      <w:szCs w:val="21"/>
                      <w:highlight w:val="none"/>
                    </w:rPr>
                    <w:t>m</w:t>
                  </w:r>
                  <w:r>
                    <w:rPr>
                      <w:rFonts w:hint="default" w:ascii="Times New Roman" w:hAnsi="Times New Roman" w:eastAsia="仿宋" w:cs="Times New Roman"/>
                      <w:color w:val="FF0000"/>
                      <w:sz w:val="21"/>
                      <w:szCs w:val="21"/>
                      <w:highlight w:val="none"/>
                      <w:vertAlign w:val="superscript"/>
                    </w:rPr>
                    <w:t>2</w:t>
                  </w:r>
                  <w:r>
                    <w:rPr>
                      <w:rFonts w:hint="default" w:ascii="Times New Roman" w:hAnsi="Times New Roman" w:eastAsia="仿宋" w:cs="Times New Roman"/>
                      <w:color w:val="FF0000"/>
                      <w:sz w:val="21"/>
                      <w:szCs w:val="21"/>
                      <w:highlight w:val="none"/>
                    </w:rPr>
                    <w:t>，设计开采</w:t>
                  </w:r>
                  <w:r>
                    <w:rPr>
                      <w:rFonts w:hint="default" w:ascii="Times New Roman" w:hAnsi="Times New Roman" w:eastAsia="仿宋" w:cs="Times New Roman"/>
                      <w:color w:val="FF0000"/>
                      <w:sz w:val="21"/>
                      <w:szCs w:val="21"/>
                      <w:highlight w:val="none"/>
                      <w:lang w:val="en-US" w:eastAsia="zh-CN"/>
                    </w:rPr>
                    <w:t>规模为</w:t>
                  </w:r>
                  <w:r>
                    <w:rPr>
                      <w:rFonts w:hint="eastAsia" w:eastAsia="仿宋" w:cs="Times New Roman"/>
                      <w:color w:val="FF0000"/>
                      <w:sz w:val="21"/>
                      <w:szCs w:val="21"/>
                      <w:highlight w:val="none"/>
                      <w:lang w:val="en-US" w:eastAsia="zh-CN"/>
                    </w:rPr>
                    <w:t>10万t</w:t>
                  </w:r>
                  <w:r>
                    <w:rPr>
                      <w:rFonts w:hint="default" w:ascii="Times New Roman" w:hAnsi="Times New Roman" w:eastAsia="仿宋" w:cs="Times New Roman"/>
                      <w:color w:val="FF0000"/>
                      <w:sz w:val="21"/>
                      <w:szCs w:val="21"/>
                      <w:highlight w:val="none"/>
                      <w:lang w:val="en-US" w:eastAsia="zh-CN"/>
                    </w:rPr>
                    <w:t>/</w:t>
                  </w:r>
                  <w:r>
                    <w:rPr>
                      <w:rFonts w:hint="default" w:ascii="Times New Roman" w:hAnsi="Times New Roman" w:eastAsia="仿宋" w:cs="Times New Roman"/>
                      <w:color w:val="FF0000"/>
                      <w:sz w:val="21"/>
                      <w:szCs w:val="21"/>
                      <w:highlight w:val="none"/>
                    </w:rPr>
                    <w:t>a，</w:t>
                  </w:r>
                  <w:r>
                    <w:rPr>
                      <w:rFonts w:hint="default" w:ascii="Times New Roman" w:hAnsi="Times New Roman" w:eastAsia="仿宋" w:cs="Times New Roman"/>
                      <w:color w:val="FF0000"/>
                      <w:sz w:val="21"/>
                      <w:szCs w:val="21"/>
                      <w:highlight w:val="none"/>
                      <w:lang w:val="en-US" w:eastAsia="zh-CN"/>
                    </w:rPr>
                    <w:t>采</w:t>
                  </w:r>
                  <w:r>
                    <w:rPr>
                      <w:rFonts w:hint="default" w:ascii="Times New Roman" w:hAnsi="Times New Roman" w:eastAsia="仿宋" w:cs="Times New Roman"/>
                      <w:color w:val="FF0000"/>
                      <w:sz w:val="21"/>
                      <w:szCs w:val="21"/>
                      <w:highlight w:val="none"/>
                    </w:rPr>
                    <w:t>用露天开采方式，</w:t>
                  </w:r>
                  <w:r>
                    <w:rPr>
                      <w:rFonts w:hint="eastAsia" w:eastAsia="仿宋" w:cs="Times New Roman"/>
                      <w:color w:val="FF0000"/>
                      <w:sz w:val="21"/>
                      <w:szCs w:val="21"/>
                      <w:highlight w:val="none"/>
                      <w:lang w:val="en-US" w:eastAsia="zh-CN"/>
                    </w:rPr>
                    <w:t>自上而下台阶式开采</w:t>
                  </w:r>
                  <w:r>
                    <w:rPr>
                      <w:rFonts w:hint="default" w:ascii="Times New Roman" w:hAnsi="Times New Roman" w:eastAsia="仿宋" w:cs="Times New Roman"/>
                      <w:color w:val="FF0000"/>
                      <w:sz w:val="21"/>
                      <w:szCs w:val="21"/>
                      <w:highlight w:val="none"/>
                    </w:rPr>
                    <w:t>，</w:t>
                  </w:r>
                  <w:r>
                    <w:rPr>
                      <w:rFonts w:hint="eastAsia" w:eastAsia="仿宋" w:cs="Times New Roman"/>
                      <w:color w:val="FF0000"/>
                      <w:sz w:val="21"/>
                      <w:szCs w:val="21"/>
                      <w:highlight w:val="none"/>
                      <w:lang w:val="en-US" w:eastAsia="zh-CN"/>
                    </w:rPr>
                    <w:t>开拓方式为公路开拓，</w:t>
                  </w:r>
                  <w:r>
                    <w:rPr>
                      <w:rFonts w:hint="default" w:ascii="Times New Roman" w:hAnsi="Times New Roman" w:eastAsia="仿宋" w:cs="Times New Roman"/>
                      <w:color w:val="FF0000"/>
                      <w:sz w:val="21"/>
                      <w:szCs w:val="21"/>
                      <w:highlight w:val="none"/>
                    </w:rPr>
                    <w:t>开采标高</w:t>
                  </w:r>
                  <w:r>
                    <w:rPr>
                      <w:rFonts w:hint="eastAsia" w:eastAsia="仿宋" w:cs="Times New Roman"/>
                      <w:color w:val="FF0000"/>
                      <w:sz w:val="21"/>
                      <w:szCs w:val="21"/>
                      <w:highlight w:val="none"/>
                      <w:lang w:val="en-US" w:eastAsia="zh-CN"/>
                    </w:rPr>
                    <w:t>1509</w:t>
                  </w:r>
                  <w:r>
                    <w:rPr>
                      <w:rFonts w:hint="default" w:ascii="Times New Roman" w:hAnsi="Times New Roman" w:eastAsia="仿宋" w:cs="Times New Roman"/>
                      <w:color w:val="FF0000"/>
                      <w:sz w:val="21"/>
                      <w:szCs w:val="21"/>
                      <w:highlight w:val="none"/>
                    </w:rPr>
                    <w:t>～</w:t>
                  </w:r>
                  <w:r>
                    <w:rPr>
                      <w:rFonts w:hint="eastAsia" w:eastAsia="仿宋" w:cs="Times New Roman"/>
                      <w:color w:val="FF0000"/>
                      <w:sz w:val="21"/>
                      <w:szCs w:val="21"/>
                      <w:highlight w:val="none"/>
                      <w:lang w:val="en-US" w:eastAsia="zh-CN"/>
                    </w:rPr>
                    <w:t>1397</w:t>
                  </w:r>
                  <w:r>
                    <w:rPr>
                      <w:rFonts w:hint="default" w:ascii="Times New Roman" w:hAnsi="Times New Roman" w:eastAsia="仿宋" w:cs="Times New Roman"/>
                      <w:color w:val="FF0000"/>
                      <w:sz w:val="21"/>
                      <w:szCs w:val="21"/>
                      <w:highlight w:val="none"/>
                    </w:rPr>
                    <w:t>m，</w:t>
                  </w:r>
                  <w:r>
                    <w:rPr>
                      <w:rFonts w:hint="default" w:ascii="Times New Roman" w:hAnsi="Times New Roman" w:eastAsia="仿宋" w:cs="Times New Roman"/>
                      <w:color w:val="FF0000"/>
                      <w:sz w:val="21"/>
                      <w:szCs w:val="21"/>
                      <w:highlight w:val="none"/>
                      <w:lang w:val="en-US" w:eastAsia="zh-CN"/>
                    </w:rPr>
                    <w:t>矿山服务年限为</w:t>
                  </w:r>
                  <w:r>
                    <w:rPr>
                      <w:rFonts w:hint="eastAsia" w:eastAsia="仿宋" w:cs="Times New Roman"/>
                      <w:color w:val="FF0000"/>
                      <w:sz w:val="21"/>
                      <w:szCs w:val="21"/>
                      <w:highlight w:val="none"/>
                      <w:lang w:val="en-US" w:eastAsia="zh-CN"/>
                    </w:rPr>
                    <w:t>10.4</w:t>
                  </w:r>
                  <w:r>
                    <w:rPr>
                      <w:rFonts w:hint="default" w:ascii="Times New Roman" w:hAnsi="Times New Roman" w:eastAsia="仿宋" w:cs="Times New Roman"/>
                      <w:color w:val="FF0000"/>
                      <w:sz w:val="21"/>
                      <w:szCs w:val="21"/>
                      <w:highlight w:val="none"/>
                      <w:lang w:val="en-US" w:eastAsia="zh-CN"/>
                    </w:rPr>
                    <w:t>年</w:t>
                  </w:r>
                  <w:r>
                    <w:rPr>
                      <w:rFonts w:hint="eastAsia" w:eastAsia="仿宋" w:cs="Times New Roman"/>
                      <w:color w:val="FF0000"/>
                      <w:sz w:val="21"/>
                      <w:szCs w:val="21"/>
                      <w:highlight w:val="none"/>
                      <w:lang w:val="en-US" w:eastAsia="zh-CN"/>
                    </w:rPr>
                    <w:t>（不含基建期）</w:t>
                  </w:r>
                  <w:r>
                    <w:rPr>
                      <w:rFonts w:hint="default" w:ascii="Times New Roman" w:hAnsi="Times New Roman" w:eastAsia="仿宋" w:cs="Times New Roman"/>
                      <w:color w:val="FF0000"/>
                      <w:sz w:val="21"/>
                      <w:szCs w:val="21"/>
                      <w:highlight w:val="none"/>
                      <w:lang w:val="en-US" w:eastAsia="zh-CN"/>
                    </w:rPr>
                    <w:t>。</w:t>
                  </w:r>
                </w:p>
              </w:tc>
            </w:tr>
            <w:tr w14:paraId="63B2FBD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1" w:hRule="atLeast"/>
                <w:jc w:val="center"/>
              </w:trPr>
              <w:tc>
                <w:tcPr>
                  <w:tcW w:w="1136" w:type="dxa"/>
                  <w:vMerge w:val="continue"/>
                  <w:tcBorders>
                    <w:tl2br w:val="nil"/>
                    <w:tr2bl w:val="nil"/>
                  </w:tcBorders>
                  <w:noWrap w:val="0"/>
                  <w:vAlign w:val="center"/>
                </w:tcPr>
                <w:p w14:paraId="510EBFB6">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p>
              </w:tc>
              <w:tc>
                <w:tcPr>
                  <w:tcW w:w="1228" w:type="dxa"/>
                  <w:tcBorders>
                    <w:tl2br w:val="nil"/>
                    <w:tr2bl w:val="nil"/>
                  </w:tcBorders>
                  <w:noWrap w:val="0"/>
                  <w:vAlign w:val="center"/>
                </w:tcPr>
                <w:p w14:paraId="7242BFC0">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pPr>
                  <w:r>
                    <w:rPr>
                      <w:rFonts w:hint="eastAsia" w:eastAsia="仿宋" w:cs="Times New Roman"/>
                      <w:color w:val="000000" w:themeColor="text1"/>
                      <w:sz w:val="21"/>
                      <w:szCs w:val="21"/>
                      <w:highlight w:val="none"/>
                      <w:lang w:val="en-US" w:eastAsia="zh-CN"/>
                      <w14:textFill>
                        <w14:solidFill>
                          <w14:schemeClr w14:val="tx1"/>
                        </w14:solidFill>
                      </w14:textFill>
                    </w:rPr>
                    <w:t>破碎场</w:t>
                  </w:r>
                </w:p>
              </w:tc>
              <w:tc>
                <w:tcPr>
                  <w:tcW w:w="5488" w:type="dxa"/>
                  <w:tcBorders>
                    <w:tl2br w:val="nil"/>
                    <w:tr2bl w:val="nil"/>
                  </w:tcBorders>
                  <w:noWrap w:val="0"/>
                  <w:vAlign w:val="center"/>
                </w:tcPr>
                <w:p w14:paraId="26790335">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pPr>
                  <w:r>
                    <w:rPr>
                      <w:rFonts w:hint="eastAsia" w:eastAsia="仿宋" w:cs="Times New Roman"/>
                      <w:color w:val="000000" w:themeColor="text1"/>
                      <w:sz w:val="21"/>
                      <w:szCs w:val="21"/>
                      <w:highlight w:val="none"/>
                      <w:lang w:val="en-US" w:eastAsia="zh-CN"/>
                      <w14:textFill>
                        <w14:solidFill>
                          <w14:schemeClr w14:val="tx1"/>
                        </w14:solidFill>
                      </w14:textFill>
                    </w:rPr>
                    <w:t>破碎场位于矿区范围内南侧，占地面积为14868m</w:t>
                  </w:r>
                  <w:r>
                    <w:rPr>
                      <w:rFonts w:hint="eastAsia" w:eastAsia="仿宋" w:cs="Times New Roman"/>
                      <w:color w:val="000000" w:themeColor="text1"/>
                      <w:sz w:val="21"/>
                      <w:szCs w:val="21"/>
                      <w:highlight w:val="none"/>
                      <w:vertAlign w:val="superscript"/>
                      <w:lang w:val="en-US" w:eastAsia="zh-CN"/>
                      <w14:textFill>
                        <w14:solidFill>
                          <w14:schemeClr w14:val="tx1"/>
                        </w14:solidFill>
                      </w14:textFill>
                    </w:rPr>
                    <w:t>2</w:t>
                  </w:r>
                  <w:r>
                    <w:rPr>
                      <w:rFonts w:hint="eastAsia" w:eastAsia="仿宋" w:cs="Times New Roman"/>
                      <w:color w:val="000000" w:themeColor="text1"/>
                      <w:sz w:val="21"/>
                      <w:szCs w:val="21"/>
                      <w:highlight w:val="none"/>
                      <w:lang w:val="en-US" w:eastAsia="zh-CN"/>
                      <w14:textFill>
                        <w14:solidFill>
                          <w14:schemeClr w14:val="tx1"/>
                        </w14:solidFill>
                      </w14:textFill>
                    </w:rPr>
                    <w:t>，破碎场布置加工区和成品堆场，工艺主要为破碎、筛分等，破碎和筛分设备位于封闭式生产车间内。</w:t>
                  </w:r>
                </w:p>
              </w:tc>
            </w:tr>
            <w:tr w14:paraId="24A4FB5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90" w:hRule="atLeast"/>
                <w:jc w:val="center"/>
              </w:trPr>
              <w:tc>
                <w:tcPr>
                  <w:tcW w:w="1136" w:type="dxa"/>
                  <w:vMerge w:val="restart"/>
                  <w:tcBorders>
                    <w:tl2br w:val="nil"/>
                    <w:tr2bl w:val="nil"/>
                  </w:tcBorders>
                  <w:noWrap w:val="0"/>
                  <w:vAlign w:val="center"/>
                </w:tcPr>
                <w:p w14:paraId="0FDD3414">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pPr>
                  <w:r>
                    <w:rPr>
                      <w:rFonts w:hint="eastAsia" w:eastAsia="仿宋" w:cs="Times New Roman"/>
                      <w:color w:val="000000" w:themeColor="text1"/>
                      <w:sz w:val="21"/>
                      <w:szCs w:val="21"/>
                      <w:highlight w:val="none"/>
                      <w:lang w:val="en-US" w:eastAsia="zh-CN"/>
                      <w14:textFill>
                        <w14:solidFill>
                          <w14:schemeClr w14:val="tx1"/>
                        </w14:solidFill>
                      </w14:textFill>
                    </w:rPr>
                    <w:t>储运工程</w:t>
                  </w:r>
                </w:p>
              </w:tc>
              <w:tc>
                <w:tcPr>
                  <w:tcW w:w="1228" w:type="dxa"/>
                  <w:tcBorders>
                    <w:tl2br w:val="nil"/>
                    <w:tr2bl w:val="nil"/>
                  </w:tcBorders>
                  <w:noWrap w:val="0"/>
                  <w:vAlign w:val="center"/>
                </w:tcPr>
                <w:p w14:paraId="07E28C31">
                  <w:pPr>
                    <w:keepNext w:val="0"/>
                    <w:keepLines w:val="0"/>
                    <w:pageBreakBefore w:val="0"/>
                    <w:widowControl w:val="0"/>
                    <w:kinsoku/>
                    <w:wordWrap/>
                    <w:overflowPunct/>
                    <w:autoSpaceDE/>
                    <w:bidi w:val="0"/>
                    <w:adjustRightInd w:val="0"/>
                    <w:snapToGrid w:val="0"/>
                    <w:jc w:val="center"/>
                    <w:rPr>
                      <w:rFonts w:hint="eastAsia" w:ascii="Times New Roman" w:hAnsi="Times New Roman" w:eastAsia="仿宋" w:cs="Times New Roman"/>
                      <w:color w:val="000000" w:themeColor="text1"/>
                      <w:sz w:val="21"/>
                      <w:szCs w:val="21"/>
                      <w:highlight w:val="none"/>
                      <w:lang w:val="en-US" w:eastAsia="zh-CN"/>
                      <w14:textFill>
                        <w14:solidFill>
                          <w14:schemeClr w14:val="tx1"/>
                        </w14:solidFill>
                      </w14:textFill>
                    </w:rPr>
                  </w:pPr>
                  <w:r>
                    <w:rPr>
                      <w:rFonts w:hint="eastAsia" w:eastAsia="仿宋" w:cs="Times New Roman"/>
                      <w:color w:val="000000" w:themeColor="text1"/>
                      <w:sz w:val="21"/>
                      <w:szCs w:val="21"/>
                      <w:highlight w:val="none"/>
                      <w:lang w:val="en-US" w:eastAsia="zh-CN"/>
                      <w14:textFill>
                        <w14:solidFill>
                          <w14:schemeClr w14:val="tx1"/>
                        </w14:solidFill>
                      </w14:textFill>
                    </w:rPr>
                    <w:t>排土场</w:t>
                  </w:r>
                </w:p>
              </w:tc>
              <w:tc>
                <w:tcPr>
                  <w:tcW w:w="5488" w:type="dxa"/>
                  <w:tcBorders>
                    <w:tl2br w:val="nil"/>
                    <w:tr2bl w:val="nil"/>
                  </w:tcBorders>
                  <w:noWrap w:val="0"/>
                  <w:vAlign w:val="center"/>
                </w:tcPr>
                <w:p w14:paraId="70751327">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color w:val="000000" w:themeColor="text1"/>
                      <w:sz w:val="21"/>
                      <w:szCs w:val="21"/>
                      <w:highlight w:val="none"/>
                      <w:lang w:val="en-US"/>
                      <w14:textFill>
                        <w14:solidFill>
                          <w14:schemeClr w14:val="tx1"/>
                        </w14:solidFill>
                      </w14:textFill>
                    </w:rPr>
                  </w:pPr>
                  <w:r>
                    <w:rPr>
                      <w:rFonts w:hint="eastAsia" w:eastAsia="仿宋" w:cs="Times New Roman"/>
                      <w:color w:val="FF0000"/>
                      <w:sz w:val="21"/>
                      <w:szCs w:val="21"/>
                      <w:highlight w:val="none"/>
                      <w:lang w:val="en-US" w:eastAsia="zh-CN"/>
                    </w:rPr>
                    <w:t>本项目设置2处排土场，1#排土场位于矿区范围内中部偏南侧，占地面积为25000m</w:t>
                  </w:r>
                  <w:r>
                    <w:rPr>
                      <w:rFonts w:hint="eastAsia" w:eastAsia="仿宋" w:cs="Times New Roman"/>
                      <w:color w:val="FF0000"/>
                      <w:sz w:val="21"/>
                      <w:szCs w:val="21"/>
                      <w:highlight w:val="none"/>
                      <w:vertAlign w:val="superscript"/>
                      <w:lang w:val="en-US" w:eastAsia="zh-CN"/>
                    </w:rPr>
                    <w:t>2</w:t>
                  </w:r>
                  <w:r>
                    <w:rPr>
                      <w:rFonts w:hint="eastAsia" w:eastAsia="仿宋" w:cs="Times New Roman"/>
                      <w:color w:val="FF0000"/>
                      <w:sz w:val="21"/>
                      <w:szCs w:val="21"/>
                      <w:highlight w:val="none"/>
                      <w:lang w:val="en-US" w:eastAsia="zh-CN"/>
                    </w:rPr>
                    <w:t>，排土场容积为100×10</w:t>
                  </w:r>
                  <w:r>
                    <w:rPr>
                      <w:rFonts w:hint="eastAsia" w:eastAsia="仿宋" w:cs="Times New Roman"/>
                      <w:color w:val="FF0000"/>
                      <w:sz w:val="21"/>
                      <w:szCs w:val="21"/>
                      <w:highlight w:val="none"/>
                      <w:vertAlign w:val="superscript"/>
                      <w:lang w:val="en-US" w:eastAsia="zh-CN"/>
                    </w:rPr>
                    <w:t>4</w:t>
                  </w:r>
                  <w:r>
                    <w:rPr>
                      <w:rFonts w:hint="eastAsia" w:eastAsia="仿宋" w:cs="Times New Roman"/>
                      <w:color w:val="FF0000"/>
                      <w:sz w:val="21"/>
                      <w:szCs w:val="21"/>
                      <w:highlight w:val="none"/>
                      <w:lang w:val="en-US" w:eastAsia="zh-CN"/>
                    </w:rPr>
                    <w:t>m</w:t>
                  </w:r>
                  <w:r>
                    <w:rPr>
                      <w:rFonts w:hint="eastAsia" w:eastAsia="仿宋" w:cs="Times New Roman"/>
                      <w:color w:val="FF0000"/>
                      <w:sz w:val="21"/>
                      <w:szCs w:val="21"/>
                      <w:highlight w:val="none"/>
                      <w:vertAlign w:val="superscript"/>
                      <w:lang w:val="en-US" w:eastAsia="zh-CN"/>
                    </w:rPr>
                    <w:t>3</w:t>
                  </w:r>
                  <w:r>
                    <w:rPr>
                      <w:rFonts w:hint="eastAsia" w:eastAsia="仿宋" w:cs="Times New Roman"/>
                      <w:color w:val="FF0000"/>
                      <w:sz w:val="21"/>
                      <w:szCs w:val="21"/>
                      <w:highlight w:val="none"/>
                      <w:lang w:val="en-US" w:eastAsia="zh-CN"/>
                    </w:rPr>
                    <w:t>，2#排土场位于矿区范围内东北侧，占地面积为30000m</w:t>
                  </w:r>
                  <w:r>
                    <w:rPr>
                      <w:rFonts w:hint="eastAsia" w:eastAsia="仿宋" w:cs="Times New Roman"/>
                      <w:color w:val="FF0000"/>
                      <w:sz w:val="21"/>
                      <w:szCs w:val="21"/>
                      <w:highlight w:val="none"/>
                      <w:vertAlign w:val="superscript"/>
                      <w:lang w:val="en-US" w:eastAsia="zh-CN"/>
                    </w:rPr>
                    <w:t>2</w:t>
                  </w:r>
                  <w:r>
                    <w:rPr>
                      <w:rFonts w:hint="eastAsia" w:eastAsia="仿宋" w:cs="Times New Roman"/>
                      <w:color w:val="FF0000"/>
                      <w:sz w:val="21"/>
                      <w:szCs w:val="21"/>
                      <w:highlight w:val="none"/>
                      <w:lang w:val="en-US" w:eastAsia="zh-CN"/>
                    </w:rPr>
                    <w:t>，排土场容积150×10</w:t>
                  </w:r>
                  <w:r>
                    <w:rPr>
                      <w:rFonts w:hint="eastAsia" w:eastAsia="仿宋" w:cs="Times New Roman"/>
                      <w:color w:val="FF0000"/>
                      <w:sz w:val="21"/>
                      <w:szCs w:val="21"/>
                      <w:highlight w:val="none"/>
                      <w:vertAlign w:val="superscript"/>
                      <w:lang w:val="en-US" w:eastAsia="zh-CN"/>
                    </w:rPr>
                    <w:t>4</w:t>
                  </w:r>
                  <w:r>
                    <w:rPr>
                      <w:rFonts w:hint="eastAsia" w:eastAsia="仿宋" w:cs="Times New Roman"/>
                      <w:color w:val="FF0000"/>
                      <w:sz w:val="21"/>
                      <w:szCs w:val="21"/>
                      <w:highlight w:val="none"/>
                      <w:lang w:val="en-US" w:eastAsia="zh-CN"/>
                    </w:rPr>
                    <w:t>m</w:t>
                  </w:r>
                  <w:r>
                    <w:rPr>
                      <w:rFonts w:hint="eastAsia" w:eastAsia="仿宋" w:cs="Times New Roman"/>
                      <w:color w:val="FF0000"/>
                      <w:sz w:val="21"/>
                      <w:szCs w:val="21"/>
                      <w:highlight w:val="none"/>
                      <w:vertAlign w:val="superscript"/>
                      <w:lang w:val="en-US" w:eastAsia="zh-CN"/>
                    </w:rPr>
                    <w:t>3</w:t>
                  </w:r>
                  <w:r>
                    <w:rPr>
                      <w:rFonts w:hint="eastAsia" w:eastAsia="仿宋" w:cs="Times New Roman"/>
                      <w:color w:val="FF0000"/>
                      <w:sz w:val="21"/>
                      <w:szCs w:val="21"/>
                      <w:highlight w:val="none"/>
                      <w:vertAlign w:val="baseline"/>
                      <w:lang w:val="en-US" w:eastAsia="zh-CN"/>
                    </w:rPr>
                    <w:t>，</w:t>
                  </w:r>
                  <w:r>
                    <w:rPr>
                      <w:rFonts w:hint="eastAsia" w:eastAsia="仿宋" w:cs="Times New Roman"/>
                      <w:color w:val="FF0000"/>
                      <w:sz w:val="21"/>
                      <w:szCs w:val="21"/>
                      <w:highlight w:val="none"/>
                      <w:lang w:val="en-US" w:eastAsia="zh-CN"/>
                    </w:rPr>
                    <w:t>排土场周边设置截排水沟和挡土墙。</w:t>
                  </w:r>
                </w:p>
              </w:tc>
            </w:tr>
            <w:tr w14:paraId="284C99F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90" w:hRule="atLeast"/>
                <w:jc w:val="center"/>
              </w:trPr>
              <w:tc>
                <w:tcPr>
                  <w:tcW w:w="1136" w:type="dxa"/>
                  <w:vMerge w:val="continue"/>
                  <w:tcBorders>
                    <w:tl2br w:val="nil"/>
                    <w:tr2bl w:val="nil"/>
                  </w:tcBorders>
                  <w:noWrap w:val="0"/>
                  <w:vAlign w:val="center"/>
                </w:tcPr>
                <w:p w14:paraId="2F3B4129">
                  <w:pPr>
                    <w:keepNext w:val="0"/>
                    <w:keepLines w:val="0"/>
                    <w:pageBreakBefore w:val="0"/>
                    <w:widowControl w:val="0"/>
                    <w:kinsoku/>
                    <w:wordWrap/>
                    <w:overflowPunct/>
                    <w:autoSpaceDE/>
                    <w:bidi w:val="0"/>
                    <w:adjustRightInd w:val="0"/>
                    <w:snapToGrid w:val="0"/>
                    <w:jc w:val="center"/>
                    <w:textAlignment w:val="baseline"/>
                    <w:rPr>
                      <w:rFonts w:hint="eastAsia" w:eastAsia="仿宋" w:cs="Times New Roman"/>
                      <w:color w:val="000000" w:themeColor="text1"/>
                      <w:sz w:val="21"/>
                      <w:szCs w:val="21"/>
                      <w:highlight w:val="none"/>
                      <w:lang w:val="en-US" w:eastAsia="zh-CN"/>
                      <w14:textFill>
                        <w14:solidFill>
                          <w14:schemeClr w14:val="tx1"/>
                        </w14:solidFill>
                      </w14:textFill>
                    </w:rPr>
                  </w:pPr>
                </w:p>
              </w:tc>
              <w:tc>
                <w:tcPr>
                  <w:tcW w:w="1228" w:type="dxa"/>
                  <w:tcBorders>
                    <w:tl2br w:val="nil"/>
                    <w:tr2bl w:val="nil"/>
                  </w:tcBorders>
                  <w:noWrap w:val="0"/>
                  <w:vAlign w:val="center"/>
                </w:tcPr>
                <w:p w14:paraId="3223929D">
                  <w:pPr>
                    <w:keepNext w:val="0"/>
                    <w:keepLines w:val="0"/>
                    <w:pageBreakBefore w:val="0"/>
                    <w:widowControl w:val="0"/>
                    <w:kinsoku/>
                    <w:wordWrap/>
                    <w:overflowPunct/>
                    <w:autoSpaceDE/>
                    <w:bidi w:val="0"/>
                    <w:adjustRightInd w:val="0"/>
                    <w:snapToGrid w:val="0"/>
                    <w:jc w:val="center"/>
                    <w:rPr>
                      <w:rFonts w:hint="default" w:eastAsia="仿宋" w:cs="Times New Roman"/>
                      <w:color w:val="000000" w:themeColor="text1"/>
                      <w:sz w:val="21"/>
                      <w:szCs w:val="21"/>
                      <w:highlight w:val="none"/>
                      <w:lang w:val="en-US" w:eastAsia="zh-CN"/>
                      <w14:textFill>
                        <w14:solidFill>
                          <w14:schemeClr w14:val="tx1"/>
                        </w14:solidFill>
                      </w14:textFill>
                    </w:rPr>
                  </w:pPr>
                  <w:r>
                    <w:rPr>
                      <w:rFonts w:hint="eastAsia" w:eastAsia="仿宋" w:cs="Times New Roman"/>
                      <w:color w:val="000000" w:themeColor="text1"/>
                      <w:sz w:val="21"/>
                      <w:szCs w:val="21"/>
                      <w:highlight w:val="none"/>
                      <w:lang w:val="en-US" w:eastAsia="zh-CN"/>
                      <w14:textFill>
                        <w14:solidFill>
                          <w14:schemeClr w14:val="tx1"/>
                        </w14:solidFill>
                      </w14:textFill>
                    </w:rPr>
                    <w:t>矿区道路</w:t>
                  </w:r>
                </w:p>
              </w:tc>
              <w:tc>
                <w:tcPr>
                  <w:tcW w:w="5488" w:type="dxa"/>
                  <w:tcBorders>
                    <w:tl2br w:val="nil"/>
                    <w:tr2bl w:val="nil"/>
                  </w:tcBorders>
                  <w:noWrap w:val="0"/>
                  <w:vAlign w:val="center"/>
                </w:tcPr>
                <w:p w14:paraId="4C5DAF29">
                  <w:pPr>
                    <w:keepNext w:val="0"/>
                    <w:keepLines w:val="0"/>
                    <w:pageBreakBefore w:val="0"/>
                    <w:widowControl w:val="0"/>
                    <w:kinsoku/>
                    <w:wordWrap/>
                    <w:overflowPunct/>
                    <w:autoSpaceDE/>
                    <w:bidi w:val="0"/>
                    <w:adjustRightInd w:val="0"/>
                    <w:snapToGrid w:val="0"/>
                    <w:textAlignment w:val="baseline"/>
                    <w:rPr>
                      <w:rFonts w:hint="eastAsia" w:eastAsia="仿宋" w:cs="Times New Roman"/>
                      <w:color w:val="000000" w:themeColor="text1"/>
                      <w:sz w:val="21"/>
                      <w:szCs w:val="21"/>
                      <w:highlight w:val="none"/>
                      <w:lang w:val="en-US" w:eastAsia="zh-CN"/>
                      <w14:textFill>
                        <w14:solidFill>
                          <w14:schemeClr w14:val="tx1"/>
                        </w14:solidFill>
                      </w14:textFill>
                    </w:rPr>
                  </w:pPr>
                  <w:r>
                    <w:rPr>
                      <w:rFonts w:hint="eastAsia" w:eastAsia="仿宋" w:cs="Times New Roman"/>
                      <w:color w:val="000000" w:themeColor="text1"/>
                      <w:sz w:val="21"/>
                      <w:szCs w:val="21"/>
                      <w:highlight w:val="none"/>
                      <w:lang w:val="en-US" w:eastAsia="zh-CN"/>
                      <w14:textFill>
                        <w14:solidFill>
                          <w14:schemeClr w14:val="tx1"/>
                        </w14:solidFill>
                      </w14:textFill>
                    </w:rPr>
                    <w:t>矿区道路采用碎石路面，全长约1500m，路基宽度约10m，路面宽度约8m，占地面积约15000m</w:t>
                  </w:r>
                  <w:r>
                    <w:rPr>
                      <w:rFonts w:hint="eastAsia" w:eastAsia="仿宋" w:cs="Times New Roman"/>
                      <w:color w:val="000000" w:themeColor="text1"/>
                      <w:sz w:val="21"/>
                      <w:szCs w:val="21"/>
                      <w:highlight w:val="none"/>
                      <w:vertAlign w:val="superscript"/>
                      <w:lang w:val="en-US" w:eastAsia="zh-CN"/>
                      <w14:textFill>
                        <w14:solidFill>
                          <w14:schemeClr w14:val="tx1"/>
                        </w14:solidFill>
                      </w14:textFill>
                    </w:rPr>
                    <w:t>2</w:t>
                  </w:r>
                  <w:r>
                    <w:rPr>
                      <w:rFonts w:hint="eastAsia" w:eastAsia="仿宋" w:cs="Times New Roman"/>
                      <w:color w:val="000000" w:themeColor="text1"/>
                      <w:sz w:val="21"/>
                      <w:szCs w:val="21"/>
                      <w:highlight w:val="none"/>
                      <w:lang w:val="en-US" w:eastAsia="zh-CN"/>
                      <w14:textFill>
                        <w14:solidFill>
                          <w14:schemeClr w14:val="tx1"/>
                        </w14:solidFill>
                      </w14:textFill>
                    </w:rPr>
                    <w:t>，负责矿石的运输及负责设备、材料的运输。</w:t>
                  </w:r>
                </w:p>
              </w:tc>
            </w:tr>
            <w:tr w14:paraId="598486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90" w:hRule="atLeast"/>
                <w:jc w:val="center"/>
              </w:trPr>
              <w:tc>
                <w:tcPr>
                  <w:tcW w:w="1136" w:type="dxa"/>
                  <w:vMerge w:val="continue"/>
                  <w:tcBorders>
                    <w:tl2br w:val="nil"/>
                    <w:tr2bl w:val="nil"/>
                  </w:tcBorders>
                  <w:noWrap w:val="0"/>
                  <w:vAlign w:val="center"/>
                </w:tcPr>
                <w:p w14:paraId="3977C685">
                  <w:pPr>
                    <w:keepNext w:val="0"/>
                    <w:keepLines w:val="0"/>
                    <w:pageBreakBefore w:val="0"/>
                    <w:widowControl w:val="0"/>
                    <w:kinsoku/>
                    <w:wordWrap/>
                    <w:overflowPunct/>
                    <w:autoSpaceDE/>
                    <w:bidi w:val="0"/>
                    <w:adjustRightInd w:val="0"/>
                    <w:snapToGrid w:val="0"/>
                    <w:jc w:val="center"/>
                    <w:textAlignment w:val="baseline"/>
                    <w:rPr>
                      <w:rFonts w:hint="eastAsia" w:eastAsia="仿宋" w:cs="Times New Roman"/>
                      <w:color w:val="000000" w:themeColor="text1"/>
                      <w:sz w:val="21"/>
                      <w:szCs w:val="21"/>
                      <w:highlight w:val="none"/>
                      <w:lang w:val="en-US" w:eastAsia="zh-CN"/>
                      <w14:textFill>
                        <w14:solidFill>
                          <w14:schemeClr w14:val="tx1"/>
                        </w14:solidFill>
                      </w14:textFill>
                    </w:rPr>
                  </w:pPr>
                </w:p>
              </w:tc>
              <w:tc>
                <w:tcPr>
                  <w:tcW w:w="1228" w:type="dxa"/>
                  <w:tcBorders>
                    <w:tl2br w:val="nil"/>
                    <w:tr2bl w:val="nil"/>
                  </w:tcBorders>
                  <w:noWrap w:val="0"/>
                  <w:vAlign w:val="center"/>
                </w:tcPr>
                <w:p w14:paraId="60BD3B02">
                  <w:pPr>
                    <w:keepNext w:val="0"/>
                    <w:keepLines w:val="0"/>
                    <w:pageBreakBefore w:val="0"/>
                    <w:widowControl w:val="0"/>
                    <w:kinsoku/>
                    <w:wordWrap/>
                    <w:overflowPunct/>
                    <w:autoSpaceDE/>
                    <w:bidi w:val="0"/>
                    <w:adjustRightInd w:val="0"/>
                    <w:snapToGrid w:val="0"/>
                    <w:jc w:val="center"/>
                    <w:rPr>
                      <w:rFonts w:hint="default" w:eastAsia="仿宋" w:cs="Times New Roman"/>
                      <w:color w:val="000000" w:themeColor="text1"/>
                      <w:sz w:val="21"/>
                      <w:szCs w:val="21"/>
                      <w:highlight w:val="none"/>
                      <w:lang w:val="en-US" w:eastAsia="zh-CN"/>
                      <w14:textFill>
                        <w14:solidFill>
                          <w14:schemeClr w14:val="tx1"/>
                        </w14:solidFill>
                      </w14:textFill>
                    </w:rPr>
                  </w:pPr>
                  <w:r>
                    <w:rPr>
                      <w:rFonts w:hint="eastAsia" w:eastAsia="仿宋" w:cs="Times New Roman"/>
                      <w:color w:val="000000" w:themeColor="text1"/>
                      <w:sz w:val="21"/>
                      <w:szCs w:val="21"/>
                      <w:highlight w:val="none"/>
                      <w:lang w:val="en-US" w:eastAsia="zh-CN"/>
                      <w14:textFill>
                        <w14:solidFill>
                          <w14:schemeClr w14:val="tx1"/>
                        </w14:solidFill>
                      </w14:textFill>
                    </w:rPr>
                    <w:t>成品堆场</w:t>
                  </w:r>
                </w:p>
              </w:tc>
              <w:tc>
                <w:tcPr>
                  <w:tcW w:w="5488" w:type="dxa"/>
                  <w:tcBorders>
                    <w:tl2br w:val="nil"/>
                    <w:tr2bl w:val="nil"/>
                  </w:tcBorders>
                  <w:noWrap w:val="0"/>
                  <w:vAlign w:val="center"/>
                </w:tcPr>
                <w:p w14:paraId="05E32CDD">
                  <w:pPr>
                    <w:keepNext w:val="0"/>
                    <w:keepLines w:val="0"/>
                    <w:pageBreakBefore w:val="0"/>
                    <w:widowControl w:val="0"/>
                    <w:kinsoku/>
                    <w:wordWrap/>
                    <w:overflowPunct/>
                    <w:autoSpaceDE/>
                    <w:bidi w:val="0"/>
                    <w:adjustRightInd w:val="0"/>
                    <w:snapToGrid w:val="0"/>
                    <w:textAlignment w:val="baseline"/>
                    <w:rPr>
                      <w:rFonts w:hint="default" w:eastAsia="仿宋" w:cs="Times New Roman"/>
                      <w:color w:val="000000" w:themeColor="text1"/>
                      <w:sz w:val="21"/>
                      <w:szCs w:val="21"/>
                      <w:highlight w:val="none"/>
                      <w:lang w:val="en-US" w:eastAsia="zh-CN"/>
                      <w14:textFill>
                        <w14:solidFill>
                          <w14:schemeClr w14:val="tx1"/>
                        </w14:solidFill>
                      </w14:textFill>
                    </w:rPr>
                  </w:pPr>
                  <w:r>
                    <w:rPr>
                      <w:rFonts w:hint="eastAsia" w:eastAsia="仿宋" w:cs="Times New Roman"/>
                      <w:color w:val="000000" w:themeColor="text1"/>
                      <w:sz w:val="21"/>
                      <w:szCs w:val="21"/>
                      <w:highlight w:val="none"/>
                      <w:lang w:val="en-US" w:eastAsia="zh-CN"/>
                      <w14:textFill>
                        <w14:solidFill>
                          <w14:schemeClr w14:val="tx1"/>
                        </w14:solidFill>
                      </w14:textFill>
                    </w:rPr>
                    <w:t>破碎场设置成品堆场1处，占地面积为7434m</w:t>
                  </w:r>
                  <w:r>
                    <w:rPr>
                      <w:rFonts w:hint="eastAsia" w:eastAsia="仿宋" w:cs="Times New Roman"/>
                      <w:color w:val="000000" w:themeColor="text1"/>
                      <w:sz w:val="21"/>
                      <w:szCs w:val="21"/>
                      <w:highlight w:val="none"/>
                      <w:vertAlign w:val="superscript"/>
                      <w:lang w:val="en-US" w:eastAsia="zh-CN"/>
                      <w14:textFill>
                        <w14:solidFill>
                          <w14:schemeClr w14:val="tx1"/>
                        </w14:solidFill>
                      </w14:textFill>
                    </w:rPr>
                    <w:t>2</w:t>
                  </w:r>
                  <w:r>
                    <w:rPr>
                      <w:rFonts w:hint="eastAsia" w:eastAsia="仿宋" w:cs="Times New Roman"/>
                      <w:color w:val="000000" w:themeColor="text1"/>
                      <w:sz w:val="21"/>
                      <w:szCs w:val="21"/>
                      <w:highlight w:val="none"/>
                      <w:lang w:val="en-US" w:eastAsia="zh-CN"/>
                      <w14:textFill>
                        <w14:solidFill>
                          <w14:schemeClr w14:val="tx1"/>
                        </w14:solidFill>
                      </w14:textFill>
                    </w:rPr>
                    <w:t>，成品堆场设置三面围挡（竖型防风网）+顶部苫盖</w:t>
                  </w:r>
                  <w:r>
                    <w:rPr>
                      <w:rFonts w:hint="eastAsia" w:ascii="Times New Roman" w:hAnsi="Times New Roman" w:eastAsia="仿宋" w:cs="Times New Roman"/>
                      <w:color w:val="000000" w:themeColor="text1"/>
                      <w:kern w:val="0"/>
                      <w:sz w:val="21"/>
                      <w:szCs w:val="21"/>
                      <w:lang w:val="en-US" w:eastAsia="zh-CN"/>
                      <w14:textFill>
                        <w14:solidFill>
                          <w14:schemeClr w14:val="tx1"/>
                        </w14:solidFill>
                      </w14:textFill>
                    </w:rPr>
                    <w:t>。</w:t>
                  </w:r>
                </w:p>
              </w:tc>
            </w:tr>
            <w:tr w14:paraId="739D07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90" w:hRule="atLeast"/>
                <w:jc w:val="center"/>
              </w:trPr>
              <w:tc>
                <w:tcPr>
                  <w:tcW w:w="1136" w:type="dxa"/>
                  <w:tcBorders>
                    <w:tl2br w:val="nil"/>
                    <w:tr2bl w:val="nil"/>
                  </w:tcBorders>
                  <w:noWrap w:val="0"/>
                  <w:vAlign w:val="center"/>
                </w:tcPr>
                <w:p w14:paraId="5D0EEC7E">
                  <w:pPr>
                    <w:keepNext w:val="0"/>
                    <w:keepLines w:val="0"/>
                    <w:pageBreakBefore w:val="0"/>
                    <w:widowControl w:val="0"/>
                    <w:kinsoku/>
                    <w:wordWrap/>
                    <w:overflowPunct/>
                    <w:autoSpaceDE/>
                    <w:bidi w:val="0"/>
                    <w:adjustRightInd w:val="0"/>
                    <w:snapToGrid w:val="0"/>
                    <w:jc w:val="center"/>
                    <w:textAlignment w:val="baseline"/>
                    <w:rPr>
                      <w:rFonts w:hint="default" w:eastAsia="仿宋" w:cs="Times New Roman"/>
                      <w:color w:val="000000" w:themeColor="text1"/>
                      <w:sz w:val="21"/>
                      <w:szCs w:val="21"/>
                      <w:highlight w:val="none"/>
                      <w:lang w:val="en-US" w:eastAsia="zh-CN"/>
                      <w14:textFill>
                        <w14:solidFill>
                          <w14:schemeClr w14:val="tx1"/>
                        </w14:solidFill>
                      </w14:textFill>
                    </w:rPr>
                  </w:pPr>
                  <w:r>
                    <w:rPr>
                      <w:rFonts w:hint="eastAsia" w:eastAsia="仿宋" w:cs="Times New Roman"/>
                      <w:color w:val="000000" w:themeColor="text1"/>
                      <w:sz w:val="21"/>
                      <w:szCs w:val="21"/>
                      <w:highlight w:val="none"/>
                      <w:lang w:val="en-US" w:eastAsia="zh-CN"/>
                      <w14:textFill>
                        <w14:solidFill>
                          <w14:schemeClr w14:val="tx1"/>
                        </w14:solidFill>
                      </w14:textFill>
                    </w:rPr>
                    <w:t>辅助工程</w:t>
                  </w:r>
                </w:p>
              </w:tc>
              <w:tc>
                <w:tcPr>
                  <w:tcW w:w="1228" w:type="dxa"/>
                  <w:tcBorders>
                    <w:tl2br w:val="nil"/>
                    <w:tr2bl w:val="nil"/>
                  </w:tcBorders>
                  <w:noWrap w:val="0"/>
                  <w:vAlign w:val="center"/>
                </w:tcPr>
                <w:p w14:paraId="6EC5F8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仿宋" w:cs="Times New Roman"/>
                      <w:color w:val="000000" w:themeColor="text1"/>
                      <w:sz w:val="21"/>
                      <w:szCs w:val="21"/>
                      <w:highlight w:val="none"/>
                      <w:lang w:val="en-US" w:eastAsia="zh-CN"/>
                      <w14:textFill>
                        <w14:solidFill>
                          <w14:schemeClr w14:val="tx1"/>
                        </w14:solidFill>
                      </w14:textFill>
                    </w:rPr>
                  </w:pPr>
                  <w:r>
                    <w:rPr>
                      <w:rFonts w:hint="eastAsia" w:eastAsia="仿宋"/>
                      <w:color w:val="000000" w:themeColor="text1"/>
                      <w:sz w:val="21"/>
                      <w:szCs w:val="21"/>
                      <w:highlight w:val="none"/>
                      <w:lang w:val="en-US" w:eastAsia="zh-CN"/>
                      <w14:textFill>
                        <w14:solidFill>
                          <w14:schemeClr w14:val="tx1"/>
                        </w14:solidFill>
                      </w14:textFill>
                    </w:rPr>
                    <w:t>办公生活区</w:t>
                  </w:r>
                </w:p>
              </w:tc>
              <w:tc>
                <w:tcPr>
                  <w:tcW w:w="5488" w:type="dxa"/>
                  <w:tcBorders>
                    <w:tl2br w:val="nil"/>
                    <w:tr2bl w:val="nil"/>
                  </w:tcBorders>
                  <w:noWrap w:val="0"/>
                  <w:vAlign w:val="center"/>
                </w:tcPr>
                <w:p w14:paraId="65CA69B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pPr>
                  <w:r>
                    <w:rPr>
                      <w:rFonts w:hint="eastAsia" w:eastAsia="仿宋"/>
                      <w:color w:val="000000" w:themeColor="text1"/>
                      <w:sz w:val="21"/>
                      <w:szCs w:val="21"/>
                      <w:highlight w:val="none"/>
                      <w:lang w:val="en-US" w:eastAsia="zh-CN"/>
                      <w14:textFill>
                        <w14:solidFill>
                          <w14:schemeClr w14:val="tx1"/>
                        </w14:solidFill>
                      </w14:textFill>
                    </w:rPr>
                    <w:t>办公生活区位于矿区范围内西侧，占地面积792m</w:t>
                  </w:r>
                  <w:r>
                    <w:rPr>
                      <w:rFonts w:hint="eastAsia" w:eastAsia="仿宋"/>
                      <w:color w:val="000000" w:themeColor="text1"/>
                      <w:sz w:val="21"/>
                      <w:szCs w:val="21"/>
                      <w:highlight w:val="none"/>
                      <w:vertAlign w:val="superscript"/>
                      <w:lang w:val="en-US" w:eastAsia="zh-CN"/>
                      <w14:textFill>
                        <w14:solidFill>
                          <w14:schemeClr w14:val="tx1"/>
                        </w14:solidFill>
                      </w14:textFill>
                    </w:rPr>
                    <w:t>2</w:t>
                  </w:r>
                  <w:r>
                    <w:rPr>
                      <w:rFonts w:hint="eastAsia" w:eastAsia="仿宋"/>
                      <w:color w:val="000000" w:themeColor="text1"/>
                      <w:sz w:val="21"/>
                      <w:szCs w:val="21"/>
                      <w:highlight w:val="none"/>
                      <w:lang w:val="en-US" w:eastAsia="zh-CN"/>
                      <w14:textFill>
                        <w14:solidFill>
                          <w14:schemeClr w14:val="tx1"/>
                        </w14:solidFill>
                      </w14:textFill>
                    </w:rPr>
                    <w:t>，用于职工日常办公和生活</w:t>
                  </w:r>
                  <w:r>
                    <w:rPr>
                      <w:rFonts w:hint="eastAsia" w:eastAsia="仿宋"/>
                      <w:bCs/>
                      <w:color w:val="000000" w:themeColor="text1"/>
                      <w:sz w:val="21"/>
                      <w:szCs w:val="21"/>
                      <w:highlight w:val="none"/>
                      <w:lang w:val="en-US" w:eastAsia="zh-CN"/>
                      <w14:textFill>
                        <w14:solidFill>
                          <w14:schemeClr w14:val="tx1"/>
                        </w14:solidFill>
                      </w14:textFill>
                    </w:rPr>
                    <w:t>。</w:t>
                  </w:r>
                </w:p>
              </w:tc>
            </w:tr>
            <w:tr w14:paraId="29D7E10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70" w:hRule="atLeast"/>
                <w:jc w:val="center"/>
              </w:trPr>
              <w:tc>
                <w:tcPr>
                  <w:tcW w:w="1136" w:type="dxa"/>
                  <w:vMerge w:val="restart"/>
                  <w:tcBorders>
                    <w:tl2br w:val="nil"/>
                    <w:tr2bl w:val="nil"/>
                  </w:tcBorders>
                  <w:noWrap w:val="0"/>
                  <w:vAlign w:val="center"/>
                </w:tcPr>
                <w:p w14:paraId="64B97E27">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公用工程</w:t>
                  </w:r>
                </w:p>
              </w:tc>
              <w:tc>
                <w:tcPr>
                  <w:tcW w:w="1228" w:type="dxa"/>
                  <w:tcBorders>
                    <w:tl2br w:val="nil"/>
                    <w:tr2bl w:val="nil"/>
                  </w:tcBorders>
                  <w:noWrap w:val="0"/>
                  <w:vAlign w:val="center"/>
                </w:tcPr>
                <w:p w14:paraId="5A164B0B">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供水</w:t>
                  </w:r>
                </w:p>
              </w:tc>
              <w:tc>
                <w:tcPr>
                  <w:tcW w:w="5488" w:type="dxa"/>
                  <w:tcBorders>
                    <w:tl2br w:val="nil"/>
                    <w:tr2bl w:val="nil"/>
                  </w:tcBorders>
                  <w:noWrap w:val="0"/>
                  <w:vAlign w:val="center"/>
                </w:tcPr>
                <w:p w14:paraId="7D5C5F71">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color w:val="000000" w:themeColor="text1"/>
                      <w:sz w:val="21"/>
                      <w:szCs w:val="21"/>
                      <w:highlight w:val="none"/>
                      <w:lang w:eastAsia="zh-CN"/>
                      <w14:textFill>
                        <w14:solidFill>
                          <w14:schemeClr w14:val="tx1"/>
                        </w14:solidFill>
                      </w14:textFill>
                    </w:rPr>
                  </w:pPr>
                  <w:r>
                    <w:rPr>
                      <w:rFonts w:hint="eastAsia" w:eastAsia="仿宋" w:cs="Times New Roman"/>
                      <w:color w:val="000000" w:themeColor="text1"/>
                      <w:sz w:val="21"/>
                      <w:szCs w:val="21"/>
                      <w:highlight w:val="none"/>
                      <w:lang w:val="en-US" w:eastAsia="zh-CN"/>
                      <w14:textFill>
                        <w14:solidFill>
                          <w14:schemeClr w14:val="tx1"/>
                        </w14:solidFill>
                      </w14:textFill>
                    </w:rPr>
                    <w:t>本</w:t>
                  </w: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项目矿区配备2台</w:t>
                  </w: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水罐车</w:t>
                  </w: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，从矿区</w:t>
                  </w:r>
                  <w:r>
                    <w:rPr>
                      <w:rFonts w:hint="eastAsia" w:eastAsia="仿宋" w:cs="Times New Roman"/>
                      <w:color w:val="000000" w:themeColor="text1"/>
                      <w:sz w:val="21"/>
                      <w:szCs w:val="21"/>
                      <w:highlight w:val="none"/>
                      <w:lang w:val="en-US" w:eastAsia="zh-CN"/>
                      <w14:textFill>
                        <w14:solidFill>
                          <w14:schemeClr w14:val="tx1"/>
                        </w14:solidFill>
                      </w14:textFill>
                    </w:rPr>
                    <w:t>附近平川镇</w:t>
                  </w:r>
                  <w:r>
                    <w:rPr>
                      <w:rFonts w:hint="default" w:ascii="Times New Roman" w:hAnsi="Times New Roman" w:eastAsia="仿宋" w:cs="Times New Roman"/>
                      <w:color w:val="000000" w:themeColor="text1"/>
                      <w:sz w:val="21"/>
                      <w:szCs w:val="21"/>
                      <w:highlight w:val="none"/>
                      <w14:textFill>
                        <w14:solidFill>
                          <w14:schemeClr w14:val="tx1"/>
                        </w14:solidFill>
                      </w14:textFill>
                    </w:rPr>
                    <w:t>拉运</w:t>
                  </w: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自来水至矿区，</w:t>
                  </w:r>
                  <w:r>
                    <w:rPr>
                      <w:rFonts w:hint="eastAsia" w:eastAsia="仿宋" w:cs="Times New Roman"/>
                      <w:color w:val="000000" w:themeColor="text1"/>
                      <w:sz w:val="21"/>
                      <w:szCs w:val="21"/>
                      <w:highlight w:val="none"/>
                      <w:lang w:val="en-US" w:eastAsia="zh-CN"/>
                      <w14:textFill>
                        <w14:solidFill>
                          <w14:schemeClr w14:val="tx1"/>
                        </w14:solidFill>
                      </w14:textFill>
                    </w:rPr>
                    <w:t>可</w:t>
                  </w: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满足项目采矿用水需求</w:t>
                  </w:r>
                  <w:r>
                    <w:rPr>
                      <w:rFonts w:hint="default" w:ascii="Times New Roman" w:hAnsi="Times New Roman" w:eastAsia="仿宋" w:cs="Times New Roman"/>
                      <w:color w:val="000000" w:themeColor="text1"/>
                      <w:spacing w:val="0"/>
                      <w:position w:val="0"/>
                      <w:sz w:val="21"/>
                      <w:szCs w:val="21"/>
                      <w:highlight w:val="none"/>
                      <w:lang w:val="en-US" w:eastAsia="zh-CN"/>
                      <w14:textFill>
                        <w14:solidFill>
                          <w14:schemeClr w14:val="tx1"/>
                        </w14:solidFill>
                      </w14:textFill>
                    </w:rPr>
                    <w:t>。</w:t>
                  </w:r>
                </w:p>
              </w:tc>
            </w:tr>
            <w:tr w14:paraId="34CAE5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70" w:hRule="atLeast"/>
                <w:jc w:val="center"/>
              </w:trPr>
              <w:tc>
                <w:tcPr>
                  <w:tcW w:w="1136" w:type="dxa"/>
                  <w:vMerge w:val="continue"/>
                  <w:tcBorders>
                    <w:tl2br w:val="nil"/>
                    <w:tr2bl w:val="nil"/>
                  </w:tcBorders>
                  <w:noWrap w:val="0"/>
                  <w:vAlign w:val="center"/>
                </w:tcPr>
                <w:p w14:paraId="19E4EA2A">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p>
              </w:tc>
              <w:tc>
                <w:tcPr>
                  <w:tcW w:w="1228" w:type="dxa"/>
                  <w:tcBorders>
                    <w:tl2br w:val="nil"/>
                    <w:tr2bl w:val="nil"/>
                  </w:tcBorders>
                  <w:noWrap w:val="0"/>
                  <w:vAlign w:val="center"/>
                </w:tcPr>
                <w:p w14:paraId="1903355A">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供电</w:t>
                  </w:r>
                </w:p>
              </w:tc>
              <w:tc>
                <w:tcPr>
                  <w:tcW w:w="5488" w:type="dxa"/>
                  <w:tcBorders>
                    <w:tl2br w:val="nil"/>
                    <w:tr2bl w:val="nil"/>
                  </w:tcBorders>
                  <w:noWrap w:val="0"/>
                  <w:vAlign w:val="center"/>
                </w:tcPr>
                <w:p w14:paraId="28020A87">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highlight w:val="none"/>
                      <w:lang w:val="en-US" w:eastAsia="zh-CN"/>
                      <w14:textFill>
                        <w14:solidFill>
                          <w14:schemeClr w14:val="tx1"/>
                        </w14:solidFill>
                      </w14:textFill>
                    </w:rPr>
                    <w:t>本</w:t>
                  </w: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项目</w:t>
                  </w:r>
                  <w:r>
                    <w:rPr>
                      <w:rFonts w:hint="eastAsia" w:ascii="Times New Roman" w:hAnsi="Times New Roman" w:eastAsia="仿宋" w:cs="Times New Roman"/>
                      <w:color w:val="000000" w:themeColor="text1"/>
                      <w:sz w:val="21"/>
                      <w:szCs w:val="21"/>
                      <w:highlight w:val="none"/>
                      <w:lang w:val="en-US" w:eastAsia="zh-CN"/>
                      <w14:textFill>
                        <w14:solidFill>
                          <w14:schemeClr w14:val="tx1"/>
                        </w14:solidFill>
                      </w14:textFill>
                    </w:rPr>
                    <w:t>供电线路接附近10KV的农电，经架空线至厂区变压器后运至配电室，供本项目生产和生活使用</w:t>
                  </w:r>
                  <w:r>
                    <w:rPr>
                      <w:rFonts w:hint="eastAsia" w:eastAsia="仿宋" w:cs="Times New Roman"/>
                      <w:color w:val="000000" w:themeColor="text1"/>
                      <w:sz w:val="21"/>
                      <w:szCs w:val="21"/>
                      <w:highlight w:val="none"/>
                      <w:lang w:val="en-US" w:eastAsia="zh-CN"/>
                      <w14:textFill>
                        <w14:solidFill>
                          <w14:schemeClr w14:val="tx1"/>
                        </w14:solidFill>
                      </w14:textFill>
                    </w:rPr>
                    <w:t>。</w:t>
                  </w:r>
                </w:p>
              </w:tc>
            </w:tr>
            <w:tr w14:paraId="723223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70" w:hRule="atLeast"/>
                <w:jc w:val="center"/>
              </w:trPr>
              <w:tc>
                <w:tcPr>
                  <w:tcW w:w="1136" w:type="dxa"/>
                  <w:vMerge w:val="continue"/>
                  <w:tcBorders>
                    <w:tl2br w:val="nil"/>
                    <w:tr2bl w:val="nil"/>
                  </w:tcBorders>
                  <w:noWrap w:val="0"/>
                  <w:vAlign w:val="center"/>
                </w:tcPr>
                <w:p w14:paraId="1D996DAD">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p>
              </w:tc>
              <w:tc>
                <w:tcPr>
                  <w:tcW w:w="1228" w:type="dxa"/>
                  <w:tcBorders>
                    <w:tl2br w:val="nil"/>
                    <w:tr2bl w:val="nil"/>
                  </w:tcBorders>
                  <w:noWrap w:val="0"/>
                  <w:vAlign w:val="center"/>
                </w:tcPr>
                <w:p w14:paraId="0A3979DB">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供暖</w:t>
                  </w:r>
                </w:p>
              </w:tc>
              <w:tc>
                <w:tcPr>
                  <w:tcW w:w="5488" w:type="dxa"/>
                  <w:tcBorders>
                    <w:tl2br w:val="nil"/>
                    <w:tr2bl w:val="nil"/>
                  </w:tcBorders>
                  <w:noWrap w:val="0"/>
                  <w:vAlign w:val="center"/>
                </w:tcPr>
                <w:p w14:paraId="012A9C21">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本项目</w:t>
                  </w:r>
                  <w:r>
                    <w:rPr>
                      <w:rFonts w:hint="eastAsia" w:eastAsia="仿宋" w:cs="Times New Roman"/>
                      <w:color w:val="000000" w:themeColor="text1"/>
                      <w:sz w:val="21"/>
                      <w:szCs w:val="21"/>
                      <w:highlight w:val="none"/>
                      <w:lang w:val="en-US" w:eastAsia="zh-CN"/>
                      <w14:textFill>
                        <w14:solidFill>
                          <w14:schemeClr w14:val="tx1"/>
                        </w14:solidFill>
                      </w14:textFill>
                    </w:rPr>
                    <w:t>采用电采暖</w:t>
                  </w:r>
                  <w:r>
                    <w:rPr>
                      <w:rFonts w:hint="default" w:ascii="Times New Roman" w:hAnsi="Times New Roman" w:eastAsia="仿宋" w:cs="Times New Roman"/>
                      <w:color w:val="000000" w:themeColor="text1"/>
                      <w:sz w:val="21"/>
                      <w:szCs w:val="21"/>
                      <w:highlight w:val="none"/>
                      <w14:textFill>
                        <w14:solidFill>
                          <w14:schemeClr w14:val="tx1"/>
                        </w14:solidFill>
                      </w14:textFill>
                    </w:rPr>
                    <w:t>。</w:t>
                  </w:r>
                </w:p>
              </w:tc>
            </w:tr>
            <w:tr w14:paraId="098A14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05" w:hRule="atLeast"/>
                <w:jc w:val="center"/>
              </w:trPr>
              <w:tc>
                <w:tcPr>
                  <w:tcW w:w="1136" w:type="dxa"/>
                  <w:vMerge w:val="restart"/>
                  <w:tcBorders>
                    <w:tl2br w:val="nil"/>
                    <w:tr2bl w:val="nil"/>
                  </w:tcBorders>
                  <w:noWrap w:val="0"/>
                  <w:vAlign w:val="center"/>
                </w:tcPr>
                <w:p w14:paraId="0D9A86AC">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环保工程</w:t>
                  </w:r>
                </w:p>
              </w:tc>
              <w:tc>
                <w:tcPr>
                  <w:tcW w:w="1228" w:type="dxa"/>
                  <w:tcBorders>
                    <w:tl2br w:val="nil"/>
                    <w:tr2bl w:val="nil"/>
                  </w:tcBorders>
                  <w:noWrap w:val="0"/>
                  <w:vAlign w:val="center"/>
                </w:tcPr>
                <w:p w14:paraId="02B13D39">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废气治理</w:t>
                  </w:r>
                </w:p>
              </w:tc>
              <w:tc>
                <w:tcPr>
                  <w:tcW w:w="5488" w:type="dxa"/>
                  <w:tcBorders>
                    <w:tl2br w:val="nil"/>
                    <w:tr2bl w:val="nil"/>
                  </w:tcBorders>
                  <w:noWrap w:val="0"/>
                  <w:vAlign w:val="center"/>
                </w:tcPr>
                <w:p w14:paraId="7AB500F6">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①</w:t>
                  </w:r>
                  <w:r>
                    <w:rPr>
                      <w:rFonts w:hint="default" w:ascii="Times New Roman" w:hAnsi="Times New Roman" w:eastAsia="仿宋" w:cs="Times New Roman"/>
                      <w:color w:val="000000" w:themeColor="text1"/>
                      <w:sz w:val="21"/>
                      <w:szCs w:val="21"/>
                      <w:highlight w:val="none"/>
                      <w14:textFill>
                        <w14:solidFill>
                          <w14:schemeClr w14:val="tx1"/>
                        </w14:solidFill>
                      </w14:textFill>
                    </w:rPr>
                    <w:t>矿区</w:t>
                  </w:r>
                  <w:r>
                    <w:rPr>
                      <w:rFonts w:hint="eastAsia" w:eastAsia="仿宋" w:cs="Times New Roman"/>
                      <w:color w:val="000000" w:themeColor="text1"/>
                      <w:sz w:val="21"/>
                      <w:szCs w:val="21"/>
                      <w:highlight w:val="none"/>
                      <w:lang w:val="en-US" w:eastAsia="zh-CN"/>
                      <w14:textFill>
                        <w14:solidFill>
                          <w14:schemeClr w14:val="tx1"/>
                        </w14:solidFill>
                      </w14:textFill>
                    </w:rPr>
                    <w:t>剥离</w:t>
                  </w:r>
                  <w:r>
                    <w:rPr>
                      <w:rFonts w:hint="default" w:ascii="Times New Roman" w:hAnsi="Times New Roman" w:eastAsia="仿宋" w:cs="Times New Roman"/>
                      <w:color w:val="000000" w:themeColor="text1"/>
                      <w:sz w:val="21"/>
                      <w:szCs w:val="21"/>
                      <w:highlight w:val="none"/>
                      <w14:textFill>
                        <w14:solidFill>
                          <w14:schemeClr w14:val="tx1"/>
                        </w14:solidFill>
                      </w14:textFill>
                    </w:rPr>
                    <w:t>前对</w:t>
                  </w: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开采</w:t>
                  </w:r>
                  <w:r>
                    <w:rPr>
                      <w:rFonts w:hint="default" w:ascii="Times New Roman" w:hAnsi="Times New Roman" w:eastAsia="仿宋" w:cs="Times New Roman"/>
                      <w:color w:val="000000" w:themeColor="text1"/>
                      <w:sz w:val="21"/>
                      <w:szCs w:val="21"/>
                      <w:highlight w:val="none"/>
                      <w14:textFill>
                        <w14:solidFill>
                          <w14:schemeClr w14:val="tx1"/>
                        </w14:solidFill>
                      </w14:textFill>
                    </w:rPr>
                    <w:t>区域</w:t>
                  </w:r>
                  <w:r>
                    <w:rPr>
                      <w:rFonts w:hint="eastAsia" w:eastAsia="仿宋" w:cs="Times New Roman"/>
                      <w:color w:val="000000" w:themeColor="text1"/>
                      <w:sz w:val="21"/>
                      <w:szCs w:val="21"/>
                      <w:highlight w:val="none"/>
                      <w:lang w:val="en-US" w:eastAsia="zh-CN"/>
                      <w14:textFill>
                        <w14:solidFill>
                          <w14:schemeClr w14:val="tx1"/>
                        </w14:solidFill>
                      </w14:textFill>
                    </w:rPr>
                    <w:t>采取</w:t>
                  </w:r>
                  <w:r>
                    <w:rPr>
                      <w:rFonts w:hint="default" w:ascii="Times New Roman" w:hAnsi="Times New Roman" w:eastAsia="仿宋" w:cs="Times New Roman"/>
                      <w:color w:val="000000" w:themeColor="text1"/>
                      <w:sz w:val="21"/>
                      <w:szCs w:val="21"/>
                      <w:highlight w:val="none"/>
                      <w14:textFill>
                        <w14:solidFill>
                          <w14:schemeClr w14:val="tx1"/>
                        </w14:solidFill>
                      </w14:textFill>
                    </w:rPr>
                    <w:t>洒水</w:t>
                  </w:r>
                  <w:r>
                    <w:rPr>
                      <w:rFonts w:hint="eastAsia" w:eastAsia="仿宋" w:cs="Times New Roman"/>
                      <w:color w:val="000000" w:themeColor="text1"/>
                      <w:sz w:val="21"/>
                      <w:szCs w:val="21"/>
                      <w:highlight w:val="none"/>
                      <w:lang w:eastAsia="zh-CN"/>
                      <w14:textFill>
                        <w14:solidFill>
                          <w14:schemeClr w14:val="tx1"/>
                        </w14:solidFill>
                      </w14:textFill>
                    </w:rPr>
                    <w:t>（</w:t>
                  </w:r>
                  <w:r>
                    <w:rPr>
                      <w:rFonts w:hint="eastAsia" w:eastAsia="仿宋" w:cs="Times New Roman"/>
                      <w:color w:val="000000" w:themeColor="text1"/>
                      <w:sz w:val="21"/>
                      <w:szCs w:val="21"/>
                      <w:highlight w:val="none"/>
                      <w:lang w:val="en-US" w:eastAsia="zh-CN"/>
                      <w14:textFill>
                        <w14:solidFill>
                          <w14:schemeClr w14:val="tx1"/>
                        </w14:solidFill>
                      </w14:textFill>
                    </w:rPr>
                    <w:t>洒水车</w:t>
                  </w:r>
                  <w:r>
                    <w:rPr>
                      <w:rFonts w:hint="eastAsia" w:eastAsia="仿宋" w:cs="Times New Roman"/>
                      <w:color w:val="000000" w:themeColor="text1"/>
                      <w:sz w:val="21"/>
                      <w:szCs w:val="21"/>
                      <w:highlight w:val="none"/>
                      <w:lang w:eastAsia="zh-CN"/>
                      <w14:textFill>
                        <w14:solidFill>
                          <w14:schemeClr w14:val="tx1"/>
                        </w14:solidFill>
                      </w14:textFill>
                    </w:rPr>
                    <w:t>）</w:t>
                  </w:r>
                  <w:r>
                    <w:rPr>
                      <w:rFonts w:hint="eastAsia" w:eastAsia="仿宋" w:cs="Times New Roman"/>
                      <w:color w:val="000000" w:themeColor="text1"/>
                      <w:sz w:val="21"/>
                      <w:szCs w:val="21"/>
                      <w:highlight w:val="none"/>
                      <w:lang w:val="en-US" w:eastAsia="zh-CN"/>
                      <w14:textFill>
                        <w14:solidFill>
                          <w14:schemeClr w14:val="tx1"/>
                        </w14:solidFill>
                      </w14:textFill>
                    </w:rPr>
                    <w:t>措施减少剥离粉尘的产生</w:t>
                  </w:r>
                  <w:r>
                    <w:rPr>
                      <w:rFonts w:hint="default" w:ascii="Times New Roman" w:hAnsi="Times New Roman" w:eastAsia="仿宋" w:cs="Times New Roman"/>
                      <w:color w:val="000000" w:themeColor="text1"/>
                      <w:sz w:val="21"/>
                      <w:szCs w:val="21"/>
                      <w:highlight w:val="none"/>
                      <w14:textFill>
                        <w14:solidFill>
                          <w14:schemeClr w14:val="tx1"/>
                        </w14:solidFill>
                      </w14:textFill>
                    </w:rPr>
                    <w:t>；</w:t>
                  </w:r>
                </w:p>
                <w:p w14:paraId="5F7D9438">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color w:val="000000" w:themeColor="text1"/>
                      <w:szCs w:val="21"/>
                      <w:lang w:val="en-US" w:eastAsia="zh-CN"/>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②</w:t>
                  </w:r>
                  <w:r>
                    <w:rPr>
                      <w:rFonts w:hint="eastAsia" w:eastAsia="仿宋" w:cs="Times New Roman"/>
                      <w:color w:val="000000" w:themeColor="text1"/>
                      <w:szCs w:val="21"/>
                      <w:lang w:val="en-US" w:eastAsia="zh-CN"/>
                      <w14:textFill>
                        <w14:solidFill>
                          <w14:schemeClr w14:val="tx1"/>
                        </w14:solidFill>
                      </w14:textFill>
                    </w:rPr>
                    <w:t>矿区爆破前采用湿式凿岩法减少穿孔粉尘，爆破后采取</w:t>
                  </w:r>
                  <w:r>
                    <w:rPr>
                      <w:rFonts w:hint="default" w:ascii="Times New Roman" w:hAnsi="Times New Roman" w:eastAsia="仿宋" w:cs="Times New Roman"/>
                      <w:color w:val="000000" w:themeColor="text1"/>
                      <w:sz w:val="21"/>
                      <w:szCs w:val="21"/>
                      <w:highlight w:val="none"/>
                      <w14:textFill>
                        <w14:solidFill>
                          <w14:schemeClr w14:val="tx1"/>
                        </w14:solidFill>
                      </w14:textFill>
                    </w:rPr>
                    <w:t>洒水</w:t>
                  </w:r>
                  <w:r>
                    <w:rPr>
                      <w:rFonts w:hint="eastAsia" w:eastAsia="仿宋" w:cs="Times New Roman"/>
                      <w:color w:val="000000" w:themeColor="text1"/>
                      <w:sz w:val="21"/>
                      <w:szCs w:val="21"/>
                      <w:highlight w:val="none"/>
                      <w:lang w:eastAsia="zh-CN"/>
                      <w14:textFill>
                        <w14:solidFill>
                          <w14:schemeClr w14:val="tx1"/>
                        </w14:solidFill>
                      </w14:textFill>
                    </w:rPr>
                    <w:t>（</w:t>
                  </w:r>
                  <w:r>
                    <w:rPr>
                      <w:rFonts w:hint="eastAsia" w:eastAsia="仿宋" w:cs="Times New Roman"/>
                      <w:color w:val="000000" w:themeColor="text1"/>
                      <w:sz w:val="21"/>
                      <w:szCs w:val="21"/>
                      <w:highlight w:val="none"/>
                      <w:lang w:val="en-US" w:eastAsia="zh-CN"/>
                      <w14:textFill>
                        <w14:solidFill>
                          <w14:schemeClr w14:val="tx1"/>
                        </w14:solidFill>
                      </w14:textFill>
                    </w:rPr>
                    <w:t>洒水车</w:t>
                  </w:r>
                  <w:r>
                    <w:rPr>
                      <w:rFonts w:hint="eastAsia" w:eastAsia="仿宋" w:cs="Times New Roman"/>
                      <w:color w:val="000000" w:themeColor="text1"/>
                      <w:sz w:val="21"/>
                      <w:szCs w:val="21"/>
                      <w:highlight w:val="none"/>
                      <w:lang w:eastAsia="zh-CN"/>
                      <w14:textFill>
                        <w14:solidFill>
                          <w14:schemeClr w14:val="tx1"/>
                        </w14:solidFill>
                      </w14:textFill>
                    </w:rPr>
                    <w:t>）</w:t>
                  </w:r>
                  <w:r>
                    <w:rPr>
                      <w:rFonts w:hint="eastAsia" w:eastAsia="仿宋" w:cs="Times New Roman"/>
                      <w:color w:val="000000" w:themeColor="text1"/>
                      <w:sz w:val="21"/>
                      <w:szCs w:val="21"/>
                      <w:highlight w:val="none"/>
                      <w:lang w:val="en-US" w:eastAsia="zh-CN"/>
                      <w14:textFill>
                        <w14:solidFill>
                          <w14:schemeClr w14:val="tx1"/>
                        </w14:solidFill>
                      </w14:textFill>
                    </w:rPr>
                    <w:t>措施减少爆破粉尘的产生，爆破烟气以无组织形式排放；</w:t>
                  </w:r>
                </w:p>
                <w:p w14:paraId="35E96014">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color w:val="000000" w:themeColor="text1"/>
                      <w:szCs w:val="21"/>
                      <w:lang w:val="en-US" w:eastAsia="zh-CN"/>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③</w:t>
                  </w:r>
                  <w:r>
                    <w:rPr>
                      <w:rFonts w:hint="eastAsia" w:eastAsia="仿宋" w:cs="Times New Roman"/>
                      <w:color w:val="000000" w:themeColor="text1"/>
                      <w:szCs w:val="21"/>
                      <w:lang w:val="en-US" w:eastAsia="zh-CN"/>
                      <w14:textFill>
                        <w14:solidFill>
                          <w14:schemeClr w14:val="tx1"/>
                        </w14:solidFill>
                      </w14:textFill>
                    </w:rPr>
                    <w:t>矿区采用挖掘机液压锤对爆破后大块矿石进行破碎，通过采取</w:t>
                  </w:r>
                  <w:r>
                    <w:rPr>
                      <w:rFonts w:hint="default" w:ascii="Times New Roman" w:hAnsi="Times New Roman" w:eastAsia="仿宋" w:cs="Times New Roman"/>
                      <w:color w:val="000000" w:themeColor="text1"/>
                      <w:sz w:val="21"/>
                      <w:szCs w:val="21"/>
                      <w:highlight w:val="none"/>
                      <w14:textFill>
                        <w14:solidFill>
                          <w14:schemeClr w14:val="tx1"/>
                        </w14:solidFill>
                      </w14:textFill>
                    </w:rPr>
                    <w:t>洒水</w:t>
                  </w:r>
                  <w:r>
                    <w:rPr>
                      <w:rFonts w:hint="eastAsia" w:eastAsia="仿宋" w:cs="Times New Roman"/>
                      <w:color w:val="000000" w:themeColor="text1"/>
                      <w:sz w:val="21"/>
                      <w:szCs w:val="21"/>
                      <w:highlight w:val="none"/>
                      <w:lang w:eastAsia="zh-CN"/>
                      <w14:textFill>
                        <w14:solidFill>
                          <w14:schemeClr w14:val="tx1"/>
                        </w14:solidFill>
                      </w14:textFill>
                    </w:rPr>
                    <w:t>（</w:t>
                  </w:r>
                  <w:r>
                    <w:rPr>
                      <w:rFonts w:hint="eastAsia" w:eastAsia="仿宋" w:cs="Times New Roman"/>
                      <w:color w:val="000000" w:themeColor="text1"/>
                      <w:sz w:val="21"/>
                      <w:szCs w:val="21"/>
                      <w:highlight w:val="none"/>
                      <w:lang w:val="en-US" w:eastAsia="zh-CN"/>
                      <w14:textFill>
                        <w14:solidFill>
                          <w14:schemeClr w14:val="tx1"/>
                        </w14:solidFill>
                      </w14:textFill>
                    </w:rPr>
                    <w:t>雾炮机</w:t>
                  </w:r>
                  <w:r>
                    <w:rPr>
                      <w:rFonts w:hint="eastAsia" w:eastAsia="仿宋" w:cs="Times New Roman"/>
                      <w:color w:val="000000" w:themeColor="text1"/>
                      <w:sz w:val="21"/>
                      <w:szCs w:val="21"/>
                      <w:highlight w:val="none"/>
                      <w:lang w:eastAsia="zh-CN"/>
                      <w14:textFill>
                        <w14:solidFill>
                          <w14:schemeClr w14:val="tx1"/>
                        </w14:solidFill>
                      </w14:textFill>
                    </w:rPr>
                    <w:t>）</w:t>
                  </w:r>
                  <w:r>
                    <w:rPr>
                      <w:rFonts w:hint="eastAsia" w:eastAsia="仿宋" w:cs="Times New Roman"/>
                      <w:color w:val="000000" w:themeColor="text1"/>
                      <w:sz w:val="21"/>
                      <w:szCs w:val="21"/>
                      <w:highlight w:val="none"/>
                      <w:lang w:val="en-US" w:eastAsia="zh-CN"/>
                      <w14:textFill>
                        <w14:solidFill>
                          <w14:schemeClr w14:val="tx1"/>
                        </w14:solidFill>
                      </w14:textFill>
                    </w:rPr>
                    <w:t>措施减少破碎粉尘的产生；</w:t>
                  </w:r>
                </w:p>
                <w:p w14:paraId="51AB3C63">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snapToGrid w:val="0"/>
                      <w:color w:val="000000" w:themeColor="text1"/>
                      <w:szCs w:val="21"/>
                      <w:highlight w:val="none"/>
                      <w:lang w:val="en-US" w:eastAsia="zh-CN"/>
                      <w14:textFill>
                        <w14:solidFill>
                          <w14:schemeClr w14:val="tx1"/>
                        </w14:solidFill>
                      </w14:textFill>
                    </w:rPr>
                  </w:pPr>
                  <w:r>
                    <w:rPr>
                      <w:rFonts w:hint="default" w:ascii="Times New Roman" w:hAnsi="Times New Roman" w:eastAsia="仿宋" w:cs="Times New Roman"/>
                      <w:snapToGrid w:val="0"/>
                      <w:color w:val="000000" w:themeColor="text1"/>
                      <w:kern w:val="0"/>
                      <w:szCs w:val="21"/>
                      <w:lang w:val="en-US" w:eastAsia="zh-CN"/>
                      <w14:textFill>
                        <w14:solidFill>
                          <w14:schemeClr w14:val="tx1"/>
                        </w14:solidFill>
                      </w14:textFill>
                    </w:rPr>
                    <w:t>④</w:t>
                  </w:r>
                  <w:r>
                    <w:rPr>
                      <w:rFonts w:hint="eastAsia" w:eastAsia="仿宋" w:cs="Times New Roman"/>
                      <w:snapToGrid w:val="0"/>
                      <w:color w:val="000000" w:themeColor="text1"/>
                      <w:szCs w:val="21"/>
                      <w:highlight w:val="none"/>
                      <w:lang w:val="en-US" w:eastAsia="zh-CN"/>
                      <w14:textFill>
                        <w14:solidFill>
                          <w14:schemeClr w14:val="tx1"/>
                        </w14:solidFill>
                      </w14:textFill>
                    </w:rPr>
                    <w:t>矿区矿石铲装</w:t>
                  </w:r>
                  <w:r>
                    <w:rPr>
                      <w:rFonts w:hint="eastAsia" w:ascii="Times New Roman" w:hAnsi="Times New Roman" w:eastAsia="仿宋" w:cs="Times New Roman"/>
                      <w:color w:val="000000" w:themeColor="text1"/>
                      <w:sz w:val="21"/>
                      <w:szCs w:val="21"/>
                      <w:highlight w:val="none"/>
                      <w:vertAlign w:val="baseline"/>
                      <w:lang w:val="en-US" w:eastAsia="zh-CN"/>
                      <w14:textFill>
                        <w14:solidFill>
                          <w14:schemeClr w14:val="tx1"/>
                        </w14:solidFill>
                      </w14:textFill>
                    </w:rPr>
                    <w:t>采取洒水</w:t>
                  </w:r>
                  <w:r>
                    <w:rPr>
                      <w:rFonts w:hint="eastAsia" w:eastAsia="仿宋" w:cs="Times New Roman"/>
                      <w:color w:val="000000" w:themeColor="text1"/>
                      <w:sz w:val="21"/>
                      <w:szCs w:val="21"/>
                      <w:highlight w:val="none"/>
                      <w:lang w:eastAsia="zh-CN"/>
                      <w14:textFill>
                        <w14:solidFill>
                          <w14:schemeClr w14:val="tx1"/>
                        </w14:solidFill>
                      </w14:textFill>
                    </w:rPr>
                    <w:t>（</w:t>
                  </w:r>
                  <w:r>
                    <w:rPr>
                      <w:rFonts w:hint="eastAsia" w:eastAsia="仿宋" w:cs="Times New Roman"/>
                      <w:color w:val="000000" w:themeColor="text1"/>
                      <w:sz w:val="21"/>
                      <w:szCs w:val="21"/>
                      <w:highlight w:val="none"/>
                      <w:lang w:val="en-US" w:eastAsia="zh-CN"/>
                      <w14:textFill>
                        <w14:solidFill>
                          <w14:schemeClr w14:val="tx1"/>
                        </w14:solidFill>
                      </w14:textFill>
                    </w:rPr>
                    <w:t>雾炮机</w:t>
                  </w:r>
                  <w:r>
                    <w:rPr>
                      <w:rFonts w:hint="eastAsia" w:eastAsia="仿宋"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仿宋" w:cs="Times New Roman"/>
                      <w:color w:val="000000" w:themeColor="text1"/>
                      <w:sz w:val="21"/>
                      <w:szCs w:val="21"/>
                      <w:highlight w:val="none"/>
                      <w:vertAlign w:val="baseline"/>
                      <w:lang w:val="en-US" w:eastAsia="zh-CN"/>
                      <w14:textFill>
                        <w14:solidFill>
                          <w14:schemeClr w14:val="tx1"/>
                        </w14:solidFill>
                      </w14:textFill>
                    </w:rPr>
                    <w:t>措施减少粉尘的产生；</w:t>
                  </w:r>
                </w:p>
                <w:p w14:paraId="718EE542">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snapToGrid w:val="0"/>
                      <w:color w:val="000000" w:themeColor="text1"/>
                      <w:kern w:val="0"/>
                      <w:szCs w:val="21"/>
                      <w:lang w:val="en-US" w:eastAsia="zh-CN"/>
                      <w14:textFill>
                        <w14:solidFill>
                          <w14:schemeClr w14:val="tx1"/>
                        </w14:solidFill>
                      </w14:textFill>
                    </w:rPr>
                  </w:pPr>
                  <w:r>
                    <w:rPr>
                      <w:rFonts w:hint="default" w:ascii="Times New Roman" w:hAnsi="Times New Roman" w:eastAsia="仿宋" w:cs="Times New Roman"/>
                      <w:snapToGrid w:val="0"/>
                      <w:color w:val="000000" w:themeColor="text1"/>
                      <w:kern w:val="0"/>
                      <w:szCs w:val="21"/>
                      <w:lang w:val="en-US" w:eastAsia="zh-CN"/>
                      <w14:textFill>
                        <w14:solidFill>
                          <w14:schemeClr w14:val="tx1"/>
                        </w14:solidFill>
                      </w14:textFill>
                    </w:rPr>
                    <w:t>⑤</w:t>
                  </w:r>
                  <w:r>
                    <w:rPr>
                      <w:rFonts w:hint="eastAsia" w:eastAsia="仿宋" w:cs="Times New Roman"/>
                      <w:snapToGrid w:val="0"/>
                      <w:color w:val="000000" w:themeColor="text1"/>
                      <w:kern w:val="0"/>
                      <w:szCs w:val="21"/>
                      <w:lang w:val="en-US" w:eastAsia="zh-CN"/>
                      <w14:textFill>
                        <w14:solidFill>
                          <w14:schemeClr w14:val="tx1"/>
                        </w14:solidFill>
                      </w14:textFill>
                    </w:rPr>
                    <w:t>排土场采取防尘网苫盖，</w:t>
                  </w:r>
                  <w:r>
                    <w:rPr>
                      <w:rFonts w:hint="default" w:ascii="Times New Roman" w:hAnsi="Times New Roman" w:eastAsia="仿宋" w:cs="Times New Roman"/>
                      <w:color w:val="000000" w:themeColor="text1"/>
                      <w:sz w:val="21"/>
                      <w:szCs w:val="21"/>
                      <w:highlight w:val="none"/>
                      <w:vertAlign w:val="baseline"/>
                      <w:lang w:val="en-US" w:eastAsia="zh-CN"/>
                      <w14:textFill>
                        <w14:solidFill>
                          <w14:schemeClr w14:val="tx1"/>
                        </w14:solidFill>
                      </w14:textFill>
                    </w:rPr>
                    <w:t>并定期洒水</w:t>
                  </w:r>
                  <w:r>
                    <w:rPr>
                      <w:rFonts w:hint="default" w:ascii="Times New Roman" w:hAnsi="Times New Roman" w:eastAsia="仿宋" w:cs="Times New Roman"/>
                      <w:snapToGrid w:val="0"/>
                      <w:color w:val="000000" w:themeColor="text1"/>
                      <w:szCs w:val="21"/>
                      <w:highlight w:val="none"/>
                      <w:lang w:eastAsia="zh-CN"/>
                      <w14:textFill>
                        <w14:solidFill>
                          <w14:schemeClr w14:val="tx1"/>
                        </w14:solidFill>
                      </w14:textFill>
                    </w:rPr>
                    <w:t>（</w:t>
                  </w:r>
                  <w:r>
                    <w:rPr>
                      <w:rFonts w:hint="default" w:ascii="Times New Roman" w:hAnsi="Times New Roman" w:eastAsia="仿宋" w:cs="Times New Roman"/>
                      <w:snapToGrid w:val="0"/>
                      <w:color w:val="000000" w:themeColor="text1"/>
                      <w:szCs w:val="21"/>
                      <w:highlight w:val="none"/>
                      <w:lang w:val="en-US" w:eastAsia="zh-CN"/>
                      <w14:textFill>
                        <w14:solidFill>
                          <w14:schemeClr w14:val="tx1"/>
                        </w14:solidFill>
                      </w14:textFill>
                    </w:rPr>
                    <w:t>洒水车</w:t>
                  </w:r>
                  <w:r>
                    <w:rPr>
                      <w:rFonts w:hint="default" w:ascii="Times New Roman" w:hAnsi="Times New Roman" w:eastAsia="仿宋" w:cs="Times New Roman"/>
                      <w:snapToGrid w:val="0"/>
                      <w:color w:val="000000" w:themeColor="text1"/>
                      <w:szCs w:val="21"/>
                      <w:highlight w:val="none"/>
                      <w:lang w:eastAsia="zh-CN"/>
                      <w14:textFill>
                        <w14:solidFill>
                          <w14:schemeClr w14:val="tx1"/>
                        </w14:solidFill>
                      </w14:textFill>
                    </w:rPr>
                    <w:t>）</w:t>
                  </w:r>
                  <w:r>
                    <w:rPr>
                      <w:rFonts w:hint="default" w:ascii="Times New Roman" w:hAnsi="Times New Roman" w:eastAsia="仿宋" w:cs="Times New Roman"/>
                      <w:color w:val="000000" w:themeColor="text1"/>
                      <w:sz w:val="21"/>
                      <w:szCs w:val="21"/>
                      <w:highlight w:val="none"/>
                      <w:vertAlign w:val="baseline"/>
                      <w:lang w:val="en-US" w:eastAsia="zh-CN"/>
                      <w14:textFill>
                        <w14:solidFill>
                          <w14:schemeClr w14:val="tx1"/>
                        </w14:solidFill>
                      </w14:textFill>
                    </w:rPr>
                    <w:t>降尘</w:t>
                  </w:r>
                  <w:r>
                    <w:rPr>
                      <w:rFonts w:hint="eastAsia" w:ascii="Times New Roman" w:hAnsi="Times New Roman" w:eastAsia="仿宋" w:cs="Times New Roman"/>
                      <w:color w:val="000000" w:themeColor="text1"/>
                      <w:sz w:val="21"/>
                      <w:szCs w:val="21"/>
                      <w:highlight w:val="none"/>
                      <w:vertAlign w:val="baseline"/>
                      <w:lang w:val="en-US" w:eastAsia="zh-CN"/>
                      <w14:textFill>
                        <w14:solidFill>
                          <w14:schemeClr w14:val="tx1"/>
                        </w14:solidFill>
                      </w14:textFill>
                    </w:rPr>
                    <w:t>；</w:t>
                  </w:r>
                </w:p>
                <w:p w14:paraId="3E22A74C">
                  <w:pPr>
                    <w:keepNext w:val="0"/>
                    <w:keepLines w:val="0"/>
                    <w:pageBreakBefore w:val="0"/>
                    <w:widowControl w:val="0"/>
                    <w:kinsoku/>
                    <w:wordWrap/>
                    <w:overflowPunct/>
                    <w:topLinePunct w:val="0"/>
                    <w:autoSpaceDE/>
                    <w:autoSpaceDN/>
                    <w:bidi w:val="0"/>
                    <w:adjustRightInd w:val="0"/>
                    <w:snapToGrid w:val="0"/>
                    <w:jc w:val="both"/>
                    <w:textAlignment w:val="auto"/>
                    <w:rPr>
                      <w:rFonts w:hint="eastAsia" w:eastAsia="仿宋" w:cs="Times New Roman"/>
                      <w:snapToGrid w:val="0"/>
                      <w:color w:val="000000" w:themeColor="text1"/>
                      <w:kern w:val="0"/>
                      <w:szCs w:val="21"/>
                      <w:lang w:val="en-US" w:eastAsia="zh-CN"/>
                      <w14:textFill>
                        <w14:solidFill>
                          <w14:schemeClr w14:val="tx1"/>
                        </w14:solidFill>
                      </w14:textFill>
                    </w:rPr>
                  </w:pPr>
                  <w:r>
                    <w:rPr>
                      <w:rFonts w:hint="default" w:ascii="Times New Roman" w:hAnsi="Times New Roman" w:eastAsia="仿宋" w:cs="Times New Roman"/>
                      <w:snapToGrid w:val="0"/>
                      <w:color w:val="000000" w:themeColor="text1"/>
                      <w:kern w:val="0"/>
                      <w:szCs w:val="21"/>
                      <w:lang w:val="en-US" w:eastAsia="zh-CN"/>
                      <w14:textFill>
                        <w14:solidFill>
                          <w14:schemeClr w14:val="tx1"/>
                        </w14:solidFill>
                      </w14:textFill>
                    </w:rPr>
                    <w:t>⑥</w:t>
                  </w:r>
                  <w:r>
                    <w:rPr>
                      <w:rFonts w:hint="eastAsia" w:eastAsia="仿宋" w:cs="Times New Roman"/>
                      <w:snapToGrid w:val="0"/>
                      <w:color w:val="000000" w:themeColor="text1"/>
                      <w:kern w:val="0"/>
                      <w:szCs w:val="21"/>
                      <w:lang w:val="en-US" w:eastAsia="zh-CN"/>
                      <w14:textFill>
                        <w14:solidFill>
                          <w14:schemeClr w14:val="tx1"/>
                        </w14:solidFill>
                      </w14:textFill>
                    </w:rPr>
                    <w:t>投料口及3台破碎机上方设置集气罩+布袋除尘器+15m排气筒（DA001）；3台振动筛上方设置集气罩+布袋除尘器+15m排气筒（DA002）；</w:t>
                  </w:r>
                </w:p>
                <w:p w14:paraId="310BF98D">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⑦</w:t>
                  </w:r>
                  <w:r>
                    <w:rPr>
                      <w:rFonts w:hint="eastAsia" w:eastAsia="仿宋" w:cs="Times New Roman"/>
                      <w:color w:val="000000" w:themeColor="text1"/>
                      <w:sz w:val="21"/>
                      <w:szCs w:val="21"/>
                      <w:highlight w:val="none"/>
                      <w:lang w:val="en-US" w:eastAsia="zh-CN"/>
                      <w14:textFill>
                        <w14:solidFill>
                          <w14:schemeClr w14:val="tx1"/>
                        </w14:solidFill>
                      </w14:textFill>
                    </w:rPr>
                    <w:t>成品堆场设置三面围挡（竖型防风网）+顶部苫盖</w:t>
                  </w:r>
                  <w:r>
                    <w:rPr>
                      <w:rFonts w:hint="default" w:ascii="Times New Roman" w:hAnsi="Times New Roman" w:eastAsia="仿宋" w:cs="Times New Roman"/>
                      <w:color w:val="000000" w:themeColor="text1"/>
                      <w:szCs w:val="21"/>
                      <w:highlight w:val="none"/>
                      <w:lang w:eastAsia="zh-CN"/>
                      <w14:textFill>
                        <w14:solidFill>
                          <w14:schemeClr w14:val="tx1"/>
                        </w14:solidFill>
                      </w14:textFill>
                    </w:rPr>
                    <w:t>，</w:t>
                  </w:r>
                  <w: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t>并且</w:t>
                  </w:r>
                  <w:r>
                    <w:rPr>
                      <w:rFonts w:hint="default" w:ascii="Times New Roman" w:hAnsi="Times New Roman" w:eastAsia="仿宋" w:cs="Times New Roman"/>
                      <w:snapToGrid w:val="0"/>
                      <w:color w:val="000000" w:themeColor="text1"/>
                      <w:szCs w:val="21"/>
                      <w:highlight w:val="none"/>
                      <w14:textFill>
                        <w14:solidFill>
                          <w14:schemeClr w14:val="tx1"/>
                        </w14:solidFill>
                      </w14:textFill>
                    </w:rPr>
                    <w:t>定期采取洒水</w:t>
                  </w:r>
                  <w:r>
                    <w:rPr>
                      <w:rFonts w:hint="default" w:ascii="Times New Roman" w:hAnsi="Times New Roman" w:eastAsia="仿宋" w:cs="Times New Roman"/>
                      <w:snapToGrid w:val="0"/>
                      <w:color w:val="000000" w:themeColor="text1"/>
                      <w:szCs w:val="21"/>
                      <w:highlight w:val="none"/>
                      <w:lang w:eastAsia="zh-CN"/>
                      <w14:textFill>
                        <w14:solidFill>
                          <w14:schemeClr w14:val="tx1"/>
                        </w14:solidFill>
                      </w14:textFill>
                    </w:rPr>
                    <w:t>（</w:t>
                  </w:r>
                  <w:r>
                    <w:rPr>
                      <w:rFonts w:hint="default" w:ascii="Times New Roman" w:hAnsi="Times New Roman" w:eastAsia="仿宋" w:cs="Times New Roman"/>
                      <w:snapToGrid w:val="0"/>
                      <w:color w:val="000000" w:themeColor="text1"/>
                      <w:szCs w:val="21"/>
                      <w:highlight w:val="none"/>
                      <w:lang w:val="en-US" w:eastAsia="zh-CN"/>
                      <w14:textFill>
                        <w14:solidFill>
                          <w14:schemeClr w14:val="tx1"/>
                        </w14:solidFill>
                      </w14:textFill>
                    </w:rPr>
                    <w:t>洒水车</w:t>
                  </w:r>
                  <w:r>
                    <w:rPr>
                      <w:rFonts w:hint="default" w:ascii="Times New Roman" w:hAnsi="Times New Roman" w:eastAsia="仿宋" w:cs="Times New Roman"/>
                      <w:snapToGrid w:val="0"/>
                      <w:color w:val="000000" w:themeColor="text1"/>
                      <w:szCs w:val="21"/>
                      <w:highlight w:val="none"/>
                      <w:lang w:eastAsia="zh-CN"/>
                      <w14:textFill>
                        <w14:solidFill>
                          <w14:schemeClr w14:val="tx1"/>
                        </w14:solidFill>
                      </w14:textFill>
                    </w:rPr>
                    <w:t>）</w:t>
                  </w:r>
                  <w:r>
                    <w:rPr>
                      <w:rFonts w:hint="default" w:ascii="Times New Roman" w:hAnsi="Times New Roman" w:eastAsia="仿宋" w:cs="Times New Roman"/>
                      <w:snapToGrid w:val="0"/>
                      <w:color w:val="000000" w:themeColor="text1"/>
                      <w:szCs w:val="21"/>
                      <w:highlight w:val="none"/>
                      <w14:textFill>
                        <w14:solidFill>
                          <w14:schemeClr w14:val="tx1"/>
                        </w14:solidFill>
                      </w14:textFill>
                    </w:rPr>
                    <w:t>降尘；</w:t>
                  </w:r>
                </w:p>
                <w:p w14:paraId="285733D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 w:val="21"/>
                      <w:szCs w:val="21"/>
                      <w:highlight w:val="none"/>
                      <w:lang w:val="en-US" w:eastAsia="zh-CN"/>
                      <w14:textFill>
                        <w14:solidFill>
                          <w14:schemeClr w14:val="tx1"/>
                        </w14:solidFill>
                      </w14:textFill>
                    </w:rPr>
                    <w:t>⑧</w:t>
                  </w:r>
                  <w:r>
                    <w:rPr>
                      <w:rFonts w:hint="default" w:ascii="Times New Roman" w:hAnsi="Times New Roman" w:eastAsia="仿宋" w:cs="Times New Roman"/>
                      <w:color w:val="000000" w:themeColor="text1"/>
                      <w:sz w:val="21"/>
                      <w:szCs w:val="21"/>
                      <w:highlight w:val="none"/>
                      <w14:textFill>
                        <w14:solidFill>
                          <w14:schemeClr w14:val="tx1"/>
                        </w14:solidFill>
                      </w14:textFill>
                    </w:rPr>
                    <w:t>运输道路采用</w:t>
                  </w:r>
                  <w:r>
                    <w:rPr>
                      <w:rFonts w:hint="eastAsia" w:ascii="Times New Roman" w:hAnsi="Times New Roman" w:eastAsia="仿宋" w:cs="Times New Roman"/>
                      <w:color w:val="000000" w:themeColor="text1"/>
                      <w:sz w:val="21"/>
                      <w:szCs w:val="21"/>
                      <w:highlight w:val="none"/>
                      <w:vertAlign w:val="baseline"/>
                      <w:lang w:val="en-US" w:eastAsia="zh-CN"/>
                      <w14:textFill>
                        <w14:solidFill>
                          <w14:schemeClr w14:val="tx1"/>
                        </w14:solidFill>
                      </w14:textFill>
                    </w:rPr>
                    <w:t>碎</w:t>
                  </w:r>
                  <w:r>
                    <w:rPr>
                      <w:rFonts w:hint="default" w:ascii="Times New Roman" w:hAnsi="Times New Roman" w:eastAsia="仿宋" w:cs="Times New Roman"/>
                      <w:color w:val="000000" w:themeColor="text1"/>
                      <w:sz w:val="21"/>
                      <w:szCs w:val="21"/>
                      <w:highlight w:val="none"/>
                      <w:vertAlign w:val="baseline"/>
                      <w:lang w:val="en-US" w:eastAsia="zh-CN"/>
                      <w14:textFill>
                        <w14:solidFill>
                          <w14:schemeClr w14:val="tx1"/>
                        </w14:solidFill>
                      </w14:textFill>
                    </w:rPr>
                    <w:t>石铺压并定期洒水</w:t>
                  </w:r>
                  <w:r>
                    <w:rPr>
                      <w:rFonts w:hint="default" w:ascii="Times New Roman" w:hAnsi="Times New Roman" w:eastAsia="仿宋" w:cs="Times New Roman"/>
                      <w:snapToGrid w:val="0"/>
                      <w:color w:val="000000" w:themeColor="text1"/>
                      <w:szCs w:val="21"/>
                      <w:highlight w:val="none"/>
                      <w:lang w:eastAsia="zh-CN"/>
                      <w14:textFill>
                        <w14:solidFill>
                          <w14:schemeClr w14:val="tx1"/>
                        </w14:solidFill>
                      </w14:textFill>
                    </w:rPr>
                    <w:t>（</w:t>
                  </w:r>
                  <w:r>
                    <w:rPr>
                      <w:rFonts w:hint="default" w:ascii="Times New Roman" w:hAnsi="Times New Roman" w:eastAsia="仿宋" w:cs="Times New Roman"/>
                      <w:snapToGrid w:val="0"/>
                      <w:color w:val="000000" w:themeColor="text1"/>
                      <w:szCs w:val="21"/>
                      <w:highlight w:val="none"/>
                      <w:lang w:val="en-US" w:eastAsia="zh-CN"/>
                      <w14:textFill>
                        <w14:solidFill>
                          <w14:schemeClr w14:val="tx1"/>
                        </w14:solidFill>
                      </w14:textFill>
                    </w:rPr>
                    <w:t>洒水车</w:t>
                  </w:r>
                  <w:r>
                    <w:rPr>
                      <w:rFonts w:hint="default" w:ascii="Times New Roman" w:hAnsi="Times New Roman" w:eastAsia="仿宋" w:cs="Times New Roman"/>
                      <w:snapToGrid w:val="0"/>
                      <w:color w:val="000000" w:themeColor="text1"/>
                      <w:szCs w:val="21"/>
                      <w:highlight w:val="none"/>
                      <w:lang w:eastAsia="zh-CN"/>
                      <w14:textFill>
                        <w14:solidFill>
                          <w14:schemeClr w14:val="tx1"/>
                        </w14:solidFill>
                      </w14:textFill>
                    </w:rPr>
                    <w:t>）</w:t>
                  </w:r>
                  <w:r>
                    <w:rPr>
                      <w:rFonts w:hint="default" w:ascii="Times New Roman" w:hAnsi="Times New Roman" w:eastAsia="仿宋" w:cs="Times New Roman"/>
                      <w:color w:val="000000" w:themeColor="text1"/>
                      <w:sz w:val="21"/>
                      <w:szCs w:val="21"/>
                      <w:highlight w:val="none"/>
                      <w:vertAlign w:val="baseline"/>
                      <w:lang w:val="en-US" w:eastAsia="zh-CN"/>
                      <w14:textFill>
                        <w14:solidFill>
                          <w14:schemeClr w14:val="tx1"/>
                        </w14:solidFill>
                      </w14:textFill>
                    </w:rPr>
                    <w:t>降尘</w:t>
                  </w:r>
                  <w:r>
                    <w:rPr>
                      <w:rFonts w:hint="eastAsia" w:ascii="Times New Roman" w:hAnsi="Times New Roman" w:eastAsia="仿宋" w:cs="Times New Roman"/>
                      <w:color w:val="000000" w:themeColor="text1"/>
                      <w:sz w:val="21"/>
                      <w:szCs w:val="21"/>
                      <w:highlight w:val="none"/>
                      <w:vertAlign w:val="baseline"/>
                      <w:lang w:val="en-US" w:eastAsia="zh-CN"/>
                      <w14:textFill>
                        <w14:solidFill>
                          <w14:schemeClr w14:val="tx1"/>
                        </w14:solidFill>
                      </w14:textFill>
                    </w:rPr>
                    <w:t>。</w:t>
                  </w:r>
                </w:p>
              </w:tc>
            </w:tr>
            <w:tr w14:paraId="6CD3E8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628" w:hRule="atLeast"/>
                <w:jc w:val="center"/>
              </w:trPr>
              <w:tc>
                <w:tcPr>
                  <w:tcW w:w="1136" w:type="dxa"/>
                  <w:vMerge w:val="continue"/>
                  <w:tcBorders>
                    <w:tl2br w:val="nil"/>
                    <w:tr2bl w:val="nil"/>
                  </w:tcBorders>
                  <w:noWrap w:val="0"/>
                  <w:vAlign w:val="center"/>
                </w:tcPr>
                <w:p w14:paraId="150064F6">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yellow"/>
                      <w14:textFill>
                        <w14:solidFill>
                          <w14:schemeClr w14:val="tx1"/>
                        </w14:solidFill>
                      </w14:textFill>
                    </w:rPr>
                  </w:pPr>
                </w:p>
              </w:tc>
              <w:tc>
                <w:tcPr>
                  <w:tcW w:w="1228" w:type="dxa"/>
                  <w:tcBorders>
                    <w:tl2br w:val="nil"/>
                    <w:tr2bl w:val="nil"/>
                  </w:tcBorders>
                  <w:noWrap w:val="0"/>
                  <w:vAlign w:val="center"/>
                </w:tcPr>
                <w:p w14:paraId="3D8F7827">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废水治理</w:t>
                  </w:r>
                </w:p>
              </w:tc>
              <w:tc>
                <w:tcPr>
                  <w:tcW w:w="5488" w:type="dxa"/>
                  <w:tcBorders>
                    <w:tl2br w:val="nil"/>
                    <w:tr2bl w:val="nil"/>
                  </w:tcBorders>
                  <w:noWrap w:val="0"/>
                  <w:vAlign w:val="center"/>
                </w:tcPr>
                <w:p w14:paraId="1AB13D54">
                  <w:pPr>
                    <w:keepNext w:val="0"/>
                    <w:keepLines w:val="0"/>
                    <w:pageBreakBefore w:val="0"/>
                    <w:widowControl w:val="0"/>
                    <w:kinsoku/>
                    <w:wordWrap/>
                    <w:overflowPunct/>
                    <w:autoSpaceDE/>
                    <w:bidi w:val="0"/>
                    <w:adjustRightInd w:val="0"/>
                    <w:snapToGrid w:val="0"/>
                    <w:textAlignment w:val="baseline"/>
                    <w:rPr>
                      <w:rFonts w:hint="eastAsia" w:ascii="Times New Roman" w:eastAsia="仿宋"/>
                      <w:color w:val="000000" w:themeColor="text1"/>
                      <w:szCs w:val="21"/>
                      <w:highlight w:val="none"/>
                      <w:lang w:eastAsia="zh-CN"/>
                      <w14:textFill>
                        <w14:solidFill>
                          <w14:schemeClr w14:val="tx1"/>
                        </w14:solidFill>
                      </w14:textFill>
                    </w:rPr>
                  </w:pPr>
                  <w:r>
                    <w:rPr>
                      <w:rFonts w:hint="default" w:ascii="Times New Roman" w:hAnsi="Times New Roman" w:eastAsia="仿宋" w:cs="Times New Roman"/>
                      <w:color w:val="000000" w:themeColor="text1"/>
                      <w:szCs w:val="21"/>
                      <w:highlight w:val="none"/>
                      <w14:textFill>
                        <w14:solidFill>
                          <w14:schemeClr w14:val="tx1"/>
                        </w14:solidFill>
                      </w14:textFill>
                    </w:rPr>
                    <w:t>①</w:t>
                  </w:r>
                  <w:r>
                    <w:rPr>
                      <w:rFonts w:hint="eastAsia" w:ascii="Times New Roman" w:eastAsia="仿宋"/>
                      <w:color w:val="000000" w:themeColor="text1"/>
                      <w:szCs w:val="21"/>
                      <w:highlight w:val="none"/>
                      <w14:textFill>
                        <w14:solidFill>
                          <w14:schemeClr w14:val="tx1"/>
                        </w14:solidFill>
                      </w14:textFill>
                    </w:rPr>
                    <w:t>本项目</w:t>
                  </w:r>
                  <w:r>
                    <w:rPr>
                      <w:rFonts w:hint="eastAsia" w:eastAsia="仿宋"/>
                      <w:color w:val="000000" w:themeColor="text1"/>
                      <w:szCs w:val="21"/>
                      <w:highlight w:val="none"/>
                      <w:lang w:val="en-US" w:eastAsia="zh-CN"/>
                      <w14:textFill>
                        <w14:solidFill>
                          <w14:schemeClr w14:val="tx1"/>
                        </w14:solidFill>
                      </w14:textFill>
                    </w:rPr>
                    <w:t>石料</w:t>
                  </w:r>
                  <w:r>
                    <w:rPr>
                      <w:rFonts w:hint="eastAsia" w:ascii="Times New Roman" w:eastAsia="仿宋"/>
                      <w:color w:val="000000" w:themeColor="text1"/>
                      <w:szCs w:val="21"/>
                      <w:highlight w:val="none"/>
                      <w:lang w:val="en-US" w:eastAsia="zh-CN"/>
                      <w14:textFill>
                        <w14:solidFill>
                          <w14:schemeClr w14:val="tx1"/>
                        </w14:solidFill>
                      </w14:textFill>
                    </w:rPr>
                    <w:t>生产线</w:t>
                  </w:r>
                  <w:r>
                    <w:rPr>
                      <w:rFonts w:hint="eastAsia" w:eastAsia="仿宋"/>
                      <w:color w:val="000000" w:themeColor="text1"/>
                      <w:szCs w:val="21"/>
                      <w:highlight w:val="none"/>
                      <w:lang w:val="en-US" w:eastAsia="zh-CN"/>
                      <w14:textFill>
                        <w14:solidFill>
                          <w14:schemeClr w14:val="tx1"/>
                        </w14:solidFill>
                      </w14:textFill>
                    </w:rPr>
                    <w:t>不产生生产废水</w:t>
                  </w:r>
                  <w:r>
                    <w:rPr>
                      <w:rFonts w:hint="eastAsia" w:ascii="Times New Roman" w:eastAsia="仿宋"/>
                      <w:color w:val="000000" w:themeColor="text1"/>
                      <w:szCs w:val="21"/>
                      <w:highlight w:val="none"/>
                      <w:lang w:eastAsia="zh-CN"/>
                      <w14:textFill>
                        <w14:solidFill>
                          <w14:schemeClr w14:val="tx1"/>
                        </w14:solidFill>
                      </w14:textFill>
                    </w:rPr>
                    <w:t>；</w:t>
                  </w:r>
                </w:p>
                <w:p w14:paraId="7C0D8F5A">
                  <w:pPr>
                    <w:keepNext w:val="0"/>
                    <w:keepLines w:val="0"/>
                    <w:pageBreakBefore w:val="0"/>
                    <w:widowControl w:val="0"/>
                    <w:kinsoku/>
                    <w:wordWrap/>
                    <w:overflowPunct/>
                    <w:autoSpaceDE/>
                    <w:bidi w:val="0"/>
                    <w:adjustRightInd w:val="0"/>
                    <w:snapToGrid w:val="0"/>
                    <w:textAlignment w:val="baseline"/>
                    <w:rPr>
                      <w:rFonts w:hint="eastAsia" w:ascii="Times New Roman" w:eastAsia="仿宋"/>
                      <w:color w:val="000000" w:themeColor="text1"/>
                      <w:szCs w:val="21"/>
                      <w:highlight w:val="none"/>
                      <w:lang w:val="en-US" w:eastAsia="zh-CN"/>
                      <w14:textFill>
                        <w14:solidFill>
                          <w14:schemeClr w14:val="tx1"/>
                        </w14:solidFill>
                      </w14:textFill>
                    </w:rPr>
                  </w:pPr>
                  <w:r>
                    <w:rPr>
                      <w:rFonts w:hint="default" w:ascii="Times New Roman" w:hAnsi="Times New Roman" w:eastAsia="仿宋" w:cs="Times New Roman"/>
                      <w:color w:val="000000" w:themeColor="text1"/>
                      <w:szCs w:val="21"/>
                      <w:highlight w:val="none"/>
                      <w14:textFill>
                        <w14:solidFill>
                          <w14:schemeClr w14:val="tx1"/>
                        </w14:solidFill>
                      </w14:textFill>
                    </w:rPr>
                    <w:t>②</w:t>
                  </w:r>
                  <w:r>
                    <w:rPr>
                      <w:rFonts w:hint="eastAsia" w:ascii="Times New Roman" w:eastAsia="仿宋"/>
                      <w:color w:val="000000" w:themeColor="text1"/>
                      <w:szCs w:val="21"/>
                      <w:highlight w:val="none"/>
                      <w14:textFill>
                        <w14:solidFill>
                          <w14:schemeClr w14:val="tx1"/>
                        </w14:solidFill>
                      </w14:textFill>
                    </w:rPr>
                    <w:t>本项目洗漱废水用于厂区泼洒降尘，设置环保型厕所</w:t>
                  </w:r>
                  <w:r>
                    <w:rPr>
                      <w:rFonts w:hint="eastAsia" w:eastAsia="仿宋"/>
                      <w:color w:val="000000" w:themeColor="text1"/>
                      <w:szCs w:val="21"/>
                      <w:highlight w:val="none"/>
                      <w:lang w:eastAsia="zh-CN"/>
                      <w14:textFill>
                        <w14:solidFill>
                          <w14:schemeClr w14:val="tx1"/>
                        </w14:solidFill>
                      </w14:textFill>
                    </w:rPr>
                    <w:t>，</w:t>
                  </w:r>
                  <w:r>
                    <w:rPr>
                      <w:rFonts w:hint="eastAsia" w:eastAsia="仿宋"/>
                      <w:color w:val="000000" w:themeColor="text1"/>
                      <w:szCs w:val="21"/>
                      <w:highlight w:val="none"/>
                      <w:lang w:val="en-US" w:eastAsia="zh-CN"/>
                      <w14:textFill>
                        <w14:solidFill>
                          <w14:schemeClr w14:val="tx1"/>
                        </w14:solidFill>
                      </w14:textFill>
                    </w:rPr>
                    <w:t>粪便定期清掏</w:t>
                  </w:r>
                  <w:r>
                    <w:rPr>
                      <w:rFonts w:hint="eastAsia" w:ascii="Times New Roman" w:eastAsia="仿宋"/>
                      <w:color w:val="000000" w:themeColor="text1"/>
                      <w:szCs w:val="21"/>
                      <w:highlight w:val="none"/>
                      <w14:textFill>
                        <w14:solidFill>
                          <w14:schemeClr w14:val="tx1"/>
                        </w14:solidFill>
                      </w14:textFill>
                    </w:rPr>
                    <w:t>。</w:t>
                  </w:r>
                </w:p>
              </w:tc>
            </w:tr>
            <w:tr w14:paraId="0A08CA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70" w:hRule="atLeast"/>
                <w:jc w:val="center"/>
              </w:trPr>
              <w:tc>
                <w:tcPr>
                  <w:tcW w:w="1136" w:type="dxa"/>
                  <w:vMerge w:val="continue"/>
                  <w:tcBorders>
                    <w:tl2br w:val="nil"/>
                    <w:tr2bl w:val="nil"/>
                  </w:tcBorders>
                  <w:noWrap w:val="0"/>
                  <w:vAlign w:val="center"/>
                </w:tcPr>
                <w:p w14:paraId="16466C0B">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yellow"/>
                      <w14:textFill>
                        <w14:solidFill>
                          <w14:schemeClr w14:val="tx1"/>
                        </w14:solidFill>
                      </w14:textFill>
                    </w:rPr>
                  </w:pPr>
                </w:p>
              </w:tc>
              <w:tc>
                <w:tcPr>
                  <w:tcW w:w="1228" w:type="dxa"/>
                  <w:tcBorders>
                    <w:tl2br w:val="nil"/>
                    <w:tr2bl w:val="nil"/>
                  </w:tcBorders>
                  <w:noWrap w:val="0"/>
                  <w:vAlign w:val="center"/>
                </w:tcPr>
                <w:p w14:paraId="7977168C">
                  <w:pPr>
                    <w:keepNext w:val="0"/>
                    <w:keepLines w:val="0"/>
                    <w:pageBreakBefore w:val="0"/>
                    <w:widowControl w:val="0"/>
                    <w:kinsoku/>
                    <w:wordWrap/>
                    <w:overflowPunct/>
                    <w:autoSpaceDE/>
                    <w:bidi w:val="0"/>
                    <w:adjustRightInd w:val="0"/>
                    <w:snapToGrid w:val="0"/>
                    <w:jc w:val="center"/>
                    <w:textAlignment w:val="baseline"/>
                    <w:rPr>
                      <w:rFonts w:hint="eastAsia" w:ascii="Times New Roman" w:hAnsi="Times New Roman" w:eastAsia="仿宋"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噪声</w:t>
                  </w:r>
                  <w:r>
                    <w:rPr>
                      <w:rFonts w:hint="eastAsia" w:eastAsia="仿宋" w:cs="Times New Roman"/>
                      <w:color w:val="000000" w:themeColor="text1"/>
                      <w:sz w:val="21"/>
                      <w:szCs w:val="21"/>
                      <w:highlight w:val="none"/>
                      <w:lang w:val="en-US" w:eastAsia="zh-CN"/>
                      <w14:textFill>
                        <w14:solidFill>
                          <w14:schemeClr w14:val="tx1"/>
                        </w14:solidFill>
                      </w14:textFill>
                    </w:rPr>
                    <w:t>治理</w:t>
                  </w:r>
                </w:p>
              </w:tc>
              <w:tc>
                <w:tcPr>
                  <w:tcW w:w="5488" w:type="dxa"/>
                  <w:tcBorders>
                    <w:tl2br w:val="nil"/>
                    <w:tr2bl w:val="nil"/>
                  </w:tcBorders>
                  <w:noWrap w:val="0"/>
                  <w:vAlign w:val="center"/>
                </w:tcPr>
                <w:p w14:paraId="61E98F56">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eastAsia" w:eastAsia="仿宋" w:cs="Times New Roman"/>
                      <w:color w:val="000000" w:themeColor="text1"/>
                      <w:sz w:val="21"/>
                      <w:szCs w:val="21"/>
                      <w:highlight w:val="none"/>
                      <w:lang w:val="en-US" w:eastAsia="zh-CN"/>
                      <w14:textFill>
                        <w14:solidFill>
                          <w14:schemeClr w14:val="tx1"/>
                        </w14:solidFill>
                      </w14:textFill>
                    </w:rPr>
                    <w:t>选用</w:t>
                  </w:r>
                  <w:r>
                    <w:rPr>
                      <w:rFonts w:hint="default" w:ascii="Times New Roman" w:hAnsi="Times New Roman" w:eastAsia="仿宋" w:cs="Times New Roman"/>
                      <w:color w:val="000000" w:themeColor="text1"/>
                      <w:sz w:val="21"/>
                      <w:szCs w:val="21"/>
                      <w:highlight w:val="none"/>
                      <w14:textFill>
                        <w14:solidFill>
                          <w14:schemeClr w14:val="tx1"/>
                        </w14:solidFill>
                      </w14:textFill>
                    </w:rPr>
                    <w:t>低噪设备</w:t>
                  </w:r>
                  <w:r>
                    <w:rPr>
                      <w:rFonts w:hint="eastAsia" w:eastAsia="仿宋" w:cs="Times New Roman"/>
                      <w:color w:val="000000" w:themeColor="text1"/>
                      <w:sz w:val="21"/>
                      <w:szCs w:val="21"/>
                      <w:highlight w:val="none"/>
                      <w:lang w:eastAsia="zh-CN"/>
                      <w14:textFill>
                        <w14:solidFill>
                          <w14:schemeClr w14:val="tx1"/>
                        </w14:solidFill>
                      </w14:textFill>
                    </w:rPr>
                    <w:t>、</w:t>
                  </w:r>
                  <w:r>
                    <w:rPr>
                      <w:rFonts w:hint="eastAsia" w:eastAsia="仿宋" w:cs="Times New Roman"/>
                      <w:color w:val="000000" w:themeColor="text1"/>
                      <w:sz w:val="21"/>
                      <w:szCs w:val="21"/>
                      <w:highlight w:val="none"/>
                      <w:lang w:val="en-US" w:eastAsia="zh-CN"/>
                      <w14:textFill>
                        <w14:solidFill>
                          <w14:schemeClr w14:val="tx1"/>
                        </w14:solidFill>
                      </w14:textFill>
                    </w:rPr>
                    <w:t>合理布局、建筑隔声，并加强设备维护</w:t>
                  </w:r>
                  <w:r>
                    <w:rPr>
                      <w:rFonts w:hint="default" w:ascii="Times New Roman" w:hAnsi="Times New Roman" w:eastAsia="仿宋" w:cs="Times New Roman"/>
                      <w:color w:val="000000" w:themeColor="text1"/>
                      <w:sz w:val="21"/>
                      <w:szCs w:val="21"/>
                      <w:highlight w:val="none"/>
                      <w14:textFill>
                        <w14:solidFill>
                          <w14:schemeClr w14:val="tx1"/>
                        </w14:solidFill>
                      </w14:textFill>
                    </w:rPr>
                    <w:t>等措施。</w:t>
                  </w:r>
                </w:p>
              </w:tc>
            </w:tr>
            <w:tr w14:paraId="6FEEA16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897" w:hRule="atLeast"/>
                <w:jc w:val="center"/>
              </w:trPr>
              <w:tc>
                <w:tcPr>
                  <w:tcW w:w="1136" w:type="dxa"/>
                  <w:vMerge w:val="continue"/>
                  <w:tcBorders>
                    <w:tl2br w:val="nil"/>
                    <w:tr2bl w:val="nil"/>
                  </w:tcBorders>
                  <w:noWrap w:val="0"/>
                  <w:vAlign w:val="center"/>
                </w:tcPr>
                <w:p w14:paraId="3032D5A4">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yellow"/>
                      <w14:textFill>
                        <w14:solidFill>
                          <w14:schemeClr w14:val="tx1"/>
                        </w14:solidFill>
                      </w14:textFill>
                    </w:rPr>
                  </w:pPr>
                </w:p>
              </w:tc>
              <w:tc>
                <w:tcPr>
                  <w:tcW w:w="1228" w:type="dxa"/>
                  <w:tcBorders>
                    <w:tl2br w:val="nil"/>
                    <w:tr2bl w:val="nil"/>
                  </w:tcBorders>
                  <w:noWrap w:val="0"/>
                  <w:vAlign w:val="center"/>
                </w:tcPr>
                <w:p w14:paraId="44C69AEA">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固体废物</w:t>
                  </w:r>
                </w:p>
                <w:p w14:paraId="3408F479">
                  <w:pPr>
                    <w:keepNext w:val="0"/>
                    <w:keepLines w:val="0"/>
                    <w:pageBreakBefore w:val="0"/>
                    <w:widowControl w:val="0"/>
                    <w:kinsoku/>
                    <w:wordWrap/>
                    <w:overflowPunct/>
                    <w:autoSpaceDE/>
                    <w:bidi w:val="0"/>
                    <w:adjustRightInd w:val="0"/>
                    <w:snapToGrid w:val="0"/>
                    <w:jc w:val="center"/>
                    <w:textAlignment w:val="baseline"/>
                    <w:rPr>
                      <w:rFonts w:hint="eastAsia" w:ascii="Times New Roman" w:hAnsi="Times New Roman" w:eastAsia="仿宋" w:cs="Times New Roman"/>
                      <w:color w:val="000000" w:themeColor="text1"/>
                      <w:sz w:val="21"/>
                      <w:szCs w:val="21"/>
                      <w:highlight w:val="none"/>
                      <w:lang w:val="en-US" w:eastAsia="zh-CN"/>
                      <w14:textFill>
                        <w14:solidFill>
                          <w14:schemeClr w14:val="tx1"/>
                        </w14:solidFill>
                      </w14:textFill>
                    </w:rPr>
                  </w:pPr>
                  <w:r>
                    <w:rPr>
                      <w:rFonts w:hint="eastAsia" w:eastAsia="仿宋" w:cs="Times New Roman"/>
                      <w:color w:val="000000" w:themeColor="text1"/>
                      <w:sz w:val="21"/>
                      <w:szCs w:val="21"/>
                      <w:highlight w:val="none"/>
                      <w:lang w:val="en-US" w:eastAsia="zh-CN"/>
                      <w14:textFill>
                        <w14:solidFill>
                          <w14:schemeClr w14:val="tx1"/>
                        </w14:solidFill>
                      </w14:textFill>
                    </w:rPr>
                    <w:t>治理</w:t>
                  </w:r>
                </w:p>
              </w:tc>
              <w:tc>
                <w:tcPr>
                  <w:tcW w:w="5488" w:type="dxa"/>
                  <w:tcBorders>
                    <w:tl2br w:val="nil"/>
                    <w:tr2bl w:val="nil"/>
                  </w:tcBorders>
                  <w:noWrap w:val="0"/>
                  <w:vAlign w:val="center"/>
                </w:tcPr>
                <w:p w14:paraId="43CA143C">
                  <w:pPr>
                    <w:keepNext w:val="0"/>
                    <w:keepLines w:val="0"/>
                    <w:pageBreakBefore w:val="0"/>
                    <w:widowControl w:val="0"/>
                    <w:kinsoku/>
                    <w:wordWrap/>
                    <w:overflowPunct/>
                    <w:topLinePunct/>
                    <w:autoSpaceDE/>
                    <w:autoSpaceDN w:val="0"/>
                    <w:bidi w:val="0"/>
                    <w:adjustRightInd w:val="0"/>
                    <w:snapToGrid w:val="0"/>
                    <w:spacing w:line="240" w:lineRule="auto"/>
                    <w:jc w:val="both"/>
                    <w:textAlignment w:val="center"/>
                    <w:rPr>
                      <w:rFonts w:hint="eastAsia" w:eastAsia="仿宋"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仿宋" w:cs="Times New Roman"/>
                      <w:color w:val="000000" w:themeColor="text1"/>
                      <w:szCs w:val="21"/>
                      <w:highlight w:val="none"/>
                      <w14:textFill>
                        <w14:solidFill>
                          <w14:schemeClr w14:val="tx1"/>
                        </w14:solidFill>
                      </w14:textFill>
                    </w:rPr>
                    <w:t>①</w:t>
                  </w:r>
                  <w:r>
                    <w:rPr>
                      <w:rFonts w:hint="default" w:ascii="Times New Roman" w:hAnsi="Times New Roman" w:eastAsia="仿宋" w:cs="Times New Roman"/>
                      <w:b w:val="0"/>
                      <w:bCs w:val="0"/>
                      <w:color w:val="000000" w:themeColor="text1"/>
                      <w:kern w:val="0"/>
                      <w:sz w:val="21"/>
                      <w:szCs w:val="21"/>
                      <w:highlight w:val="none"/>
                      <w:vertAlign w:val="baseline"/>
                      <w:lang w:val="en-US" w:eastAsia="zh-CN"/>
                      <w14:textFill>
                        <w14:solidFill>
                          <w14:schemeClr w14:val="tx1"/>
                        </w14:solidFill>
                      </w14:textFill>
                    </w:rPr>
                    <w:t>矿山剥离表土</w:t>
                  </w:r>
                  <w:r>
                    <w:rPr>
                      <w:rFonts w:hint="eastAsia" w:eastAsia="仿宋" w:cs="Times New Roman"/>
                      <w:b w:val="0"/>
                      <w:bCs w:val="0"/>
                      <w:color w:val="000000" w:themeColor="text1"/>
                      <w:kern w:val="0"/>
                      <w:sz w:val="21"/>
                      <w:szCs w:val="21"/>
                      <w:highlight w:val="none"/>
                      <w:vertAlign w:val="baseline"/>
                      <w:lang w:val="en-US" w:eastAsia="zh-CN"/>
                      <w14:textFill>
                        <w14:solidFill>
                          <w14:schemeClr w14:val="tx1"/>
                        </w14:solidFill>
                      </w14:textFill>
                    </w:rPr>
                    <w:t>和废石堆存于排土场内后期用于矿区生态修复；</w:t>
                  </w:r>
                </w:p>
                <w:p w14:paraId="1AD37AC2">
                  <w:pPr>
                    <w:keepNext w:val="0"/>
                    <w:keepLines w:val="0"/>
                    <w:pageBreakBefore w:val="0"/>
                    <w:widowControl w:val="0"/>
                    <w:kinsoku/>
                    <w:wordWrap/>
                    <w:overflowPunct/>
                    <w:topLinePunct/>
                    <w:autoSpaceDE/>
                    <w:autoSpaceDN w:val="0"/>
                    <w:bidi w:val="0"/>
                    <w:adjustRightInd w:val="0"/>
                    <w:snapToGrid w:val="0"/>
                    <w:spacing w:line="240" w:lineRule="auto"/>
                    <w:jc w:val="both"/>
                    <w:textAlignment w:val="center"/>
                    <w:rPr>
                      <w:rFonts w:hint="eastAsia" w:eastAsia="仿宋"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仿宋" w:cs="Times New Roman"/>
                      <w:color w:val="000000" w:themeColor="text1"/>
                      <w:szCs w:val="21"/>
                      <w:highlight w:val="none"/>
                      <w14:textFill>
                        <w14:solidFill>
                          <w14:schemeClr w14:val="tx1"/>
                        </w14:solidFill>
                      </w14:textFill>
                    </w:rPr>
                    <w:t>②</w:t>
                  </w:r>
                  <w:r>
                    <w:rPr>
                      <w:rFonts w:hint="eastAsia" w:eastAsia="仿宋" w:cs="Times New Roman"/>
                      <w:color w:val="000000" w:themeColor="text1"/>
                      <w:szCs w:val="21"/>
                      <w:highlight w:val="none"/>
                      <w:lang w:val="en-US" w:eastAsia="zh-CN"/>
                      <w14:textFill>
                        <w14:solidFill>
                          <w14:schemeClr w14:val="tx1"/>
                        </w14:solidFill>
                      </w14:textFill>
                    </w:rPr>
                    <w:t>布袋除尘器收集粉尘集中收集外售；</w:t>
                  </w:r>
                </w:p>
                <w:p w14:paraId="6AE06FC4">
                  <w:pPr>
                    <w:keepNext w:val="0"/>
                    <w:keepLines w:val="0"/>
                    <w:pageBreakBefore w:val="0"/>
                    <w:widowControl w:val="0"/>
                    <w:kinsoku/>
                    <w:wordWrap/>
                    <w:overflowPunct/>
                    <w:topLinePunct/>
                    <w:autoSpaceDE/>
                    <w:autoSpaceDN w:val="0"/>
                    <w:bidi w:val="0"/>
                    <w:adjustRightInd w:val="0"/>
                    <w:snapToGrid w:val="0"/>
                    <w:spacing w:line="240" w:lineRule="auto"/>
                    <w:jc w:val="both"/>
                    <w:textAlignment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仿宋" w:cs="Times New Roman"/>
                      <w:color w:val="000000" w:themeColor="text1"/>
                      <w:szCs w:val="21"/>
                      <w:highlight w:val="none"/>
                      <w14:textFill>
                        <w14:solidFill>
                          <w14:schemeClr w14:val="tx1"/>
                        </w14:solidFill>
                      </w14:textFill>
                    </w:rPr>
                    <w:t>③</w:t>
                  </w:r>
                  <w:r>
                    <w:rPr>
                      <w:rFonts w:hint="default" w:ascii="Times New Roman" w:hAnsi="Times New Roman" w:eastAsia="仿宋" w:cs="Times New Roman"/>
                      <w:snapToGrid w:val="0"/>
                      <w:color w:val="000000" w:themeColor="text1"/>
                      <w:kern w:val="0"/>
                      <w:szCs w:val="21"/>
                      <w:highlight w:val="none"/>
                      <w:lang w:val="en-US" w:eastAsia="zh-CN"/>
                      <w14:textFill>
                        <w14:solidFill>
                          <w14:schemeClr w14:val="tx1"/>
                        </w14:solidFill>
                      </w14:textFill>
                    </w:rPr>
                    <w:t>废布袋定期由厂家更换回收处理；</w:t>
                  </w:r>
                </w:p>
                <w:p w14:paraId="65745E7B">
                  <w:pPr>
                    <w:keepNext w:val="0"/>
                    <w:keepLines w:val="0"/>
                    <w:pageBreakBefore w:val="0"/>
                    <w:widowControl w:val="0"/>
                    <w:kinsoku/>
                    <w:wordWrap/>
                    <w:overflowPunct/>
                    <w:topLinePunct/>
                    <w:autoSpaceDE/>
                    <w:autoSpaceDN w:val="0"/>
                    <w:bidi w:val="0"/>
                    <w:adjustRightInd w:val="0"/>
                    <w:snapToGrid w:val="0"/>
                    <w:spacing w:line="240" w:lineRule="auto"/>
                    <w:jc w:val="both"/>
                    <w:textAlignment w:val="center"/>
                    <w:rPr>
                      <w:rFonts w:hint="default" w:ascii="Times New Roman" w:hAnsi="Times New Roman" w:eastAsia="仿宋" w:cs="Times New Roman"/>
                      <w:snapToGrid w:val="0"/>
                      <w:color w:val="000000" w:themeColor="text1"/>
                      <w:kern w:val="0"/>
                      <w:szCs w:val="21"/>
                      <w:highlight w:val="none"/>
                      <w:lang w:val="en-US" w:eastAsia="zh-CN"/>
                      <w14:textFill>
                        <w14:solidFill>
                          <w14:schemeClr w14:val="tx1"/>
                        </w14:solidFill>
                      </w14:textFill>
                    </w:rPr>
                  </w:pPr>
                  <w:r>
                    <w:rPr>
                      <w:rFonts w:hint="default" w:ascii="Times New Roman" w:hAnsi="Times New Roman" w:eastAsia="仿宋" w:cs="Times New Roman"/>
                      <w:snapToGrid w:val="0"/>
                      <w:color w:val="000000" w:themeColor="text1"/>
                      <w:kern w:val="0"/>
                      <w:szCs w:val="21"/>
                      <w:highlight w:val="none"/>
                      <w:lang w:val="en-US" w:eastAsia="zh-CN"/>
                      <w14:textFill>
                        <w14:solidFill>
                          <w14:schemeClr w14:val="tx1"/>
                        </w14:solidFill>
                      </w14:textFill>
                    </w:rPr>
                    <w:t>④</w:t>
                  </w:r>
                  <w:r>
                    <w:rPr>
                      <w:rFonts w:hint="default" w:ascii="Times New Roman" w:hAnsi="Times New Roman" w:eastAsia="仿宋" w:cs="Times New Roman"/>
                      <w:color w:val="000000" w:themeColor="text1"/>
                      <w:szCs w:val="21"/>
                      <w:highlight w:val="none"/>
                      <w14:textFill>
                        <w14:solidFill>
                          <w14:schemeClr w14:val="tx1"/>
                        </w14:solidFill>
                      </w14:textFill>
                    </w:rPr>
                    <w:t>生活垃圾用垃圾桶收集后定期运至当地指定垃圾点统一进行处理</w:t>
                  </w:r>
                  <w:r>
                    <w:rPr>
                      <w:rFonts w:hint="default" w:ascii="Times New Roman" w:hAnsi="Times New Roman" w:eastAsia="仿宋" w:cs="Times New Roman"/>
                      <w:color w:val="000000" w:themeColor="text1"/>
                      <w:szCs w:val="21"/>
                      <w:highlight w:val="none"/>
                      <w:lang w:eastAsia="zh-CN"/>
                      <w14:textFill>
                        <w14:solidFill>
                          <w14:schemeClr w14:val="tx1"/>
                        </w14:solidFill>
                      </w14:textFill>
                    </w:rPr>
                    <w:t>；</w:t>
                  </w:r>
                </w:p>
                <w:p w14:paraId="34A91A33">
                  <w:pPr>
                    <w:keepNext w:val="0"/>
                    <w:keepLines w:val="0"/>
                    <w:pageBreakBefore w:val="0"/>
                    <w:widowControl w:val="0"/>
                    <w:kinsoku/>
                    <w:wordWrap/>
                    <w:overflowPunct/>
                    <w:topLinePunct/>
                    <w:autoSpaceDE/>
                    <w:autoSpaceDN w:val="0"/>
                    <w:bidi w:val="0"/>
                    <w:adjustRightInd w:val="0"/>
                    <w:snapToGrid w:val="0"/>
                    <w:spacing w:line="240" w:lineRule="auto"/>
                    <w:jc w:val="both"/>
                    <w:textAlignment w:val="center"/>
                    <w:rPr>
                      <w:rFonts w:hint="eastAsia" w:eastAsia="仿宋"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仿宋" w:cs="Times New Roman"/>
                      <w:snapToGrid w:val="0"/>
                      <w:color w:val="000000" w:themeColor="text1"/>
                      <w:kern w:val="0"/>
                      <w:szCs w:val="21"/>
                      <w:highlight w:val="none"/>
                      <w:lang w:val="en-US" w:eastAsia="zh-CN"/>
                      <w14:textFill>
                        <w14:solidFill>
                          <w14:schemeClr w14:val="tx1"/>
                        </w14:solidFill>
                      </w14:textFill>
                    </w:rPr>
                    <w:t>⑤废润滑油和废油桶暂存于危废贮存点定期交由有资质单位统一处置。</w:t>
                  </w:r>
                </w:p>
              </w:tc>
            </w:tr>
            <w:tr w14:paraId="1D150E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556" w:hRule="atLeast"/>
                <w:jc w:val="center"/>
              </w:trPr>
              <w:tc>
                <w:tcPr>
                  <w:tcW w:w="1136" w:type="dxa"/>
                  <w:vMerge w:val="continue"/>
                  <w:tcBorders>
                    <w:tl2br w:val="nil"/>
                    <w:tr2bl w:val="nil"/>
                  </w:tcBorders>
                  <w:noWrap w:val="0"/>
                  <w:vAlign w:val="center"/>
                </w:tcPr>
                <w:p w14:paraId="1CFD1A17">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yellow"/>
                      <w14:textFill>
                        <w14:solidFill>
                          <w14:schemeClr w14:val="tx1"/>
                        </w14:solidFill>
                      </w14:textFill>
                    </w:rPr>
                  </w:pPr>
                </w:p>
              </w:tc>
              <w:tc>
                <w:tcPr>
                  <w:tcW w:w="1228" w:type="dxa"/>
                  <w:tcBorders>
                    <w:tl2br w:val="nil"/>
                    <w:tr2bl w:val="nil"/>
                  </w:tcBorders>
                  <w:noWrap w:val="0"/>
                  <w:vAlign w:val="center"/>
                </w:tcPr>
                <w:p w14:paraId="4D3A2F0A">
                  <w:pPr>
                    <w:keepNext w:val="0"/>
                    <w:keepLines w:val="0"/>
                    <w:pageBreakBefore w:val="0"/>
                    <w:widowControl w:val="0"/>
                    <w:kinsoku/>
                    <w:wordWrap/>
                    <w:overflowPunct/>
                    <w:autoSpaceDE/>
                    <w:bidi w:val="0"/>
                    <w:adjustRightInd w:val="0"/>
                    <w:snapToGrid w:val="0"/>
                    <w:jc w:val="center"/>
                    <w:textAlignment w:val="baseline"/>
                    <w:rPr>
                      <w:rFonts w:hint="default" w:ascii="Times New Roman" w:hAnsi="Times New Roman" w:eastAsia="仿宋" w:cs="Times New Roman"/>
                      <w:color w:val="000000" w:themeColor="text1"/>
                      <w:sz w:val="21"/>
                      <w:szCs w:val="21"/>
                      <w:highlight w:val="none"/>
                      <w14:textFill>
                        <w14:solidFill>
                          <w14:schemeClr w14:val="tx1"/>
                        </w14:solidFill>
                      </w14:textFill>
                    </w:rPr>
                  </w:pPr>
                  <w:r>
                    <w:rPr>
                      <w:rFonts w:hint="default" w:ascii="Times New Roman" w:hAnsi="Times New Roman" w:eastAsia="仿宋" w:cs="Times New Roman"/>
                      <w:color w:val="000000" w:themeColor="text1"/>
                      <w:sz w:val="21"/>
                      <w:szCs w:val="21"/>
                      <w:highlight w:val="none"/>
                      <w14:textFill>
                        <w14:solidFill>
                          <w14:schemeClr w14:val="tx1"/>
                        </w14:solidFill>
                      </w14:textFill>
                    </w:rPr>
                    <w:t>生态</w:t>
                  </w:r>
                  <w:r>
                    <w:rPr>
                      <w:rFonts w:hint="eastAsia" w:eastAsia="仿宋" w:cs="Times New Roman"/>
                      <w:color w:val="000000" w:themeColor="text1"/>
                      <w:sz w:val="21"/>
                      <w:szCs w:val="21"/>
                      <w:highlight w:val="none"/>
                      <w:lang w:val="en-US" w:eastAsia="zh-CN"/>
                      <w14:textFill>
                        <w14:solidFill>
                          <w14:schemeClr w14:val="tx1"/>
                        </w14:solidFill>
                      </w14:textFill>
                    </w:rPr>
                    <w:t>环境恢复治理</w:t>
                  </w:r>
                </w:p>
              </w:tc>
              <w:tc>
                <w:tcPr>
                  <w:tcW w:w="5488" w:type="dxa"/>
                  <w:tcBorders>
                    <w:tl2br w:val="nil"/>
                    <w:tr2bl w:val="nil"/>
                  </w:tcBorders>
                  <w:noWrap w:val="0"/>
                  <w:vAlign w:val="center"/>
                </w:tcPr>
                <w:p w14:paraId="53FFE72F">
                  <w:pPr>
                    <w:keepNext w:val="0"/>
                    <w:keepLines w:val="0"/>
                    <w:pageBreakBefore w:val="0"/>
                    <w:widowControl w:val="0"/>
                    <w:kinsoku/>
                    <w:wordWrap/>
                    <w:overflowPunct/>
                    <w:autoSpaceDE/>
                    <w:bidi w:val="0"/>
                    <w:adjustRightInd w:val="0"/>
                    <w:snapToGrid w:val="0"/>
                    <w:rPr>
                      <w:rFonts w:hint="default" w:ascii="Times New Roman" w:hAnsi="Times New Roman" w:eastAsia="仿宋" w:cs="Times New Roman"/>
                      <w:color w:val="000000" w:themeColor="text1"/>
                      <w:spacing w:val="0"/>
                      <w:position w:val="0"/>
                      <w:sz w:val="21"/>
                      <w:szCs w:val="21"/>
                      <w:highlight w:val="none"/>
                      <w14:textFill>
                        <w14:solidFill>
                          <w14:schemeClr w14:val="tx1"/>
                        </w14:solidFill>
                      </w14:textFill>
                    </w:rPr>
                  </w:pPr>
                  <w:r>
                    <w:rPr>
                      <w:rFonts w:hint="eastAsia" w:ascii="Times New Roman" w:hAnsi="Times New Roman" w:eastAsia="仿宋" w:cs="Times New Roman"/>
                      <w:color w:val="000000" w:themeColor="text1"/>
                      <w:spacing w:val="0"/>
                      <w:position w:val="0"/>
                      <w:sz w:val="21"/>
                      <w:szCs w:val="21"/>
                      <w:highlight w:val="none"/>
                      <w:lang w:val="en-US" w:eastAsia="zh-CN"/>
                      <w14:textFill>
                        <w14:solidFill>
                          <w14:schemeClr w14:val="tx1"/>
                        </w14:solidFill>
                      </w14:textFill>
                    </w:rPr>
                    <w:t>根据《临泽县金源矿业有限责任公司平川镇羊圈湾冶金用石英岩矿开采方案与矿区生态修复方案》</w:t>
                  </w:r>
                  <w:r>
                    <w:rPr>
                      <w:rFonts w:hint="eastAsia" w:eastAsia="仿宋" w:cs="Times New Roman"/>
                      <w:color w:val="000000" w:themeColor="text1"/>
                      <w:spacing w:val="0"/>
                      <w:position w:val="0"/>
                      <w:sz w:val="21"/>
                      <w:szCs w:val="21"/>
                      <w:highlight w:val="none"/>
                      <w:lang w:val="en-US" w:eastAsia="zh-CN"/>
                      <w14:textFill>
                        <w14:solidFill>
                          <w14:schemeClr w14:val="tx1"/>
                        </w14:solidFill>
                      </w14:textFill>
                    </w:rPr>
                    <w:t>，</w:t>
                  </w:r>
                  <w:r>
                    <w:rPr>
                      <w:rFonts w:hint="eastAsia" w:ascii="Times New Roman" w:hAnsi="Times New Roman" w:eastAsia="仿宋" w:cs="Times New Roman"/>
                      <w:color w:val="000000" w:themeColor="text1"/>
                      <w:spacing w:val="0"/>
                      <w:position w:val="0"/>
                      <w:sz w:val="21"/>
                      <w:szCs w:val="21"/>
                      <w:highlight w:val="none"/>
                      <w:lang w:val="en-US" w:eastAsia="zh-CN"/>
                      <w14:textFill>
                        <w14:solidFill>
                          <w14:schemeClr w14:val="tx1"/>
                        </w14:solidFill>
                      </w14:textFill>
                    </w:rPr>
                    <w:t>对采矿造成的生态破坏进行及时恢复。</w:t>
                  </w:r>
                </w:p>
              </w:tc>
            </w:tr>
          </w:tbl>
          <w:p w14:paraId="620FAECE">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2" w:firstLineChars="200"/>
              <w:jc w:val="left"/>
              <w:textAlignment w:val="auto"/>
              <w:rPr>
                <w:rFonts w:hint="default" w:eastAsia="仿宋"/>
                <w:b/>
                <w:color w:val="000000"/>
                <w:sz w:val="24"/>
                <w:lang w:val="en-US" w:eastAsia="zh-CN"/>
              </w:rPr>
            </w:pPr>
            <w:r>
              <w:rPr>
                <w:rFonts w:hint="eastAsia" w:eastAsia="仿宋"/>
                <w:b/>
                <w:color w:val="000000"/>
                <w:sz w:val="24"/>
                <w:lang w:val="en-US" w:eastAsia="zh-CN"/>
              </w:rPr>
              <w:t>5.主要经济技术指标</w:t>
            </w:r>
          </w:p>
          <w:p w14:paraId="7F736B44">
            <w:pPr>
              <w:autoSpaceDE w:val="0"/>
              <w:autoSpaceDN w:val="0"/>
              <w:adjustRightInd w:val="0"/>
              <w:snapToGrid w:val="0"/>
              <w:spacing w:line="360" w:lineRule="auto"/>
              <w:ind w:firstLine="480" w:firstLineChars="200"/>
              <w:jc w:val="left"/>
              <w:rPr>
                <w:rFonts w:eastAsia="仿宋"/>
                <w:color w:val="000000"/>
                <w:sz w:val="24"/>
              </w:rPr>
            </w:pPr>
            <w:r>
              <w:rPr>
                <w:rFonts w:eastAsia="仿宋"/>
                <w:color w:val="000000"/>
                <w:sz w:val="24"/>
              </w:rPr>
              <w:t>本项目</w:t>
            </w:r>
            <w:r>
              <w:rPr>
                <w:rFonts w:hint="eastAsia" w:eastAsia="仿宋"/>
                <w:color w:val="000000"/>
                <w:sz w:val="24"/>
                <w:lang w:val="en-US" w:eastAsia="zh-CN"/>
              </w:rPr>
              <w:t>主要经济技术指标</w:t>
            </w:r>
            <w:r>
              <w:rPr>
                <w:rFonts w:eastAsia="仿宋"/>
                <w:color w:val="000000"/>
                <w:sz w:val="24"/>
              </w:rPr>
              <w:t>见表</w:t>
            </w:r>
            <w:r>
              <w:rPr>
                <w:rFonts w:hint="eastAsia" w:eastAsia="仿宋"/>
                <w:color w:val="000000"/>
                <w:sz w:val="24"/>
                <w:lang w:val="en-US" w:eastAsia="zh-CN"/>
              </w:rPr>
              <w:t>9</w:t>
            </w:r>
            <w:r>
              <w:rPr>
                <w:rFonts w:eastAsia="仿宋"/>
                <w:color w:val="000000"/>
                <w:sz w:val="24"/>
              </w:rPr>
              <w:t>。</w:t>
            </w:r>
          </w:p>
          <w:p w14:paraId="4934B4E6">
            <w:pPr>
              <w:pStyle w:val="19"/>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
                <w:bCs/>
                <w:color w:val="auto"/>
                <w:sz w:val="21"/>
                <w:szCs w:val="21"/>
                <w:highlight w:val="none"/>
                <w:lang w:val="en-US" w:eastAsia="zh-CN"/>
              </w:rPr>
            </w:pPr>
            <w:r>
              <w:rPr>
                <w:rFonts w:hint="default" w:ascii="Times New Roman" w:hAnsi="Times New Roman" w:eastAsia="仿宋" w:cs="Times New Roman"/>
                <w:b/>
                <w:bCs/>
                <w:color w:val="auto"/>
                <w:sz w:val="21"/>
                <w:szCs w:val="21"/>
                <w:highlight w:val="none"/>
                <w:lang w:val="en-US" w:eastAsia="zh-CN"/>
              </w:rPr>
              <w:t>表</w:t>
            </w:r>
            <w:r>
              <w:rPr>
                <w:rFonts w:hint="eastAsia" w:ascii="Times New Roman" w:hAnsi="Times New Roman" w:eastAsia="仿宋" w:cs="Times New Roman"/>
                <w:b/>
                <w:bCs/>
                <w:color w:val="auto"/>
                <w:sz w:val="21"/>
                <w:szCs w:val="21"/>
                <w:highlight w:val="none"/>
                <w:lang w:val="en-US" w:eastAsia="zh-CN"/>
              </w:rPr>
              <w:t>9</w:t>
            </w:r>
            <w:r>
              <w:rPr>
                <w:rFonts w:hint="default" w:ascii="Times New Roman" w:hAnsi="Times New Roman" w:eastAsia="仿宋" w:cs="Times New Roman"/>
                <w:b/>
                <w:bCs/>
                <w:color w:val="auto"/>
                <w:sz w:val="21"/>
                <w:szCs w:val="21"/>
                <w:highlight w:val="none"/>
                <w:lang w:val="en-US" w:eastAsia="zh-CN"/>
              </w:rPr>
              <w:t xml:space="preserve">   项目经济技术指标一览表</w:t>
            </w:r>
          </w:p>
          <w:tbl>
            <w:tblPr>
              <w:tblStyle w:val="23"/>
              <w:tblW w:w="4998"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734"/>
              <w:gridCol w:w="2207"/>
              <w:gridCol w:w="1157"/>
              <w:gridCol w:w="2315"/>
              <w:gridCol w:w="1505"/>
            </w:tblGrid>
            <w:tr w14:paraId="3AD2F5E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0" w:hRule="atLeast"/>
                <w:jc w:val="center"/>
              </w:trPr>
              <w:tc>
                <w:tcPr>
                  <w:tcW w:w="463" w:type="pct"/>
                  <w:tcBorders>
                    <w:tl2br w:val="nil"/>
                    <w:tr2bl w:val="nil"/>
                  </w:tcBorders>
                  <w:shd w:val="clear" w:color="auto" w:fill="auto"/>
                  <w:vAlign w:val="center"/>
                </w:tcPr>
                <w:p w14:paraId="782B44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auto"/>
                      <w:sz w:val="21"/>
                      <w:szCs w:val="21"/>
                      <w:highlight w:val="none"/>
                      <w:u w:val="none"/>
                    </w:rPr>
                  </w:pPr>
                  <w:r>
                    <w:rPr>
                      <w:rStyle w:val="56"/>
                      <w:rFonts w:hint="default" w:ascii="Times New Roman" w:hAnsi="Times New Roman" w:eastAsia="仿宋" w:cs="Times New Roman"/>
                      <w:color w:val="auto"/>
                      <w:sz w:val="21"/>
                      <w:szCs w:val="21"/>
                      <w:highlight w:val="none"/>
                      <w:lang w:val="en-US" w:eastAsia="zh-CN" w:bidi="ar"/>
                    </w:rPr>
                    <w:t>序号</w:t>
                  </w:r>
                </w:p>
              </w:tc>
              <w:tc>
                <w:tcPr>
                  <w:tcW w:w="1393" w:type="pct"/>
                  <w:tcBorders>
                    <w:tl2br w:val="nil"/>
                    <w:tr2bl w:val="nil"/>
                  </w:tcBorders>
                  <w:shd w:val="clear" w:color="auto" w:fill="auto"/>
                  <w:vAlign w:val="center"/>
                </w:tcPr>
                <w:p w14:paraId="1C8697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auto"/>
                      <w:sz w:val="21"/>
                      <w:szCs w:val="21"/>
                      <w:highlight w:val="none"/>
                      <w:u w:val="none"/>
                    </w:rPr>
                  </w:pPr>
                  <w:r>
                    <w:rPr>
                      <w:rStyle w:val="56"/>
                      <w:rFonts w:hint="default" w:ascii="Times New Roman" w:hAnsi="Times New Roman" w:eastAsia="仿宋" w:cs="Times New Roman"/>
                      <w:color w:val="auto"/>
                      <w:sz w:val="21"/>
                      <w:szCs w:val="21"/>
                      <w:highlight w:val="none"/>
                      <w:lang w:val="en-US" w:eastAsia="zh-CN" w:bidi="ar"/>
                    </w:rPr>
                    <w:t>指标名称</w:t>
                  </w:r>
                </w:p>
              </w:tc>
              <w:tc>
                <w:tcPr>
                  <w:tcW w:w="730" w:type="pct"/>
                  <w:tcBorders>
                    <w:tl2br w:val="nil"/>
                    <w:tr2bl w:val="nil"/>
                  </w:tcBorders>
                  <w:shd w:val="clear" w:color="auto" w:fill="auto"/>
                  <w:vAlign w:val="center"/>
                </w:tcPr>
                <w:p w14:paraId="5E7E44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auto"/>
                      <w:sz w:val="21"/>
                      <w:szCs w:val="21"/>
                      <w:highlight w:val="none"/>
                      <w:u w:val="none"/>
                    </w:rPr>
                  </w:pPr>
                  <w:r>
                    <w:rPr>
                      <w:rStyle w:val="56"/>
                      <w:rFonts w:hint="default" w:ascii="Times New Roman" w:hAnsi="Times New Roman" w:eastAsia="仿宋" w:cs="Times New Roman"/>
                      <w:color w:val="auto"/>
                      <w:sz w:val="21"/>
                      <w:szCs w:val="21"/>
                      <w:highlight w:val="none"/>
                      <w:lang w:val="en-US" w:eastAsia="zh-CN" w:bidi="ar"/>
                    </w:rPr>
                    <w:t>单位</w:t>
                  </w:r>
                </w:p>
              </w:tc>
              <w:tc>
                <w:tcPr>
                  <w:tcW w:w="1461" w:type="pct"/>
                  <w:tcBorders>
                    <w:tl2br w:val="nil"/>
                    <w:tr2bl w:val="nil"/>
                  </w:tcBorders>
                  <w:shd w:val="clear" w:color="auto" w:fill="auto"/>
                  <w:vAlign w:val="center"/>
                </w:tcPr>
                <w:p w14:paraId="7A7A81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auto"/>
                      <w:sz w:val="21"/>
                      <w:szCs w:val="21"/>
                      <w:highlight w:val="none"/>
                      <w:u w:val="none"/>
                    </w:rPr>
                  </w:pPr>
                  <w:r>
                    <w:rPr>
                      <w:rStyle w:val="56"/>
                      <w:rFonts w:hint="default" w:ascii="Times New Roman" w:hAnsi="Times New Roman" w:eastAsia="仿宋" w:cs="Times New Roman"/>
                      <w:color w:val="auto"/>
                      <w:sz w:val="21"/>
                      <w:szCs w:val="21"/>
                      <w:highlight w:val="none"/>
                      <w:lang w:val="en-US" w:eastAsia="zh-CN" w:bidi="ar"/>
                    </w:rPr>
                    <w:t>数量</w:t>
                  </w:r>
                </w:p>
              </w:tc>
              <w:tc>
                <w:tcPr>
                  <w:tcW w:w="950" w:type="pct"/>
                  <w:tcBorders>
                    <w:tl2br w:val="nil"/>
                    <w:tr2bl w:val="nil"/>
                  </w:tcBorders>
                  <w:shd w:val="clear" w:color="auto" w:fill="auto"/>
                  <w:vAlign w:val="center"/>
                </w:tcPr>
                <w:p w14:paraId="389BBB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auto"/>
                      <w:sz w:val="21"/>
                      <w:szCs w:val="21"/>
                      <w:highlight w:val="none"/>
                      <w:u w:val="none"/>
                    </w:rPr>
                  </w:pPr>
                  <w:r>
                    <w:rPr>
                      <w:rStyle w:val="56"/>
                      <w:rFonts w:hint="default" w:ascii="Times New Roman" w:hAnsi="Times New Roman" w:eastAsia="仿宋" w:cs="Times New Roman"/>
                      <w:color w:val="auto"/>
                      <w:sz w:val="21"/>
                      <w:szCs w:val="21"/>
                      <w:highlight w:val="none"/>
                      <w:lang w:val="en-US" w:eastAsia="zh-CN" w:bidi="ar"/>
                    </w:rPr>
                    <w:t>备注</w:t>
                  </w:r>
                </w:p>
              </w:tc>
            </w:tr>
            <w:tr w14:paraId="7730ABE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63" w:type="pct"/>
                  <w:tcBorders>
                    <w:tl2br w:val="nil"/>
                    <w:tr2bl w:val="nil"/>
                  </w:tcBorders>
                  <w:shd w:val="clear" w:color="auto" w:fill="auto"/>
                  <w:vAlign w:val="center"/>
                </w:tcPr>
                <w:p w14:paraId="0914BAD8">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仿宋" w:cs="Times New Roman"/>
                      <w:i w:val="0"/>
                      <w:iCs w:val="0"/>
                      <w:color w:val="auto"/>
                      <w:sz w:val="21"/>
                      <w:szCs w:val="21"/>
                      <w:highlight w:val="none"/>
                      <w:u w:val="none"/>
                      <w:lang w:val="en-US" w:eastAsia="zh-CN"/>
                    </w:rPr>
                  </w:pPr>
                  <w:r>
                    <w:rPr>
                      <w:rFonts w:hint="default" w:ascii="Times New Roman" w:hAnsi="Times New Roman" w:eastAsia="仿宋" w:cs="Times New Roman"/>
                      <w:i w:val="0"/>
                      <w:iCs w:val="0"/>
                      <w:color w:val="auto"/>
                      <w:sz w:val="21"/>
                      <w:szCs w:val="21"/>
                      <w:highlight w:val="none"/>
                      <w:u w:val="none"/>
                      <w:lang w:val="en-US" w:eastAsia="zh-CN"/>
                    </w:rPr>
                    <w:t>1</w:t>
                  </w:r>
                </w:p>
              </w:tc>
              <w:tc>
                <w:tcPr>
                  <w:tcW w:w="1393" w:type="pct"/>
                  <w:tcBorders>
                    <w:tl2br w:val="nil"/>
                    <w:tr2bl w:val="nil"/>
                  </w:tcBorders>
                  <w:shd w:val="clear" w:color="auto" w:fill="auto"/>
                  <w:vAlign w:val="center"/>
                </w:tcPr>
                <w:p w14:paraId="3054B8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auto"/>
                      <w:sz w:val="21"/>
                      <w:szCs w:val="21"/>
                      <w:highlight w:val="none"/>
                      <w:u w:val="none"/>
                    </w:rPr>
                  </w:pPr>
                  <w:r>
                    <w:rPr>
                      <w:rStyle w:val="56"/>
                      <w:rFonts w:hint="default" w:ascii="Times New Roman" w:hAnsi="Times New Roman" w:eastAsia="仿宋" w:cs="Times New Roman"/>
                      <w:color w:val="auto"/>
                      <w:sz w:val="21"/>
                      <w:szCs w:val="21"/>
                      <w:highlight w:val="none"/>
                      <w:lang w:val="en-US" w:eastAsia="zh-CN" w:bidi="ar"/>
                    </w:rPr>
                    <w:t>设计利用资源储量</w:t>
                  </w:r>
                </w:p>
              </w:tc>
              <w:tc>
                <w:tcPr>
                  <w:tcW w:w="730" w:type="pct"/>
                  <w:tcBorders>
                    <w:tl2br w:val="nil"/>
                    <w:tr2bl w:val="nil"/>
                  </w:tcBorders>
                  <w:shd w:val="clear" w:color="auto" w:fill="auto"/>
                  <w:vAlign w:val="center"/>
                </w:tcPr>
                <w:p w14:paraId="2FF9B5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auto"/>
                      <w:sz w:val="21"/>
                      <w:szCs w:val="21"/>
                      <w:highlight w:val="none"/>
                      <w:u w:val="none"/>
                      <w:lang w:val="en-US"/>
                    </w:rPr>
                  </w:pPr>
                  <w:r>
                    <w:rPr>
                      <w:rStyle w:val="56"/>
                      <w:rFonts w:hint="default" w:ascii="Times New Roman" w:hAnsi="Times New Roman" w:eastAsia="仿宋" w:cs="Times New Roman"/>
                      <w:color w:val="auto"/>
                      <w:sz w:val="21"/>
                      <w:szCs w:val="21"/>
                      <w:highlight w:val="none"/>
                      <w:lang w:val="en-US" w:eastAsia="zh-CN" w:bidi="ar"/>
                    </w:rPr>
                    <w:t>万t</w:t>
                  </w:r>
                </w:p>
              </w:tc>
              <w:tc>
                <w:tcPr>
                  <w:tcW w:w="1461" w:type="pct"/>
                  <w:tcBorders>
                    <w:tl2br w:val="nil"/>
                    <w:tr2bl w:val="nil"/>
                  </w:tcBorders>
                  <w:shd w:val="clear" w:color="auto" w:fill="auto"/>
                  <w:vAlign w:val="center"/>
                </w:tcPr>
                <w:p w14:paraId="06EEF7D5">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仿宋" w:cs="Times New Roman"/>
                      <w:i w:val="0"/>
                      <w:iCs w:val="0"/>
                      <w:color w:val="auto"/>
                      <w:sz w:val="21"/>
                      <w:szCs w:val="21"/>
                      <w:highlight w:val="none"/>
                      <w:u w:val="none"/>
                      <w:lang w:val="en-US"/>
                    </w:rPr>
                  </w:pPr>
                  <w:r>
                    <w:rPr>
                      <w:rFonts w:hint="default" w:ascii="Times New Roman" w:hAnsi="Times New Roman" w:eastAsia="仿宋" w:cs="Times New Roman"/>
                      <w:i w:val="0"/>
                      <w:iCs w:val="0"/>
                      <w:color w:val="auto"/>
                      <w:kern w:val="0"/>
                      <w:sz w:val="21"/>
                      <w:szCs w:val="21"/>
                      <w:highlight w:val="none"/>
                      <w:u w:val="none"/>
                      <w:lang w:val="en-US" w:eastAsia="zh-CN" w:bidi="ar"/>
                    </w:rPr>
                    <w:t>115.41</w:t>
                  </w:r>
                </w:p>
              </w:tc>
              <w:tc>
                <w:tcPr>
                  <w:tcW w:w="950" w:type="pct"/>
                  <w:tcBorders>
                    <w:tl2br w:val="nil"/>
                    <w:tr2bl w:val="nil"/>
                  </w:tcBorders>
                  <w:shd w:val="clear" w:color="auto" w:fill="auto"/>
                  <w:vAlign w:val="center"/>
                </w:tcPr>
                <w:p w14:paraId="1419DA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auto"/>
                      <w:sz w:val="21"/>
                      <w:szCs w:val="21"/>
                      <w:highlight w:val="none"/>
                      <w:u w:val="none"/>
                    </w:rPr>
                  </w:pPr>
                  <w:r>
                    <w:rPr>
                      <w:rStyle w:val="56"/>
                      <w:rFonts w:hint="default" w:ascii="Times New Roman" w:hAnsi="Times New Roman" w:eastAsia="仿宋" w:cs="Times New Roman"/>
                      <w:color w:val="auto"/>
                      <w:sz w:val="21"/>
                      <w:szCs w:val="21"/>
                      <w:highlight w:val="none"/>
                      <w:lang w:val="en-US" w:eastAsia="zh-CN" w:bidi="ar"/>
                    </w:rPr>
                    <w:t>/</w:t>
                  </w:r>
                </w:p>
              </w:tc>
            </w:tr>
            <w:tr w14:paraId="12138E1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63" w:type="pct"/>
                  <w:tcBorders>
                    <w:tl2br w:val="nil"/>
                    <w:tr2bl w:val="nil"/>
                  </w:tcBorders>
                  <w:shd w:val="clear" w:color="auto" w:fill="auto"/>
                  <w:vAlign w:val="center"/>
                </w:tcPr>
                <w:p w14:paraId="20C41B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Style w:val="56"/>
                      <w:rFonts w:hint="default" w:ascii="Times New Roman" w:hAnsi="Times New Roman" w:eastAsia="仿宋" w:cs="Times New Roman"/>
                      <w:color w:val="auto"/>
                      <w:sz w:val="21"/>
                      <w:szCs w:val="21"/>
                      <w:highlight w:val="none"/>
                      <w:lang w:val="en-US" w:eastAsia="zh-CN" w:bidi="ar"/>
                    </w:rPr>
                  </w:pPr>
                  <w:r>
                    <w:rPr>
                      <w:rStyle w:val="56"/>
                      <w:rFonts w:hint="default" w:ascii="Times New Roman" w:hAnsi="Times New Roman" w:eastAsia="仿宋" w:cs="Times New Roman"/>
                      <w:color w:val="auto"/>
                      <w:sz w:val="21"/>
                      <w:szCs w:val="21"/>
                      <w:highlight w:val="none"/>
                      <w:lang w:val="en-US" w:eastAsia="zh-CN" w:bidi="ar"/>
                    </w:rPr>
                    <w:t>2</w:t>
                  </w:r>
                </w:p>
              </w:tc>
              <w:tc>
                <w:tcPr>
                  <w:tcW w:w="1393" w:type="pct"/>
                  <w:tcBorders>
                    <w:tl2br w:val="nil"/>
                    <w:tr2bl w:val="nil"/>
                  </w:tcBorders>
                  <w:shd w:val="clear" w:color="auto" w:fill="auto"/>
                  <w:vAlign w:val="center"/>
                </w:tcPr>
                <w:p w14:paraId="2385FD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Style w:val="56"/>
                      <w:rFonts w:hint="default" w:ascii="Times New Roman" w:hAnsi="Times New Roman" w:eastAsia="仿宋" w:cs="Times New Roman"/>
                      <w:color w:val="auto"/>
                      <w:sz w:val="21"/>
                      <w:szCs w:val="21"/>
                      <w:highlight w:val="none"/>
                      <w:lang w:val="en-US" w:eastAsia="zh-CN" w:bidi="ar"/>
                    </w:rPr>
                  </w:pPr>
                  <w:r>
                    <w:rPr>
                      <w:rStyle w:val="56"/>
                      <w:rFonts w:hint="default" w:ascii="Times New Roman" w:hAnsi="Times New Roman" w:eastAsia="仿宋" w:cs="Times New Roman"/>
                      <w:color w:val="auto"/>
                      <w:sz w:val="21"/>
                      <w:szCs w:val="21"/>
                      <w:highlight w:val="none"/>
                      <w:lang w:val="en-US" w:eastAsia="zh-CN" w:bidi="ar"/>
                    </w:rPr>
                    <w:t>开采矿种</w:t>
                  </w:r>
                </w:p>
              </w:tc>
              <w:tc>
                <w:tcPr>
                  <w:tcW w:w="2191" w:type="pct"/>
                  <w:gridSpan w:val="2"/>
                  <w:tcBorders>
                    <w:tl2br w:val="nil"/>
                    <w:tr2bl w:val="nil"/>
                  </w:tcBorders>
                  <w:shd w:val="clear" w:color="auto" w:fill="auto"/>
                  <w:vAlign w:val="center"/>
                </w:tcPr>
                <w:p w14:paraId="2F28D2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Style w:val="56"/>
                      <w:rFonts w:hint="default" w:ascii="Times New Roman" w:hAnsi="Times New Roman" w:eastAsia="仿宋" w:cs="Times New Roman"/>
                      <w:color w:val="auto"/>
                      <w:sz w:val="21"/>
                      <w:szCs w:val="21"/>
                      <w:highlight w:val="none"/>
                      <w:lang w:val="en-US" w:eastAsia="zh-CN" w:bidi="ar"/>
                    </w:rPr>
                  </w:pPr>
                  <w:r>
                    <w:rPr>
                      <w:rStyle w:val="56"/>
                      <w:rFonts w:hint="default" w:ascii="Times New Roman" w:hAnsi="Times New Roman" w:eastAsia="仿宋" w:cs="Times New Roman"/>
                      <w:color w:val="auto"/>
                      <w:sz w:val="21"/>
                      <w:szCs w:val="21"/>
                      <w:highlight w:val="none"/>
                      <w:lang w:val="en-US" w:eastAsia="zh-CN" w:bidi="ar"/>
                    </w:rPr>
                    <w:t>冶金用石英岩矿</w:t>
                  </w:r>
                </w:p>
              </w:tc>
              <w:tc>
                <w:tcPr>
                  <w:tcW w:w="950" w:type="pct"/>
                  <w:tcBorders>
                    <w:tl2br w:val="nil"/>
                    <w:tr2bl w:val="nil"/>
                  </w:tcBorders>
                  <w:shd w:val="clear" w:color="auto" w:fill="auto"/>
                  <w:vAlign w:val="center"/>
                </w:tcPr>
                <w:p w14:paraId="006A03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Style w:val="56"/>
                      <w:rFonts w:hint="default" w:ascii="Times New Roman" w:hAnsi="Times New Roman" w:eastAsia="仿宋" w:cs="Times New Roman"/>
                      <w:color w:val="auto"/>
                      <w:sz w:val="21"/>
                      <w:szCs w:val="21"/>
                      <w:highlight w:val="none"/>
                      <w:lang w:val="en-US" w:eastAsia="zh-CN" w:bidi="ar"/>
                    </w:rPr>
                  </w:pPr>
                  <w:r>
                    <w:rPr>
                      <w:rStyle w:val="56"/>
                      <w:rFonts w:hint="default" w:ascii="Times New Roman" w:hAnsi="Times New Roman" w:eastAsia="仿宋" w:cs="Times New Roman"/>
                      <w:color w:val="auto"/>
                      <w:sz w:val="21"/>
                      <w:szCs w:val="21"/>
                      <w:highlight w:val="none"/>
                      <w:lang w:val="en-US" w:eastAsia="zh-CN" w:bidi="ar"/>
                    </w:rPr>
                    <w:t>/</w:t>
                  </w:r>
                </w:p>
              </w:tc>
            </w:tr>
            <w:tr w14:paraId="122C0DB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0" w:hRule="atLeast"/>
                <w:jc w:val="center"/>
              </w:trPr>
              <w:tc>
                <w:tcPr>
                  <w:tcW w:w="463" w:type="pct"/>
                  <w:tcBorders>
                    <w:tl2br w:val="nil"/>
                    <w:tr2bl w:val="nil"/>
                  </w:tcBorders>
                  <w:shd w:val="clear" w:color="auto" w:fill="auto"/>
                  <w:vAlign w:val="center"/>
                </w:tcPr>
                <w:p w14:paraId="5C54B062">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仿宋" w:cs="Times New Roman"/>
                      <w:i w:val="0"/>
                      <w:iCs w:val="0"/>
                      <w:color w:val="auto"/>
                      <w:sz w:val="21"/>
                      <w:szCs w:val="21"/>
                      <w:highlight w:val="none"/>
                      <w:u w:val="none"/>
                      <w:lang w:val="en-US" w:eastAsia="zh-CN"/>
                    </w:rPr>
                  </w:pPr>
                  <w:r>
                    <w:rPr>
                      <w:rFonts w:hint="default" w:ascii="Times New Roman" w:hAnsi="Times New Roman" w:eastAsia="仿宋" w:cs="Times New Roman"/>
                      <w:i w:val="0"/>
                      <w:iCs w:val="0"/>
                      <w:color w:val="auto"/>
                      <w:sz w:val="21"/>
                      <w:szCs w:val="21"/>
                      <w:highlight w:val="none"/>
                      <w:u w:val="none"/>
                      <w:lang w:val="en-US" w:eastAsia="zh-CN"/>
                    </w:rPr>
                    <w:t>3</w:t>
                  </w:r>
                </w:p>
              </w:tc>
              <w:tc>
                <w:tcPr>
                  <w:tcW w:w="1393" w:type="pct"/>
                  <w:tcBorders>
                    <w:tl2br w:val="nil"/>
                    <w:tr2bl w:val="nil"/>
                  </w:tcBorders>
                  <w:shd w:val="clear" w:color="auto" w:fill="auto"/>
                  <w:vAlign w:val="center"/>
                </w:tcPr>
                <w:p w14:paraId="291DF8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auto"/>
                      <w:sz w:val="21"/>
                      <w:szCs w:val="21"/>
                      <w:highlight w:val="none"/>
                      <w:u w:val="none"/>
                    </w:rPr>
                  </w:pPr>
                  <w:r>
                    <w:rPr>
                      <w:rStyle w:val="56"/>
                      <w:rFonts w:hint="default" w:ascii="Times New Roman" w:hAnsi="Times New Roman" w:eastAsia="仿宋" w:cs="Times New Roman"/>
                      <w:color w:val="auto"/>
                      <w:sz w:val="21"/>
                      <w:szCs w:val="21"/>
                      <w:highlight w:val="none"/>
                      <w:lang w:val="en-US" w:eastAsia="zh-CN" w:bidi="ar"/>
                    </w:rPr>
                    <w:t>开采方式</w:t>
                  </w:r>
                </w:p>
              </w:tc>
              <w:tc>
                <w:tcPr>
                  <w:tcW w:w="2191" w:type="pct"/>
                  <w:gridSpan w:val="2"/>
                  <w:tcBorders>
                    <w:tl2br w:val="nil"/>
                    <w:tr2bl w:val="nil"/>
                  </w:tcBorders>
                  <w:shd w:val="clear" w:color="auto" w:fill="auto"/>
                  <w:vAlign w:val="center"/>
                </w:tcPr>
                <w:p w14:paraId="76C6550F">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仿宋" w:cs="Times New Roman"/>
                      <w:i w:val="0"/>
                      <w:iCs w:val="0"/>
                      <w:color w:val="auto"/>
                      <w:sz w:val="21"/>
                      <w:szCs w:val="21"/>
                      <w:highlight w:val="none"/>
                      <w:u w:val="none"/>
                      <w:lang w:val="en-US" w:eastAsia="zh-CN"/>
                    </w:rPr>
                  </w:pPr>
                  <w:r>
                    <w:rPr>
                      <w:rFonts w:hint="default" w:ascii="Times New Roman" w:hAnsi="Times New Roman" w:eastAsia="仿宋" w:cs="Times New Roman"/>
                      <w:i w:val="0"/>
                      <w:iCs w:val="0"/>
                      <w:color w:val="auto"/>
                      <w:sz w:val="21"/>
                      <w:szCs w:val="21"/>
                      <w:highlight w:val="none"/>
                      <w:u w:val="none"/>
                      <w:lang w:val="en-US" w:eastAsia="zh-CN"/>
                    </w:rPr>
                    <w:t>露天开采</w:t>
                  </w:r>
                </w:p>
              </w:tc>
              <w:tc>
                <w:tcPr>
                  <w:tcW w:w="950" w:type="pct"/>
                  <w:tcBorders>
                    <w:tl2br w:val="nil"/>
                    <w:tr2bl w:val="nil"/>
                  </w:tcBorders>
                  <w:shd w:val="clear" w:color="auto" w:fill="auto"/>
                  <w:vAlign w:val="center"/>
                </w:tcPr>
                <w:p w14:paraId="37A6A14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sz w:val="21"/>
                      <w:szCs w:val="21"/>
                      <w:highlight w:val="none"/>
                      <w:u w:val="none"/>
                      <w:lang w:val="en-US" w:eastAsia="zh-CN"/>
                    </w:rPr>
                    <w:t>/</w:t>
                  </w:r>
                </w:p>
              </w:tc>
            </w:tr>
            <w:tr w14:paraId="5500ED6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63" w:type="pct"/>
                  <w:tcBorders>
                    <w:tl2br w:val="nil"/>
                    <w:tr2bl w:val="nil"/>
                  </w:tcBorders>
                  <w:shd w:val="clear" w:color="auto" w:fill="auto"/>
                  <w:vAlign w:val="center"/>
                </w:tcPr>
                <w:p w14:paraId="7ADA08A0">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仿宋" w:cs="Times New Roman"/>
                      <w:i w:val="0"/>
                      <w:iCs w:val="0"/>
                      <w:color w:val="auto"/>
                      <w:sz w:val="21"/>
                      <w:szCs w:val="21"/>
                      <w:highlight w:val="none"/>
                      <w:u w:val="none"/>
                      <w:lang w:val="en-US" w:eastAsia="zh-CN"/>
                    </w:rPr>
                  </w:pPr>
                  <w:r>
                    <w:rPr>
                      <w:rFonts w:hint="default" w:ascii="Times New Roman" w:hAnsi="Times New Roman" w:eastAsia="仿宋" w:cs="Times New Roman"/>
                      <w:i w:val="0"/>
                      <w:iCs w:val="0"/>
                      <w:color w:val="auto"/>
                      <w:sz w:val="21"/>
                      <w:szCs w:val="21"/>
                      <w:highlight w:val="none"/>
                      <w:u w:val="none"/>
                      <w:lang w:val="en-US" w:eastAsia="zh-CN"/>
                    </w:rPr>
                    <w:t>4</w:t>
                  </w:r>
                </w:p>
              </w:tc>
              <w:tc>
                <w:tcPr>
                  <w:tcW w:w="1393" w:type="pct"/>
                  <w:tcBorders>
                    <w:tl2br w:val="nil"/>
                    <w:tr2bl w:val="nil"/>
                  </w:tcBorders>
                  <w:shd w:val="clear" w:color="auto" w:fill="auto"/>
                  <w:vAlign w:val="center"/>
                </w:tcPr>
                <w:p w14:paraId="60FD77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Style w:val="56"/>
                      <w:rFonts w:hint="default" w:ascii="Times New Roman" w:hAnsi="Times New Roman" w:eastAsia="仿宋" w:cs="Times New Roman"/>
                      <w:color w:val="auto"/>
                      <w:sz w:val="21"/>
                      <w:szCs w:val="21"/>
                      <w:highlight w:val="none"/>
                      <w:lang w:val="en-US" w:eastAsia="zh-CN" w:bidi="ar"/>
                    </w:rPr>
                  </w:pPr>
                  <w:r>
                    <w:rPr>
                      <w:rStyle w:val="56"/>
                      <w:rFonts w:hint="default" w:ascii="Times New Roman" w:hAnsi="Times New Roman" w:eastAsia="仿宋" w:cs="Times New Roman"/>
                      <w:color w:val="auto"/>
                      <w:sz w:val="21"/>
                      <w:szCs w:val="21"/>
                      <w:highlight w:val="none"/>
                      <w:lang w:val="en-US" w:eastAsia="zh-CN" w:bidi="ar"/>
                    </w:rPr>
                    <w:t>开采顺序</w:t>
                  </w:r>
                </w:p>
              </w:tc>
              <w:tc>
                <w:tcPr>
                  <w:tcW w:w="2191" w:type="pct"/>
                  <w:gridSpan w:val="2"/>
                  <w:tcBorders>
                    <w:tl2br w:val="nil"/>
                    <w:tr2bl w:val="nil"/>
                  </w:tcBorders>
                  <w:shd w:val="clear" w:color="auto" w:fill="auto"/>
                  <w:vAlign w:val="center"/>
                </w:tcPr>
                <w:p w14:paraId="5932E57D">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仿宋" w:cs="Times New Roman"/>
                      <w:i w:val="0"/>
                      <w:iCs w:val="0"/>
                      <w:color w:val="auto"/>
                      <w:sz w:val="21"/>
                      <w:szCs w:val="21"/>
                      <w:highlight w:val="none"/>
                      <w:u w:val="none"/>
                      <w:lang w:val="en-US" w:eastAsia="zh-CN"/>
                    </w:rPr>
                  </w:pPr>
                  <w:r>
                    <w:rPr>
                      <w:rFonts w:hint="default" w:ascii="Times New Roman" w:hAnsi="Times New Roman" w:eastAsia="仿宋" w:cs="Times New Roman"/>
                      <w:i w:val="0"/>
                      <w:iCs w:val="0"/>
                      <w:color w:val="auto"/>
                      <w:sz w:val="21"/>
                      <w:szCs w:val="21"/>
                      <w:highlight w:val="none"/>
                      <w:u w:val="none"/>
                      <w:lang w:val="en-US" w:eastAsia="zh-CN"/>
                    </w:rPr>
                    <w:t>自上而下分台阶开采</w:t>
                  </w:r>
                </w:p>
              </w:tc>
              <w:tc>
                <w:tcPr>
                  <w:tcW w:w="950" w:type="pct"/>
                  <w:tcBorders>
                    <w:tl2br w:val="nil"/>
                    <w:tr2bl w:val="nil"/>
                  </w:tcBorders>
                  <w:shd w:val="clear" w:color="auto" w:fill="auto"/>
                  <w:vAlign w:val="center"/>
                </w:tcPr>
                <w:p w14:paraId="736B485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auto"/>
                      <w:sz w:val="21"/>
                      <w:szCs w:val="21"/>
                      <w:highlight w:val="none"/>
                      <w:u w:val="none"/>
                      <w:lang w:val="en-US" w:eastAsia="zh-CN"/>
                    </w:rPr>
                  </w:pPr>
                </w:p>
              </w:tc>
            </w:tr>
            <w:tr w14:paraId="593DA78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63" w:type="pct"/>
                  <w:tcBorders>
                    <w:tl2br w:val="nil"/>
                    <w:tr2bl w:val="nil"/>
                  </w:tcBorders>
                  <w:shd w:val="clear" w:color="auto" w:fill="auto"/>
                  <w:vAlign w:val="center"/>
                </w:tcPr>
                <w:p w14:paraId="1876A472">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仿宋" w:cs="Times New Roman"/>
                      <w:i w:val="0"/>
                      <w:iCs w:val="0"/>
                      <w:color w:val="auto"/>
                      <w:sz w:val="21"/>
                      <w:szCs w:val="21"/>
                      <w:highlight w:val="none"/>
                      <w:u w:val="none"/>
                      <w:lang w:val="en-US" w:eastAsia="zh-CN"/>
                    </w:rPr>
                  </w:pPr>
                  <w:r>
                    <w:rPr>
                      <w:rFonts w:hint="default" w:ascii="Times New Roman" w:hAnsi="Times New Roman" w:eastAsia="仿宋" w:cs="Times New Roman"/>
                      <w:i w:val="0"/>
                      <w:iCs w:val="0"/>
                      <w:color w:val="auto"/>
                      <w:sz w:val="21"/>
                      <w:szCs w:val="21"/>
                      <w:highlight w:val="none"/>
                      <w:u w:val="none"/>
                      <w:lang w:val="en-US" w:eastAsia="zh-CN"/>
                    </w:rPr>
                    <w:t>5</w:t>
                  </w:r>
                </w:p>
              </w:tc>
              <w:tc>
                <w:tcPr>
                  <w:tcW w:w="1393" w:type="pct"/>
                  <w:tcBorders>
                    <w:tl2br w:val="nil"/>
                    <w:tr2bl w:val="nil"/>
                  </w:tcBorders>
                  <w:shd w:val="clear" w:color="auto" w:fill="auto"/>
                  <w:vAlign w:val="center"/>
                </w:tcPr>
                <w:p w14:paraId="2586B0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auto"/>
                      <w:sz w:val="21"/>
                      <w:szCs w:val="21"/>
                      <w:highlight w:val="none"/>
                      <w:u w:val="none"/>
                    </w:rPr>
                  </w:pPr>
                  <w:r>
                    <w:rPr>
                      <w:rStyle w:val="56"/>
                      <w:rFonts w:hint="default" w:ascii="Times New Roman" w:hAnsi="Times New Roman" w:eastAsia="仿宋" w:cs="Times New Roman"/>
                      <w:color w:val="auto"/>
                      <w:sz w:val="21"/>
                      <w:szCs w:val="21"/>
                      <w:highlight w:val="none"/>
                      <w:lang w:val="en-US" w:eastAsia="zh-CN" w:bidi="ar"/>
                    </w:rPr>
                    <w:t>开采规模</w:t>
                  </w:r>
                </w:p>
              </w:tc>
              <w:tc>
                <w:tcPr>
                  <w:tcW w:w="730" w:type="pct"/>
                  <w:tcBorders>
                    <w:tl2br w:val="nil"/>
                    <w:tr2bl w:val="nil"/>
                  </w:tcBorders>
                  <w:shd w:val="clear" w:color="auto" w:fill="auto"/>
                  <w:vAlign w:val="center"/>
                </w:tcPr>
                <w:p w14:paraId="383A88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auto"/>
                      <w:sz w:val="21"/>
                      <w:szCs w:val="21"/>
                      <w:highlight w:val="none"/>
                      <w:u w:val="none"/>
                      <w:lang w:val="en-US"/>
                    </w:rPr>
                  </w:pPr>
                  <w:r>
                    <w:rPr>
                      <w:rStyle w:val="56"/>
                      <w:rFonts w:hint="default" w:ascii="Times New Roman" w:hAnsi="Times New Roman" w:eastAsia="仿宋" w:cs="Times New Roman"/>
                      <w:color w:val="auto"/>
                      <w:sz w:val="21"/>
                      <w:szCs w:val="21"/>
                      <w:highlight w:val="none"/>
                      <w:lang w:val="en-US" w:eastAsia="zh-CN" w:bidi="ar"/>
                    </w:rPr>
                    <w:t>万t</w:t>
                  </w:r>
                  <w:r>
                    <w:rPr>
                      <w:rStyle w:val="56"/>
                      <w:rFonts w:hint="default" w:ascii="Times New Roman" w:hAnsi="Times New Roman" w:eastAsia="仿宋" w:cs="Times New Roman"/>
                      <w:color w:val="auto"/>
                      <w:sz w:val="21"/>
                      <w:szCs w:val="21"/>
                      <w:highlight w:val="none"/>
                      <w:vertAlign w:val="baseline"/>
                      <w:lang w:val="en-US" w:eastAsia="zh-CN" w:bidi="ar"/>
                    </w:rPr>
                    <w:t>/a</w:t>
                  </w:r>
                </w:p>
              </w:tc>
              <w:tc>
                <w:tcPr>
                  <w:tcW w:w="1461" w:type="pct"/>
                  <w:tcBorders>
                    <w:tl2br w:val="nil"/>
                    <w:tr2bl w:val="nil"/>
                  </w:tcBorders>
                  <w:shd w:val="clear" w:color="auto" w:fill="auto"/>
                  <w:vAlign w:val="center"/>
                </w:tcPr>
                <w:p w14:paraId="3D57E4E1">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仿宋" w:cs="Times New Roman"/>
                      <w:i w:val="0"/>
                      <w:iCs w:val="0"/>
                      <w:color w:val="auto"/>
                      <w:sz w:val="21"/>
                      <w:szCs w:val="21"/>
                      <w:highlight w:val="none"/>
                      <w:u w:val="none"/>
                      <w:lang w:val="en-US" w:eastAsia="zh-CN"/>
                    </w:rPr>
                  </w:pPr>
                  <w:r>
                    <w:rPr>
                      <w:rFonts w:hint="default" w:ascii="Times New Roman" w:hAnsi="Times New Roman" w:eastAsia="仿宋" w:cs="Times New Roman"/>
                      <w:i w:val="0"/>
                      <w:iCs w:val="0"/>
                      <w:color w:val="auto"/>
                      <w:sz w:val="21"/>
                      <w:szCs w:val="21"/>
                      <w:highlight w:val="none"/>
                      <w:u w:val="none"/>
                      <w:lang w:val="en-US" w:eastAsia="zh-CN"/>
                    </w:rPr>
                    <w:t>10</w:t>
                  </w:r>
                </w:p>
              </w:tc>
              <w:tc>
                <w:tcPr>
                  <w:tcW w:w="950" w:type="pct"/>
                  <w:tcBorders>
                    <w:tl2br w:val="nil"/>
                    <w:tr2bl w:val="nil"/>
                  </w:tcBorders>
                  <w:shd w:val="clear" w:color="auto" w:fill="auto"/>
                  <w:vAlign w:val="center"/>
                </w:tcPr>
                <w:p w14:paraId="7ABEFD2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sz w:val="21"/>
                      <w:szCs w:val="21"/>
                      <w:highlight w:val="none"/>
                      <w:u w:val="none"/>
                      <w:lang w:val="en-US" w:eastAsia="zh-CN"/>
                    </w:rPr>
                    <w:t>/</w:t>
                  </w:r>
                </w:p>
              </w:tc>
            </w:tr>
            <w:tr w14:paraId="757D7EB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63" w:type="pct"/>
                  <w:tcBorders>
                    <w:tl2br w:val="nil"/>
                    <w:tr2bl w:val="nil"/>
                  </w:tcBorders>
                  <w:shd w:val="clear" w:color="auto" w:fill="auto"/>
                  <w:vAlign w:val="center"/>
                </w:tcPr>
                <w:p w14:paraId="28B10A51">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仿宋" w:cs="Times New Roman"/>
                      <w:i w:val="0"/>
                      <w:iCs w:val="0"/>
                      <w:color w:val="auto"/>
                      <w:sz w:val="21"/>
                      <w:szCs w:val="21"/>
                      <w:highlight w:val="none"/>
                      <w:u w:val="none"/>
                      <w:lang w:val="en-US" w:eastAsia="zh-CN"/>
                    </w:rPr>
                  </w:pPr>
                  <w:r>
                    <w:rPr>
                      <w:rFonts w:hint="default" w:ascii="Times New Roman" w:hAnsi="Times New Roman" w:eastAsia="仿宋" w:cs="Times New Roman"/>
                      <w:i w:val="0"/>
                      <w:iCs w:val="0"/>
                      <w:color w:val="auto"/>
                      <w:sz w:val="21"/>
                      <w:szCs w:val="21"/>
                      <w:highlight w:val="none"/>
                      <w:u w:val="none"/>
                      <w:lang w:val="en-US" w:eastAsia="zh-CN"/>
                    </w:rPr>
                    <w:t>6</w:t>
                  </w:r>
                </w:p>
              </w:tc>
              <w:tc>
                <w:tcPr>
                  <w:tcW w:w="1393" w:type="pct"/>
                  <w:tcBorders>
                    <w:tl2br w:val="nil"/>
                    <w:tr2bl w:val="nil"/>
                  </w:tcBorders>
                  <w:shd w:val="clear" w:color="auto" w:fill="auto"/>
                  <w:vAlign w:val="center"/>
                </w:tcPr>
                <w:p w14:paraId="07CA70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auto"/>
                      <w:sz w:val="21"/>
                      <w:szCs w:val="21"/>
                      <w:highlight w:val="none"/>
                      <w:u w:val="none"/>
                    </w:rPr>
                  </w:pPr>
                  <w:r>
                    <w:rPr>
                      <w:rStyle w:val="56"/>
                      <w:rFonts w:hint="default" w:ascii="Times New Roman" w:hAnsi="Times New Roman" w:eastAsia="仿宋" w:cs="Times New Roman"/>
                      <w:color w:val="auto"/>
                      <w:sz w:val="21"/>
                      <w:szCs w:val="21"/>
                      <w:highlight w:val="none"/>
                      <w:lang w:val="en-US" w:eastAsia="zh-CN" w:bidi="ar"/>
                    </w:rPr>
                    <w:t>开拓方式</w:t>
                  </w:r>
                </w:p>
              </w:tc>
              <w:tc>
                <w:tcPr>
                  <w:tcW w:w="2191" w:type="pct"/>
                  <w:gridSpan w:val="2"/>
                  <w:tcBorders>
                    <w:tl2br w:val="nil"/>
                    <w:tr2bl w:val="nil"/>
                  </w:tcBorders>
                  <w:shd w:val="clear" w:color="auto" w:fill="auto"/>
                  <w:vAlign w:val="center"/>
                </w:tcPr>
                <w:p w14:paraId="7A25B5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auto"/>
                      <w:sz w:val="21"/>
                      <w:szCs w:val="21"/>
                      <w:highlight w:val="none"/>
                      <w:u w:val="none"/>
                    </w:rPr>
                  </w:pPr>
                  <w:r>
                    <w:rPr>
                      <w:rStyle w:val="56"/>
                      <w:rFonts w:hint="default" w:ascii="Times New Roman" w:hAnsi="Times New Roman" w:eastAsia="仿宋" w:cs="Times New Roman"/>
                      <w:color w:val="auto"/>
                      <w:sz w:val="21"/>
                      <w:szCs w:val="21"/>
                      <w:highlight w:val="none"/>
                      <w:lang w:val="en-US" w:eastAsia="zh-CN" w:bidi="ar"/>
                    </w:rPr>
                    <w:t>公路开拓</w:t>
                  </w:r>
                </w:p>
              </w:tc>
              <w:tc>
                <w:tcPr>
                  <w:tcW w:w="950" w:type="pct"/>
                  <w:tcBorders>
                    <w:tl2br w:val="nil"/>
                    <w:tr2bl w:val="nil"/>
                  </w:tcBorders>
                  <w:shd w:val="clear" w:color="auto" w:fill="auto"/>
                  <w:vAlign w:val="center"/>
                </w:tcPr>
                <w:p w14:paraId="63207BC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sz w:val="21"/>
                      <w:szCs w:val="21"/>
                      <w:highlight w:val="none"/>
                      <w:u w:val="none"/>
                      <w:lang w:val="en-US" w:eastAsia="zh-CN"/>
                    </w:rPr>
                    <w:t>/</w:t>
                  </w:r>
                </w:p>
              </w:tc>
            </w:tr>
            <w:tr w14:paraId="7B83A2C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63" w:type="pct"/>
                  <w:tcBorders>
                    <w:tl2br w:val="nil"/>
                    <w:tr2bl w:val="nil"/>
                  </w:tcBorders>
                  <w:shd w:val="clear" w:color="auto" w:fill="auto"/>
                  <w:vAlign w:val="center"/>
                </w:tcPr>
                <w:p w14:paraId="5135FC73">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仿宋" w:cs="Times New Roman"/>
                      <w:i w:val="0"/>
                      <w:iCs w:val="0"/>
                      <w:color w:val="auto"/>
                      <w:sz w:val="21"/>
                      <w:szCs w:val="21"/>
                      <w:highlight w:val="none"/>
                      <w:u w:val="none"/>
                      <w:lang w:val="en-US" w:eastAsia="zh-CN"/>
                    </w:rPr>
                  </w:pPr>
                  <w:r>
                    <w:rPr>
                      <w:rFonts w:hint="default" w:ascii="Times New Roman" w:hAnsi="Times New Roman" w:eastAsia="仿宋" w:cs="Times New Roman"/>
                      <w:i w:val="0"/>
                      <w:iCs w:val="0"/>
                      <w:color w:val="auto"/>
                      <w:sz w:val="21"/>
                      <w:szCs w:val="21"/>
                      <w:highlight w:val="none"/>
                      <w:u w:val="none"/>
                      <w:lang w:val="en-US" w:eastAsia="zh-CN"/>
                    </w:rPr>
                    <w:t>7</w:t>
                  </w:r>
                </w:p>
              </w:tc>
              <w:tc>
                <w:tcPr>
                  <w:tcW w:w="1393" w:type="pct"/>
                  <w:tcBorders>
                    <w:tl2br w:val="nil"/>
                    <w:tr2bl w:val="nil"/>
                  </w:tcBorders>
                  <w:shd w:val="clear" w:color="auto" w:fill="auto"/>
                  <w:vAlign w:val="center"/>
                </w:tcPr>
                <w:p w14:paraId="264158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auto"/>
                      <w:sz w:val="21"/>
                      <w:szCs w:val="21"/>
                      <w:highlight w:val="none"/>
                      <w:u w:val="none"/>
                    </w:rPr>
                  </w:pPr>
                  <w:r>
                    <w:rPr>
                      <w:rStyle w:val="56"/>
                      <w:rFonts w:hint="default" w:ascii="Times New Roman" w:hAnsi="Times New Roman" w:eastAsia="仿宋" w:cs="Times New Roman"/>
                      <w:color w:val="auto"/>
                      <w:sz w:val="21"/>
                      <w:szCs w:val="21"/>
                      <w:highlight w:val="none"/>
                      <w:lang w:val="en-US" w:eastAsia="zh-CN" w:bidi="ar"/>
                    </w:rPr>
                    <w:t>矿山服务年限</w:t>
                  </w:r>
                </w:p>
              </w:tc>
              <w:tc>
                <w:tcPr>
                  <w:tcW w:w="2191" w:type="pct"/>
                  <w:gridSpan w:val="2"/>
                  <w:tcBorders>
                    <w:tl2br w:val="nil"/>
                    <w:tr2bl w:val="nil"/>
                  </w:tcBorders>
                  <w:shd w:val="clear" w:color="auto" w:fill="auto"/>
                  <w:vAlign w:val="center"/>
                </w:tcPr>
                <w:p w14:paraId="0E6B5214">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仿宋" w:cs="Times New Roman"/>
                      <w:i w:val="0"/>
                      <w:iCs w:val="0"/>
                      <w:color w:val="auto"/>
                      <w:sz w:val="21"/>
                      <w:szCs w:val="21"/>
                      <w:highlight w:val="none"/>
                      <w:u w:val="none"/>
                      <w:lang w:val="en-US"/>
                    </w:rPr>
                  </w:pPr>
                  <w:r>
                    <w:rPr>
                      <w:rFonts w:hint="eastAsia" w:eastAsia="仿宋" w:cs="Times New Roman"/>
                      <w:i w:val="0"/>
                      <w:iCs w:val="0"/>
                      <w:color w:val="auto"/>
                      <w:sz w:val="21"/>
                      <w:szCs w:val="21"/>
                      <w:highlight w:val="none"/>
                      <w:u w:val="none"/>
                      <w:lang w:val="en-US" w:eastAsia="zh-CN"/>
                    </w:rPr>
                    <w:t>10.4</w:t>
                  </w:r>
                  <w:r>
                    <w:rPr>
                      <w:rFonts w:hint="default" w:ascii="Times New Roman" w:hAnsi="Times New Roman" w:eastAsia="仿宋" w:cs="Times New Roman"/>
                      <w:i w:val="0"/>
                      <w:iCs w:val="0"/>
                      <w:color w:val="auto"/>
                      <w:sz w:val="21"/>
                      <w:szCs w:val="21"/>
                      <w:highlight w:val="none"/>
                      <w:u w:val="none"/>
                      <w:lang w:val="en-US" w:eastAsia="zh-CN"/>
                    </w:rPr>
                    <w:t>a</w:t>
                  </w:r>
                  <w:r>
                    <w:rPr>
                      <w:rFonts w:hint="eastAsia" w:eastAsia="仿宋" w:cs="Times New Roman"/>
                      <w:i w:val="0"/>
                      <w:iCs w:val="0"/>
                      <w:color w:val="auto"/>
                      <w:sz w:val="21"/>
                      <w:szCs w:val="21"/>
                      <w:highlight w:val="none"/>
                      <w:u w:val="none"/>
                      <w:lang w:val="en-US" w:eastAsia="zh-CN"/>
                    </w:rPr>
                    <w:t>（不含基建期）</w:t>
                  </w:r>
                </w:p>
              </w:tc>
              <w:tc>
                <w:tcPr>
                  <w:tcW w:w="950" w:type="pct"/>
                  <w:tcBorders>
                    <w:tl2br w:val="nil"/>
                    <w:tr2bl w:val="nil"/>
                  </w:tcBorders>
                  <w:shd w:val="clear" w:color="auto" w:fill="auto"/>
                  <w:vAlign w:val="center"/>
                </w:tcPr>
                <w:p w14:paraId="07D5816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sz w:val="21"/>
                      <w:szCs w:val="21"/>
                      <w:highlight w:val="none"/>
                      <w:u w:val="none"/>
                      <w:lang w:val="en-US" w:eastAsia="zh-CN"/>
                    </w:rPr>
                    <w:t>/</w:t>
                  </w:r>
                </w:p>
              </w:tc>
            </w:tr>
            <w:tr w14:paraId="2E83EE4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63" w:type="pct"/>
                  <w:tcBorders>
                    <w:tl2br w:val="nil"/>
                    <w:tr2bl w:val="nil"/>
                  </w:tcBorders>
                  <w:shd w:val="clear" w:color="auto" w:fill="auto"/>
                  <w:vAlign w:val="center"/>
                </w:tcPr>
                <w:p w14:paraId="2783CCB9">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仿宋" w:cs="Times New Roman"/>
                      <w:i w:val="0"/>
                      <w:iCs w:val="0"/>
                      <w:color w:val="auto"/>
                      <w:sz w:val="21"/>
                      <w:szCs w:val="21"/>
                      <w:highlight w:val="none"/>
                      <w:u w:val="none"/>
                      <w:lang w:val="en-US" w:eastAsia="zh-CN"/>
                    </w:rPr>
                  </w:pPr>
                  <w:r>
                    <w:rPr>
                      <w:rFonts w:hint="default" w:ascii="Times New Roman" w:hAnsi="Times New Roman" w:eastAsia="仿宋" w:cs="Times New Roman"/>
                      <w:i w:val="0"/>
                      <w:iCs w:val="0"/>
                      <w:color w:val="auto"/>
                      <w:sz w:val="21"/>
                      <w:szCs w:val="21"/>
                      <w:highlight w:val="none"/>
                      <w:u w:val="none"/>
                      <w:lang w:val="en-US" w:eastAsia="zh-CN"/>
                    </w:rPr>
                    <w:t>8</w:t>
                  </w:r>
                </w:p>
              </w:tc>
              <w:tc>
                <w:tcPr>
                  <w:tcW w:w="1393" w:type="pct"/>
                  <w:tcBorders>
                    <w:tl2br w:val="nil"/>
                    <w:tr2bl w:val="nil"/>
                  </w:tcBorders>
                  <w:shd w:val="clear" w:color="auto" w:fill="auto"/>
                  <w:vAlign w:val="center"/>
                </w:tcPr>
                <w:p w14:paraId="103D9E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Style w:val="56"/>
                      <w:rFonts w:hint="default" w:ascii="Times New Roman" w:hAnsi="Times New Roman" w:eastAsia="仿宋" w:cs="Times New Roman"/>
                      <w:color w:val="auto"/>
                      <w:sz w:val="21"/>
                      <w:szCs w:val="21"/>
                      <w:highlight w:val="none"/>
                      <w:lang w:val="en-US" w:eastAsia="zh-CN" w:bidi="ar"/>
                    </w:rPr>
                  </w:pPr>
                  <w:r>
                    <w:rPr>
                      <w:rStyle w:val="56"/>
                      <w:rFonts w:hint="default" w:ascii="Times New Roman" w:hAnsi="Times New Roman" w:eastAsia="仿宋" w:cs="Times New Roman"/>
                      <w:color w:val="auto"/>
                      <w:sz w:val="21"/>
                      <w:szCs w:val="21"/>
                      <w:highlight w:val="none"/>
                      <w:lang w:val="en-US" w:eastAsia="zh-CN" w:bidi="ar"/>
                    </w:rPr>
                    <w:t>采深</w:t>
                  </w:r>
                </w:p>
              </w:tc>
              <w:tc>
                <w:tcPr>
                  <w:tcW w:w="2191" w:type="pct"/>
                  <w:gridSpan w:val="2"/>
                  <w:tcBorders>
                    <w:tl2br w:val="nil"/>
                    <w:tr2bl w:val="nil"/>
                  </w:tcBorders>
                  <w:shd w:val="clear" w:color="auto" w:fill="auto"/>
                  <w:vAlign w:val="center"/>
                </w:tcPr>
                <w:p w14:paraId="7E1BF6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Style w:val="56"/>
                      <w:rFonts w:hint="default" w:ascii="Times New Roman" w:hAnsi="Times New Roman" w:eastAsia="仿宋" w:cs="Times New Roman"/>
                      <w:color w:val="auto"/>
                      <w:sz w:val="21"/>
                      <w:szCs w:val="21"/>
                      <w:highlight w:val="none"/>
                      <w:lang w:val="en-US" w:eastAsia="zh-CN" w:bidi="ar"/>
                    </w:rPr>
                  </w:pPr>
                  <w:r>
                    <w:rPr>
                      <w:rStyle w:val="56"/>
                      <w:rFonts w:hint="default" w:ascii="Times New Roman" w:hAnsi="Times New Roman" w:eastAsia="仿宋" w:cs="Times New Roman"/>
                      <w:color w:val="auto"/>
                      <w:sz w:val="21"/>
                      <w:szCs w:val="21"/>
                      <w:highlight w:val="none"/>
                      <w:lang w:val="en-US" w:eastAsia="zh-CN" w:bidi="ar"/>
                    </w:rPr>
                    <w:t>1509m</w:t>
                  </w:r>
                  <w:r>
                    <w:rPr>
                      <w:rStyle w:val="56"/>
                      <w:rFonts w:hint="default" w:ascii="Times New Roman" w:hAnsi="Times New Roman" w:eastAsia="仿宋" w:cs="Times New Roman"/>
                      <w:color w:val="auto"/>
                      <w:sz w:val="21"/>
                      <w:szCs w:val="21"/>
                      <w:highlight w:val="none"/>
                      <w:vertAlign w:val="baseline"/>
                      <w:lang w:val="en-US" w:eastAsia="zh-CN" w:bidi="ar"/>
                    </w:rPr>
                    <w:t>~</w:t>
                  </w:r>
                  <w:r>
                    <w:rPr>
                      <w:rStyle w:val="56"/>
                      <w:rFonts w:hint="default" w:ascii="Times New Roman" w:hAnsi="Times New Roman" w:eastAsia="仿宋" w:cs="Times New Roman"/>
                      <w:color w:val="auto"/>
                      <w:sz w:val="21"/>
                      <w:szCs w:val="21"/>
                      <w:highlight w:val="none"/>
                      <w:lang w:val="en-US" w:eastAsia="zh-CN" w:bidi="ar"/>
                    </w:rPr>
                    <w:t>1397m</w:t>
                  </w:r>
                </w:p>
              </w:tc>
              <w:tc>
                <w:tcPr>
                  <w:tcW w:w="950" w:type="pct"/>
                  <w:tcBorders>
                    <w:tl2br w:val="nil"/>
                    <w:tr2bl w:val="nil"/>
                  </w:tcBorders>
                  <w:shd w:val="clear" w:color="auto" w:fill="auto"/>
                  <w:vAlign w:val="center"/>
                </w:tcPr>
                <w:p w14:paraId="170CFD3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sz w:val="21"/>
                      <w:szCs w:val="21"/>
                      <w:highlight w:val="none"/>
                      <w:u w:val="none"/>
                      <w:lang w:val="en-US" w:eastAsia="zh-CN"/>
                    </w:rPr>
                    <w:t>/</w:t>
                  </w:r>
                </w:p>
              </w:tc>
            </w:tr>
            <w:tr w14:paraId="56166BE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0" w:hRule="atLeast"/>
                <w:jc w:val="center"/>
              </w:trPr>
              <w:tc>
                <w:tcPr>
                  <w:tcW w:w="463" w:type="pct"/>
                  <w:tcBorders>
                    <w:tl2br w:val="nil"/>
                    <w:tr2bl w:val="nil"/>
                  </w:tcBorders>
                  <w:shd w:val="clear" w:color="auto" w:fill="auto"/>
                  <w:vAlign w:val="center"/>
                </w:tcPr>
                <w:p w14:paraId="645BCC09">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9</w:t>
                  </w:r>
                </w:p>
              </w:tc>
              <w:tc>
                <w:tcPr>
                  <w:tcW w:w="1393" w:type="pct"/>
                  <w:tcBorders>
                    <w:tl2br w:val="nil"/>
                    <w:tr2bl w:val="nil"/>
                  </w:tcBorders>
                  <w:shd w:val="clear" w:color="auto" w:fill="auto"/>
                  <w:vAlign w:val="center"/>
                </w:tcPr>
                <w:p w14:paraId="0A7C85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Style w:val="56"/>
                      <w:rFonts w:hint="default" w:ascii="Times New Roman" w:hAnsi="Times New Roman" w:eastAsia="仿宋" w:cs="Times New Roman"/>
                      <w:color w:val="auto"/>
                      <w:sz w:val="21"/>
                      <w:szCs w:val="21"/>
                      <w:highlight w:val="none"/>
                      <w:lang w:val="en-US" w:eastAsia="zh-CN" w:bidi="ar"/>
                    </w:rPr>
                  </w:pPr>
                  <w:r>
                    <w:rPr>
                      <w:rStyle w:val="56"/>
                      <w:rFonts w:hint="default" w:ascii="Times New Roman" w:hAnsi="Times New Roman" w:eastAsia="仿宋" w:cs="Times New Roman"/>
                      <w:color w:val="auto"/>
                      <w:sz w:val="21"/>
                      <w:szCs w:val="21"/>
                      <w:highlight w:val="none"/>
                      <w:lang w:val="en-US" w:eastAsia="zh-CN" w:bidi="ar"/>
                    </w:rPr>
                    <w:t>采矿方法</w:t>
                  </w:r>
                </w:p>
              </w:tc>
              <w:tc>
                <w:tcPr>
                  <w:tcW w:w="2191" w:type="pct"/>
                  <w:gridSpan w:val="2"/>
                  <w:tcBorders>
                    <w:tl2br w:val="nil"/>
                    <w:tr2bl w:val="nil"/>
                  </w:tcBorders>
                  <w:shd w:val="clear" w:color="auto" w:fill="auto"/>
                  <w:vAlign w:val="center"/>
                </w:tcPr>
                <w:p w14:paraId="57725831">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Style w:val="56"/>
                      <w:rFonts w:hint="default" w:ascii="Times New Roman" w:hAnsi="Times New Roman" w:eastAsia="仿宋" w:cs="Times New Roman"/>
                      <w:color w:val="auto"/>
                      <w:sz w:val="21"/>
                      <w:szCs w:val="21"/>
                      <w:highlight w:val="none"/>
                      <w:lang w:val="en-US" w:eastAsia="zh-CN" w:bidi="ar"/>
                    </w:rPr>
                  </w:pPr>
                  <w:r>
                    <w:rPr>
                      <w:rFonts w:hint="default" w:ascii="Times New Roman" w:hAnsi="Times New Roman" w:eastAsia="仿宋" w:cs="Times New Roman"/>
                      <w:i w:val="0"/>
                      <w:iCs w:val="0"/>
                      <w:color w:val="auto"/>
                      <w:sz w:val="21"/>
                      <w:szCs w:val="21"/>
                      <w:highlight w:val="none"/>
                      <w:u w:val="none"/>
                      <w:lang w:val="en-US" w:eastAsia="zh-CN"/>
                    </w:rPr>
                    <w:t>潜孔钻车穿孔、深孔爆破落矿、机械倒运和铲装、挖掘机液压捣锤</w:t>
                  </w:r>
                  <w:r>
                    <w:rPr>
                      <w:rFonts w:hint="eastAsia" w:eastAsia="仿宋" w:cs="Times New Roman"/>
                      <w:i w:val="0"/>
                      <w:iCs w:val="0"/>
                      <w:color w:val="auto"/>
                      <w:sz w:val="21"/>
                      <w:szCs w:val="21"/>
                      <w:highlight w:val="none"/>
                      <w:u w:val="none"/>
                      <w:lang w:val="en-US" w:eastAsia="zh-CN"/>
                    </w:rPr>
                    <w:t>二次</w:t>
                  </w:r>
                  <w:r>
                    <w:rPr>
                      <w:rFonts w:hint="default" w:ascii="Times New Roman" w:hAnsi="Times New Roman" w:eastAsia="仿宋" w:cs="Times New Roman"/>
                      <w:i w:val="0"/>
                      <w:iCs w:val="0"/>
                      <w:color w:val="auto"/>
                      <w:sz w:val="21"/>
                      <w:szCs w:val="21"/>
                      <w:highlight w:val="none"/>
                      <w:u w:val="none"/>
                      <w:lang w:val="en-US" w:eastAsia="zh-CN"/>
                    </w:rPr>
                    <w:t>破碎、汽车公路运输</w:t>
                  </w:r>
                </w:p>
              </w:tc>
              <w:tc>
                <w:tcPr>
                  <w:tcW w:w="950" w:type="pct"/>
                  <w:tcBorders>
                    <w:tl2br w:val="nil"/>
                    <w:tr2bl w:val="nil"/>
                  </w:tcBorders>
                  <w:shd w:val="clear" w:color="auto" w:fill="auto"/>
                  <w:vAlign w:val="center"/>
                </w:tcPr>
                <w:p w14:paraId="35B202B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sz w:val="21"/>
                      <w:szCs w:val="21"/>
                      <w:highlight w:val="none"/>
                      <w:u w:val="none"/>
                      <w:lang w:val="en-US" w:eastAsia="zh-CN"/>
                    </w:rPr>
                    <w:t>/</w:t>
                  </w:r>
                </w:p>
              </w:tc>
            </w:tr>
            <w:tr w14:paraId="224B533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63" w:type="pct"/>
                  <w:tcBorders>
                    <w:tl2br w:val="nil"/>
                    <w:tr2bl w:val="nil"/>
                  </w:tcBorders>
                  <w:shd w:val="clear" w:color="auto" w:fill="auto"/>
                  <w:vAlign w:val="center"/>
                </w:tcPr>
                <w:p w14:paraId="43876D4A">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10</w:t>
                  </w:r>
                </w:p>
              </w:tc>
              <w:tc>
                <w:tcPr>
                  <w:tcW w:w="1393" w:type="pct"/>
                  <w:tcBorders>
                    <w:tl2br w:val="nil"/>
                    <w:tr2bl w:val="nil"/>
                  </w:tcBorders>
                  <w:shd w:val="clear" w:color="auto" w:fill="auto"/>
                  <w:vAlign w:val="center"/>
                </w:tcPr>
                <w:p w14:paraId="245D1F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Style w:val="56"/>
                      <w:rFonts w:hint="default" w:ascii="Times New Roman" w:hAnsi="Times New Roman" w:eastAsia="仿宋" w:cs="Times New Roman"/>
                      <w:color w:val="auto"/>
                      <w:sz w:val="21"/>
                      <w:szCs w:val="21"/>
                      <w:highlight w:val="none"/>
                      <w:lang w:val="en-US" w:eastAsia="zh-CN" w:bidi="ar"/>
                    </w:rPr>
                  </w:pPr>
                  <w:r>
                    <w:rPr>
                      <w:rStyle w:val="56"/>
                      <w:rFonts w:hint="default" w:ascii="Times New Roman" w:hAnsi="Times New Roman" w:eastAsia="仿宋" w:cs="Times New Roman"/>
                      <w:color w:val="auto"/>
                      <w:sz w:val="21"/>
                      <w:szCs w:val="21"/>
                      <w:highlight w:val="none"/>
                      <w:lang w:val="en-US" w:eastAsia="zh-CN" w:bidi="ar"/>
                    </w:rPr>
                    <w:t>选矿方法</w:t>
                  </w:r>
                </w:p>
              </w:tc>
              <w:tc>
                <w:tcPr>
                  <w:tcW w:w="2191" w:type="pct"/>
                  <w:gridSpan w:val="2"/>
                  <w:tcBorders>
                    <w:tl2br w:val="nil"/>
                    <w:tr2bl w:val="nil"/>
                  </w:tcBorders>
                  <w:shd w:val="clear" w:color="auto" w:fill="auto"/>
                  <w:vAlign w:val="center"/>
                </w:tcPr>
                <w:p w14:paraId="74B696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Style w:val="56"/>
                      <w:rFonts w:hint="default" w:ascii="Times New Roman" w:hAnsi="Times New Roman" w:eastAsia="仿宋" w:cs="Times New Roman"/>
                      <w:color w:val="auto"/>
                      <w:sz w:val="21"/>
                      <w:szCs w:val="21"/>
                      <w:highlight w:val="none"/>
                      <w:lang w:val="en-US" w:eastAsia="zh-CN" w:bidi="ar"/>
                    </w:rPr>
                  </w:pPr>
                  <w:r>
                    <w:rPr>
                      <w:rStyle w:val="56"/>
                      <w:rFonts w:hint="default" w:ascii="Times New Roman" w:hAnsi="Times New Roman" w:eastAsia="仿宋" w:cs="Times New Roman"/>
                      <w:color w:val="auto"/>
                      <w:sz w:val="21"/>
                      <w:szCs w:val="21"/>
                      <w:highlight w:val="none"/>
                      <w:lang w:val="en-US" w:eastAsia="zh-CN" w:bidi="ar"/>
                    </w:rPr>
                    <w:t>破碎、筛分</w:t>
                  </w:r>
                </w:p>
              </w:tc>
              <w:tc>
                <w:tcPr>
                  <w:tcW w:w="950" w:type="pct"/>
                  <w:tcBorders>
                    <w:tl2br w:val="nil"/>
                    <w:tr2bl w:val="nil"/>
                  </w:tcBorders>
                  <w:shd w:val="clear" w:color="auto" w:fill="auto"/>
                  <w:vAlign w:val="center"/>
                </w:tcPr>
                <w:p w14:paraId="277D914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auto"/>
                      <w:sz w:val="21"/>
                      <w:szCs w:val="21"/>
                      <w:highlight w:val="none"/>
                      <w:u w:val="none"/>
                      <w:lang w:val="en-US" w:eastAsia="zh-CN"/>
                    </w:rPr>
                  </w:pPr>
                  <w:r>
                    <w:rPr>
                      <w:rStyle w:val="56"/>
                      <w:rFonts w:hint="default" w:ascii="Times New Roman" w:hAnsi="Times New Roman" w:eastAsia="仿宋" w:cs="Times New Roman"/>
                      <w:color w:val="auto"/>
                      <w:sz w:val="21"/>
                      <w:szCs w:val="21"/>
                      <w:highlight w:val="none"/>
                      <w:lang w:val="en-US" w:eastAsia="zh-CN" w:bidi="ar"/>
                    </w:rPr>
                    <w:t>/</w:t>
                  </w:r>
                </w:p>
              </w:tc>
            </w:tr>
          </w:tbl>
          <w:p w14:paraId="2792DAD5">
            <w:pPr>
              <w:pStyle w:val="3"/>
              <w:keepNext/>
              <w:keepLines/>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6.</w:t>
            </w:r>
            <w:r>
              <w:rPr>
                <w:rFonts w:hint="default" w:eastAsia="仿宋" w:cs="Times New Roman"/>
                <w:color w:val="000000" w:themeColor="text1"/>
                <w:sz w:val="24"/>
                <w:szCs w:val="24"/>
                <w:highlight w:val="none"/>
                <w:lang w:val="en-US" w:eastAsia="zh-CN"/>
                <w14:textFill>
                  <w14:solidFill>
                    <w14:schemeClr w14:val="tx1"/>
                  </w14:solidFill>
                </w14:textFill>
              </w:rPr>
              <w:t>产品方案</w:t>
            </w:r>
          </w:p>
          <w:p w14:paraId="2491B16E">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eastAsia="仿宋" w:cs="Times New Roman"/>
                <w:color w:val="000000" w:themeColor="text1"/>
                <w:sz w:val="24"/>
                <w:highlight w:val="none"/>
                <w:lang w:val="en-US" w:eastAsia="zh-CN"/>
                <w14:textFill>
                  <w14:solidFill>
                    <w14:schemeClr w14:val="tx1"/>
                  </w14:solidFill>
                </w14:textFill>
              </w:rPr>
            </w:pPr>
            <w:r>
              <w:rPr>
                <w:rFonts w:hint="default" w:eastAsia="仿宋" w:cs="Times New Roman"/>
                <w:color w:val="000000" w:themeColor="text1"/>
                <w:sz w:val="24"/>
                <w:highlight w:val="none"/>
                <w:lang w:val="en-US" w:eastAsia="zh-CN"/>
                <w14:textFill>
                  <w14:solidFill>
                    <w14:schemeClr w14:val="tx1"/>
                  </w14:solidFill>
                </w14:textFill>
              </w:rPr>
              <w:t>本项目</w:t>
            </w:r>
            <w:r>
              <w:rPr>
                <w:rFonts w:hint="eastAsia" w:eastAsia="仿宋" w:cs="Times New Roman"/>
                <w:color w:val="000000" w:themeColor="text1"/>
                <w:sz w:val="24"/>
                <w:highlight w:val="none"/>
                <w:lang w:val="en-US" w:eastAsia="zh-CN"/>
                <w14:textFill>
                  <w14:solidFill>
                    <w14:schemeClr w14:val="tx1"/>
                  </w14:solidFill>
                </w14:textFill>
              </w:rPr>
              <w:t>矿山开采规模为10万t/a，开采的</w:t>
            </w:r>
            <w:r>
              <w:rPr>
                <w:rFonts w:hint="default" w:eastAsia="仿宋" w:cs="Times New Roman"/>
                <w:color w:val="000000" w:themeColor="text1"/>
                <w:sz w:val="24"/>
                <w:highlight w:val="none"/>
                <w:lang w:val="en-US" w:eastAsia="zh-CN"/>
                <w14:textFill>
                  <w14:solidFill>
                    <w14:schemeClr w14:val="tx1"/>
                  </w14:solidFill>
                </w14:textFill>
              </w:rPr>
              <w:t>冶金用石英岩矿</w:t>
            </w:r>
            <w:r>
              <w:rPr>
                <w:rFonts w:hint="eastAsia" w:eastAsia="仿宋" w:cs="Times New Roman"/>
                <w:color w:val="000000" w:themeColor="text1"/>
                <w:sz w:val="24"/>
                <w:highlight w:val="none"/>
                <w:lang w:val="en-US" w:eastAsia="zh-CN"/>
                <w14:textFill>
                  <w14:solidFill>
                    <w14:schemeClr w14:val="tx1"/>
                  </w14:solidFill>
                </w14:textFill>
              </w:rPr>
              <w:t>用</w:t>
            </w:r>
            <w:r>
              <w:rPr>
                <w:rFonts w:hint="default" w:eastAsia="仿宋" w:cs="Times New Roman"/>
                <w:color w:val="000000" w:themeColor="text1"/>
                <w:sz w:val="24"/>
                <w:highlight w:val="none"/>
                <w:lang w:val="en-US" w:eastAsia="zh-CN"/>
                <w14:textFill>
                  <w14:solidFill>
                    <w14:schemeClr w14:val="tx1"/>
                  </w14:solidFill>
                </w14:textFill>
              </w:rPr>
              <w:t>挖掘机液压捣锤</w:t>
            </w:r>
            <w:r>
              <w:rPr>
                <w:rFonts w:hint="eastAsia" w:eastAsia="仿宋" w:cs="Times New Roman"/>
                <w:color w:val="000000" w:themeColor="text1"/>
                <w:sz w:val="24"/>
                <w:highlight w:val="none"/>
                <w:lang w:val="en-US" w:eastAsia="zh-CN"/>
                <w14:textFill>
                  <w14:solidFill>
                    <w14:schemeClr w14:val="tx1"/>
                  </w14:solidFill>
                </w14:textFill>
              </w:rPr>
              <w:t>将大块石料破碎后直接运至破碎场进行破碎、筛分加工处理，产品粒径为＜5mm、5～10mm、10～20mm、20～31.5mm、＞40mm</w:t>
            </w:r>
            <w:r>
              <w:rPr>
                <w:rFonts w:hint="default" w:eastAsia="仿宋" w:cs="Times New Roman"/>
                <w:color w:val="000000" w:themeColor="text1"/>
                <w:sz w:val="24"/>
                <w:highlight w:val="none"/>
                <w:lang w:val="en-US" w:eastAsia="zh-CN"/>
                <w14:textFill>
                  <w14:solidFill>
                    <w14:schemeClr w14:val="tx1"/>
                  </w14:solidFill>
                </w14:textFill>
              </w:rPr>
              <w:t>。</w:t>
            </w:r>
          </w:p>
          <w:p w14:paraId="436C7C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b/>
                <w:bCs/>
                <w:snapToGrid w:val="0"/>
                <w:color w:val="000000" w:themeColor="text1"/>
                <w:kern w:val="0"/>
                <w:szCs w:val="21"/>
                <w:highlight w:val="none"/>
                <w:lang w:val="en-US" w:eastAsia="zh-CN"/>
                <w14:textFill>
                  <w14:solidFill>
                    <w14:schemeClr w14:val="tx1"/>
                  </w14:solidFill>
                </w14:textFill>
              </w:rPr>
            </w:pPr>
            <w:r>
              <w:rPr>
                <w:rFonts w:hint="eastAsia" w:ascii="Times New Roman" w:hAnsi="Times New Roman" w:eastAsia="仿宋" w:cs="Times New Roman"/>
                <w:b/>
                <w:bCs/>
                <w:snapToGrid w:val="0"/>
                <w:color w:val="000000" w:themeColor="text1"/>
                <w:kern w:val="0"/>
                <w:szCs w:val="21"/>
                <w:highlight w:val="none"/>
                <w:lang w:val="en-US" w:eastAsia="zh-CN"/>
                <w14:textFill>
                  <w14:solidFill>
                    <w14:schemeClr w14:val="tx1"/>
                  </w14:solidFill>
                </w14:textFill>
              </w:rPr>
              <w:t>表</w:t>
            </w:r>
            <w:r>
              <w:rPr>
                <w:rFonts w:hint="eastAsia" w:eastAsia="仿宋" w:cs="Times New Roman"/>
                <w:b/>
                <w:bCs/>
                <w:snapToGrid w:val="0"/>
                <w:color w:val="000000" w:themeColor="text1"/>
                <w:kern w:val="0"/>
                <w:szCs w:val="21"/>
                <w:highlight w:val="none"/>
                <w:lang w:val="en-US" w:eastAsia="zh-CN"/>
                <w14:textFill>
                  <w14:solidFill>
                    <w14:schemeClr w14:val="tx1"/>
                  </w14:solidFill>
                </w14:textFill>
              </w:rPr>
              <w:t>10</w:t>
            </w:r>
            <w:r>
              <w:rPr>
                <w:rFonts w:hint="eastAsia" w:ascii="Times New Roman" w:hAnsi="Times New Roman" w:eastAsia="仿宋" w:cs="Times New Roman"/>
                <w:b/>
                <w:bCs/>
                <w:snapToGrid w:val="0"/>
                <w:color w:val="000000" w:themeColor="text1"/>
                <w:kern w:val="0"/>
                <w:szCs w:val="21"/>
                <w:highlight w:val="none"/>
                <w:lang w:val="en-US" w:eastAsia="zh-CN"/>
                <w14:textFill>
                  <w14:solidFill>
                    <w14:schemeClr w14:val="tx1"/>
                  </w14:solidFill>
                </w14:textFill>
              </w:rPr>
              <w:t xml:space="preserve">   产品方案一览表</w:t>
            </w:r>
          </w:p>
          <w:tbl>
            <w:tblPr>
              <w:tblStyle w:val="23"/>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5"/>
              <w:gridCol w:w="928"/>
              <w:gridCol w:w="2056"/>
              <w:gridCol w:w="1713"/>
              <w:gridCol w:w="2516"/>
            </w:tblGrid>
            <w:tr w14:paraId="71669E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45" w:type="pct"/>
                  <w:noWrap w:val="0"/>
                  <w:vAlign w:val="center"/>
                </w:tcPr>
                <w:p w14:paraId="4C17EB7E">
                  <w:pPr>
                    <w:jc w:val="center"/>
                    <w:rPr>
                      <w:rFonts w:eastAsia="仿宋"/>
                      <w:color w:val="000000" w:themeColor="text1"/>
                      <w:szCs w:val="21"/>
                      <w:highlight w:val="none"/>
                      <w14:textFill>
                        <w14:solidFill>
                          <w14:schemeClr w14:val="tx1"/>
                        </w14:solidFill>
                      </w14:textFill>
                    </w:rPr>
                  </w:pPr>
                  <w:r>
                    <w:rPr>
                      <w:rFonts w:eastAsia="仿宋"/>
                      <w:color w:val="000000" w:themeColor="text1"/>
                      <w:szCs w:val="21"/>
                      <w:highlight w:val="none"/>
                      <w14:textFill>
                        <w14:solidFill>
                          <w14:schemeClr w14:val="tx1"/>
                        </w14:solidFill>
                      </w14:textFill>
                    </w:rPr>
                    <w:t>序号</w:t>
                  </w:r>
                </w:p>
              </w:tc>
              <w:tc>
                <w:tcPr>
                  <w:tcW w:w="586" w:type="pct"/>
                  <w:noWrap w:val="0"/>
                  <w:vAlign w:val="center"/>
                </w:tcPr>
                <w:p w14:paraId="7826A777">
                  <w:pPr>
                    <w:jc w:val="center"/>
                    <w:rPr>
                      <w:rFonts w:hint="eastAsia"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类别</w:t>
                  </w:r>
                </w:p>
              </w:tc>
              <w:tc>
                <w:tcPr>
                  <w:tcW w:w="1298" w:type="pct"/>
                  <w:noWrap w:val="0"/>
                  <w:vAlign w:val="center"/>
                </w:tcPr>
                <w:p w14:paraId="76F2D2EB">
                  <w:pPr>
                    <w:jc w:val="center"/>
                    <w:rPr>
                      <w:rFonts w:eastAsia="仿宋"/>
                      <w:color w:val="000000" w:themeColor="text1"/>
                      <w:szCs w:val="21"/>
                      <w:highlight w:val="none"/>
                      <w14:textFill>
                        <w14:solidFill>
                          <w14:schemeClr w14:val="tx1"/>
                        </w14:solidFill>
                      </w14:textFill>
                    </w:rPr>
                  </w:pPr>
                  <w:r>
                    <w:rPr>
                      <w:rFonts w:eastAsia="仿宋"/>
                      <w:color w:val="000000" w:themeColor="text1"/>
                      <w:szCs w:val="21"/>
                      <w:highlight w:val="none"/>
                      <w14:textFill>
                        <w14:solidFill>
                          <w14:schemeClr w14:val="tx1"/>
                        </w14:solidFill>
                      </w14:textFill>
                    </w:rPr>
                    <w:t>名称</w:t>
                  </w:r>
                </w:p>
              </w:tc>
              <w:tc>
                <w:tcPr>
                  <w:tcW w:w="1081" w:type="pct"/>
                  <w:noWrap w:val="0"/>
                  <w:vAlign w:val="center"/>
                </w:tcPr>
                <w:p w14:paraId="191FCC6B">
                  <w:pPr>
                    <w:jc w:val="center"/>
                    <w:rPr>
                      <w:rFonts w:hint="eastAsia" w:eastAsia="仿宋"/>
                      <w:color w:val="000000" w:themeColor="text1"/>
                      <w:szCs w:val="21"/>
                      <w:highlight w:val="none"/>
                      <w:lang w:eastAsia="zh-CN"/>
                      <w14:textFill>
                        <w14:solidFill>
                          <w14:schemeClr w14:val="tx1"/>
                        </w14:solidFill>
                      </w14:textFill>
                    </w:rPr>
                  </w:pPr>
                  <w:r>
                    <w:rPr>
                      <w:rFonts w:hint="eastAsia" w:eastAsia="仿宋"/>
                      <w:color w:val="000000" w:themeColor="text1"/>
                      <w:szCs w:val="21"/>
                      <w:highlight w:val="none"/>
                      <w14:textFill>
                        <w14:solidFill>
                          <w14:schemeClr w14:val="tx1"/>
                        </w14:solidFill>
                      </w14:textFill>
                    </w:rPr>
                    <w:t>产量</w:t>
                  </w:r>
                  <w:r>
                    <w:rPr>
                      <w:rFonts w:hint="eastAsia" w:eastAsia="仿宋"/>
                      <w:color w:val="000000" w:themeColor="text1"/>
                      <w:szCs w:val="21"/>
                      <w:highlight w:val="none"/>
                      <w:lang w:eastAsia="zh-CN"/>
                      <w14:textFill>
                        <w14:solidFill>
                          <w14:schemeClr w14:val="tx1"/>
                        </w14:solidFill>
                      </w14:textFill>
                    </w:rPr>
                    <w:t>（</w:t>
                  </w:r>
                  <w:r>
                    <w:rPr>
                      <w:rFonts w:hint="eastAsia" w:eastAsia="仿宋"/>
                      <w:color w:val="000000" w:themeColor="text1"/>
                      <w:szCs w:val="21"/>
                      <w:highlight w:val="none"/>
                      <w:lang w:val="en-US" w:eastAsia="zh-CN"/>
                      <w14:textFill>
                        <w14:solidFill>
                          <w14:schemeClr w14:val="tx1"/>
                        </w14:solidFill>
                      </w14:textFill>
                    </w:rPr>
                    <w:t>t/a</w:t>
                  </w:r>
                  <w:r>
                    <w:rPr>
                      <w:rFonts w:hint="eastAsia" w:eastAsia="仿宋"/>
                      <w:color w:val="000000" w:themeColor="text1"/>
                      <w:szCs w:val="21"/>
                      <w:highlight w:val="none"/>
                      <w:lang w:eastAsia="zh-CN"/>
                      <w14:textFill>
                        <w14:solidFill>
                          <w14:schemeClr w14:val="tx1"/>
                        </w14:solidFill>
                      </w14:textFill>
                    </w:rPr>
                    <w:t>）</w:t>
                  </w:r>
                </w:p>
              </w:tc>
              <w:tc>
                <w:tcPr>
                  <w:tcW w:w="1588" w:type="pct"/>
                  <w:noWrap w:val="0"/>
                  <w:vAlign w:val="center"/>
                </w:tcPr>
                <w:p w14:paraId="4E9EE85E">
                  <w:pPr>
                    <w:jc w:val="center"/>
                    <w:rPr>
                      <w:rFonts w:hint="eastAsia"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备注</w:t>
                  </w:r>
                </w:p>
              </w:tc>
            </w:tr>
            <w:tr w14:paraId="36645B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45" w:type="pct"/>
                  <w:noWrap w:val="0"/>
                  <w:vAlign w:val="center"/>
                </w:tcPr>
                <w:p w14:paraId="1537086A">
                  <w:pPr>
                    <w:jc w:val="center"/>
                    <w:rPr>
                      <w:rFonts w:hint="eastAsia"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1</w:t>
                  </w:r>
                </w:p>
              </w:tc>
              <w:tc>
                <w:tcPr>
                  <w:tcW w:w="586" w:type="pct"/>
                  <w:vMerge w:val="restart"/>
                  <w:noWrap w:val="0"/>
                  <w:vAlign w:val="center"/>
                </w:tcPr>
                <w:p w14:paraId="0B346A1A">
                  <w:pPr>
                    <w:jc w:val="center"/>
                    <w:rPr>
                      <w:rFonts w:hint="eastAsia"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石料</w:t>
                  </w:r>
                </w:p>
              </w:tc>
              <w:tc>
                <w:tcPr>
                  <w:tcW w:w="1298" w:type="pct"/>
                  <w:noWrap w:val="0"/>
                  <w:vAlign w:val="center"/>
                </w:tcPr>
                <w:p w14:paraId="518BB6D1">
                  <w:pPr>
                    <w:jc w:val="center"/>
                    <w:rPr>
                      <w:rFonts w:hint="default"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&lt;5mm</w:t>
                  </w:r>
                </w:p>
              </w:tc>
              <w:tc>
                <w:tcPr>
                  <w:tcW w:w="1081" w:type="pct"/>
                  <w:noWrap w:val="0"/>
                  <w:vAlign w:val="center"/>
                </w:tcPr>
                <w:p w14:paraId="147B5BDC">
                  <w:pPr>
                    <w:jc w:val="center"/>
                    <w:rPr>
                      <w:rFonts w:hint="default"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9981</w:t>
                  </w:r>
                </w:p>
              </w:tc>
              <w:tc>
                <w:tcPr>
                  <w:tcW w:w="1588" w:type="pct"/>
                  <w:vMerge w:val="restart"/>
                  <w:noWrap w:val="0"/>
                  <w:vAlign w:val="center"/>
                </w:tcPr>
                <w:p w14:paraId="4E0F801E">
                  <w:pPr>
                    <w:jc w:val="center"/>
                    <w:rPr>
                      <w:rFonts w:hint="default"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外售</w:t>
                  </w:r>
                </w:p>
              </w:tc>
            </w:tr>
            <w:tr w14:paraId="729641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445" w:type="pct"/>
                  <w:noWrap w:val="0"/>
                  <w:vAlign w:val="center"/>
                </w:tcPr>
                <w:p w14:paraId="5DC6CFCD">
                  <w:pPr>
                    <w:jc w:val="center"/>
                    <w:rPr>
                      <w:rFonts w:hint="eastAsia"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2</w:t>
                  </w:r>
                </w:p>
              </w:tc>
              <w:tc>
                <w:tcPr>
                  <w:tcW w:w="586" w:type="pct"/>
                  <w:vMerge w:val="continue"/>
                  <w:noWrap w:val="0"/>
                  <w:vAlign w:val="center"/>
                </w:tcPr>
                <w:p w14:paraId="2AAF87DE">
                  <w:pPr>
                    <w:jc w:val="center"/>
                    <w:rPr>
                      <w:rFonts w:hint="eastAsia" w:eastAsia="仿宋"/>
                      <w:color w:val="000000" w:themeColor="text1"/>
                      <w:szCs w:val="21"/>
                      <w:highlight w:val="none"/>
                      <w14:textFill>
                        <w14:solidFill>
                          <w14:schemeClr w14:val="tx1"/>
                        </w14:solidFill>
                      </w14:textFill>
                    </w:rPr>
                  </w:pPr>
                </w:p>
              </w:tc>
              <w:tc>
                <w:tcPr>
                  <w:tcW w:w="1298" w:type="pct"/>
                  <w:noWrap w:val="0"/>
                  <w:vAlign w:val="center"/>
                </w:tcPr>
                <w:p w14:paraId="486FAB8C">
                  <w:pPr>
                    <w:jc w:val="center"/>
                    <w:rPr>
                      <w:rFonts w:hint="default"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5~10mm</w:t>
                  </w:r>
                </w:p>
              </w:tc>
              <w:tc>
                <w:tcPr>
                  <w:tcW w:w="1081" w:type="pct"/>
                  <w:noWrap w:val="0"/>
                  <w:vAlign w:val="center"/>
                </w:tcPr>
                <w:p w14:paraId="7737D04E">
                  <w:pPr>
                    <w:jc w:val="center"/>
                    <w:rPr>
                      <w:rFonts w:hint="default"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19962</w:t>
                  </w:r>
                </w:p>
              </w:tc>
              <w:tc>
                <w:tcPr>
                  <w:tcW w:w="1588" w:type="pct"/>
                  <w:vMerge w:val="continue"/>
                  <w:noWrap w:val="0"/>
                  <w:vAlign w:val="center"/>
                </w:tcPr>
                <w:p w14:paraId="5918C9FE">
                  <w:pPr>
                    <w:jc w:val="center"/>
                    <w:rPr>
                      <w:rFonts w:hint="eastAsia" w:eastAsia="仿宋"/>
                      <w:color w:val="000000" w:themeColor="text1"/>
                      <w:szCs w:val="21"/>
                      <w:highlight w:val="none"/>
                      <w:lang w:val="en-US" w:eastAsia="zh-CN"/>
                      <w14:textFill>
                        <w14:solidFill>
                          <w14:schemeClr w14:val="tx1"/>
                        </w14:solidFill>
                      </w14:textFill>
                    </w:rPr>
                  </w:pPr>
                </w:p>
              </w:tc>
            </w:tr>
            <w:tr w14:paraId="1F8BDC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445" w:type="pct"/>
                  <w:noWrap w:val="0"/>
                  <w:vAlign w:val="center"/>
                </w:tcPr>
                <w:p w14:paraId="725C9FCB">
                  <w:pPr>
                    <w:jc w:val="center"/>
                    <w:rPr>
                      <w:rFonts w:hint="default"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3</w:t>
                  </w:r>
                </w:p>
              </w:tc>
              <w:tc>
                <w:tcPr>
                  <w:tcW w:w="586" w:type="pct"/>
                  <w:vMerge w:val="continue"/>
                  <w:noWrap w:val="0"/>
                  <w:vAlign w:val="center"/>
                </w:tcPr>
                <w:p w14:paraId="633D3C88">
                  <w:pPr>
                    <w:jc w:val="center"/>
                    <w:rPr>
                      <w:rFonts w:hint="eastAsia" w:eastAsia="仿宋"/>
                      <w:color w:val="000000" w:themeColor="text1"/>
                      <w:szCs w:val="21"/>
                      <w:highlight w:val="none"/>
                      <w14:textFill>
                        <w14:solidFill>
                          <w14:schemeClr w14:val="tx1"/>
                        </w14:solidFill>
                      </w14:textFill>
                    </w:rPr>
                  </w:pPr>
                </w:p>
              </w:tc>
              <w:tc>
                <w:tcPr>
                  <w:tcW w:w="1298" w:type="pct"/>
                  <w:noWrap w:val="0"/>
                  <w:vAlign w:val="center"/>
                </w:tcPr>
                <w:p w14:paraId="6327EB58">
                  <w:pPr>
                    <w:jc w:val="center"/>
                    <w:rPr>
                      <w:rFonts w:hint="eastAsia"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10~20mm</w:t>
                  </w:r>
                </w:p>
              </w:tc>
              <w:tc>
                <w:tcPr>
                  <w:tcW w:w="1081" w:type="pct"/>
                  <w:noWrap w:val="0"/>
                  <w:vAlign w:val="center"/>
                </w:tcPr>
                <w:p w14:paraId="292A2481">
                  <w:pPr>
                    <w:jc w:val="center"/>
                    <w:rPr>
                      <w:rFonts w:hint="default"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24852.7</w:t>
                  </w:r>
                </w:p>
              </w:tc>
              <w:tc>
                <w:tcPr>
                  <w:tcW w:w="1588" w:type="pct"/>
                  <w:vMerge w:val="continue"/>
                  <w:noWrap w:val="0"/>
                  <w:vAlign w:val="center"/>
                </w:tcPr>
                <w:p w14:paraId="4EE480C5">
                  <w:pPr>
                    <w:jc w:val="center"/>
                    <w:rPr>
                      <w:rFonts w:hint="eastAsia" w:eastAsia="仿宋"/>
                      <w:color w:val="000000" w:themeColor="text1"/>
                      <w:szCs w:val="21"/>
                      <w:highlight w:val="none"/>
                      <w:lang w:val="en-US" w:eastAsia="zh-CN"/>
                      <w14:textFill>
                        <w14:solidFill>
                          <w14:schemeClr w14:val="tx1"/>
                        </w14:solidFill>
                      </w14:textFill>
                    </w:rPr>
                  </w:pPr>
                </w:p>
              </w:tc>
            </w:tr>
            <w:tr w14:paraId="3A38C0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445" w:type="pct"/>
                  <w:noWrap w:val="0"/>
                  <w:vAlign w:val="center"/>
                </w:tcPr>
                <w:p w14:paraId="2EAAD0A7">
                  <w:pPr>
                    <w:jc w:val="center"/>
                    <w:rPr>
                      <w:rFonts w:hint="default"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4</w:t>
                  </w:r>
                </w:p>
              </w:tc>
              <w:tc>
                <w:tcPr>
                  <w:tcW w:w="586" w:type="pct"/>
                  <w:vMerge w:val="continue"/>
                  <w:noWrap w:val="0"/>
                  <w:vAlign w:val="center"/>
                </w:tcPr>
                <w:p w14:paraId="5BA335AD">
                  <w:pPr>
                    <w:jc w:val="center"/>
                    <w:rPr>
                      <w:rFonts w:hint="eastAsia" w:eastAsia="仿宋"/>
                      <w:color w:val="000000" w:themeColor="text1"/>
                      <w:szCs w:val="21"/>
                      <w:highlight w:val="none"/>
                      <w14:textFill>
                        <w14:solidFill>
                          <w14:schemeClr w14:val="tx1"/>
                        </w14:solidFill>
                      </w14:textFill>
                    </w:rPr>
                  </w:pPr>
                </w:p>
              </w:tc>
              <w:tc>
                <w:tcPr>
                  <w:tcW w:w="1298" w:type="pct"/>
                  <w:noWrap w:val="0"/>
                  <w:vAlign w:val="center"/>
                </w:tcPr>
                <w:p w14:paraId="08D0F72F">
                  <w:pPr>
                    <w:jc w:val="center"/>
                    <w:rPr>
                      <w:rFonts w:hint="eastAsia"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20~31.5mm</w:t>
                  </w:r>
                </w:p>
              </w:tc>
              <w:tc>
                <w:tcPr>
                  <w:tcW w:w="1081" w:type="pct"/>
                  <w:noWrap w:val="0"/>
                  <w:vAlign w:val="center"/>
                </w:tcPr>
                <w:p w14:paraId="037EB13C">
                  <w:pPr>
                    <w:jc w:val="center"/>
                    <w:rPr>
                      <w:rFonts w:hint="default"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24852.61</w:t>
                  </w:r>
                </w:p>
              </w:tc>
              <w:tc>
                <w:tcPr>
                  <w:tcW w:w="1588" w:type="pct"/>
                  <w:vMerge w:val="continue"/>
                  <w:noWrap w:val="0"/>
                  <w:vAlign w:val="center"/>
                </w:tcPr>
                <w:p w14:paraId="445F099F">
                  <w:pPr>
                    <w:jc w:val="center"/>
                    <w:rPr>
                      <w:rFonts w:hint="eastAsia" w:eastAsia="仿宋"/>
                      <w:color w:val="000000" w:themeColor="text1"/>
                      <w:szCs w:val="21"/>
                      <w:highlight w:val="none"/>
                      <w:lang w:val="en-US" w:eastAsia="zh-CN"/>
                      <w14:textFill>
                        <w14:solidFill>
                          <w14:schemeClr w14:val="tx1"/>
                        </w14:solidFill>
                      </w14:textFill>
                    </w:rPr>
                  </w:pPr>
                </w:p>
              </w:tc>
            </w:tr>
            <w:tr w14:paraId="4D4C41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445" w:type="pct"/>
                  <w:noWrap w:val="0"/>
                  <w:vAlign w:val="center"/>
                </w:tcPr>
                <w:p w14:paraId="62BCC6C3">
                  <w:pPr>
                    <w:jc w:val="center"/>
                    <w:rPr>
                      <w:rFonts w:hint="default"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5</w:t>
                  </w:r>
                </w:p>
              </w:tc>
              <w:tc>
                <w:tcPr>
                  <w:tcW w:w="586" w:type="pct"/>
                  <w:vMerge w:val="continue"/>
                  <w:noWrap w:val="0"/>
                  <w:vAlign w:val="center"/>
                </w:tcPr>
                <w:p w14:paraId="4C49550E">
                  <w:pPr>
                    <w:jc w:val="center"/>
                    <w:rPr>
                      <w:rFonts w:hint="eastAsia" w:eastAsia="仿宋"/>
                      <w:color w:val="000000" w:themeColor="text1"/>
                      <w:szCs w:val="21"/>
                      <w:highlight w:val="none"/>
                      <w14:textFill>
                        <w14:solidFill>
                          <w14:schemeClr w14:val="tx1"/>
                        </w14:solidFill>
                      </w14:textFill>
                    </w:rPr>
                  </w:pPr>
                </w:p>
              </w:tc>
              <w:tc>
                <w:tcPr>
                  <w:tcW w:w="1298" w:type="pct"/>
                  <w:noWrap w:val="0"/>
                  <w:vAlign w:val="center"/>
                </w:tcPr>
                <w:p w14:paraId="275B67FD">
                  <w:pPr>
                    <w:jc w:val="center"/>
                    <w:rPr>
                      <w:rFonts w:hint="eastAsia"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＞40mm</w:t>
                  </w:r>
                </w:p>
              </w:tc>
              <w:tc>
                <w:tcPr>
                  <w:tcW w:w="1081" w:type="pct"/>
                  <w:noWrap w:val="0"/>
                  <w:vAlign w:val="center"/>
                </w:tcPr>
                <w:p w14:paraId="4C297F3B">
                  <w:pPr>
                    <w:jc w:val="center"/>
                    <w:rPr>
                      <w:rFonts w:hint="default"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19962</w:t>
                  </w:r>
                </w:p>
              </w:tc>
              <w:tc>
                <w:tcPr>
                  <w:tcW w:w="1588" w:type="pct"/>
                  <w:vMerge w:val="continue"/>
                  <w:noWrap w:val="0"/>
                  <w:vAlign w:val="center"/>
                </w:tcPr>
                <w:p w14:paraId="043878C3">
                  <w:pPr>
                    <w:jc w:val="center"/>
                    <w:rPr>
                      <w:rFonts w:hint="eastAsia" w:eastAsia="仿宋"/>
                      <w:color w:val="000000" w:themeColor="text1"/>
                      <w:szCs w:val="21"/>
                      <w:highlight w:val="none"/>
                      <w:lang w:val="en-US" w:eastAsia="zh-CN"/>
                      <w14:textFill>
                        <w14:solidFill>
                          <w14:schemeClr w14:val="tx1"/>
                        </w14:solidFill>
                      </w14:textFill>
                    </w:rPr>
                  </w:pPr>
                </w:p>
              </w:tc>
            </w:tr>
            <w:tr w14:paraId="4275BE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2329" w:type="pct"/>
                  <w:gridSpan w:val="3"/>
                  <w:noWrap w:val="0"/>
                  <w:vAlign w:val="center"/>
                </w:tcPr>
                <w:p w14:paraId="3891C914">
                  <w:pPr>
                    <w:jc w:val="center"/>
                    <w:rPr>
                      <w:rFonts w:hint="default"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合计</w:t>
                  </w:r>
                </w:p>
              </w:tc>
              <w:tc>
                <w:tcPr>
                  <w:tcW w:w="1081" w:type="pct"/>
                  <w:noWrap w:val="0"/>
                  <w:vAlign w:val="center"/>
                </w:tcPr>
                <w:p w14:paraId="2DAF65E4">
                  <w:pPr>
                    <w:jc w:val="center"/>
                    <w:rPr>
                      <w:rFonts w:hint="eastAsia" w:eastAsia="仿宋"/>
                      <w:color w:val="000000" w:themeColor="text1"/>
                      <w:szCs w:val="2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99610.31</w:t>
                  </w:r>
                </w:p>
              </w:tc>
              <w:tc>
                <w:tcPr>
                  <w:tcW w:w="1588" w:type="pct"/>
                  <w:noWrap w:val="0"/>
                  <w:vAlign w:val="center"/>
                </w:tcPr>
                <w:p w14:paraId="3B1DA402">
                  <w:pPr>
                    <w:jc w:val="center"/>
                    <w:rPr>
                      <w:rFonts w:hint="default" w:eastAsia="仿宋"/>
                      <w:color w:val="000000" w:themeColor="text1"/>
                      <w:szCs w:val="21"/>
                      <w:highlight w:val="none"/>
                      <w:lang w:val="en-US" w:eastAsia="zh-CN"/>
                      <w14:textFill>
                        <w14:solidFill>
                          <w14:schemeClr w14:val="tx1"/>
                        </w14:solidFill>
                      </w14:textFill>
                    </w:rPr>
                  </w:pPr>
                  <w:r>
                    <w:rPr>
                      <w:rFonts w:hint="eastAsia" w:eastAsia="仿宋"/>
                      <w:color w:val="000000" w:themeColor="text1"/>
                      <w:szCs w:val="21"/>
                      <w:highlight w:val="none"/>
                      <w:lang w:val="en-US" w:eastAsia="zh-CN"/>
                      <w14:textFill>
                        <w14:solidFill>
                          <w14:schemeClr w14:val="tx1"/>
                        </w14:solidFill>
                      </w14:textFill>
                    </w:rPr>
                    <w:t>/</w:t>
                  </w:r>
                </w:p>
              </w:tc>
            </w:tr>
          </w:tbl>
          <w:p w14:paraId="37B79017">
            <w:pPr>
              <w:pStyle w:val="3"/>
              <w:keepNext/>
              <w:keepLines/>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7.</w:t>
            </w:r>
            <w:bookmarkStart w:id="8" w:name="_Toc23233521"/>
            <w:r>
              <w:rPr>
                <w:rFonts w:hint="eastAsia" w:eastAsia="仿宋" w:cs="Times New Roman"/>
                <w:color w:val="000000" w:themeColor="text1"/>
                <w:sz w:val="24"/>
                <w:szCs w:val="24"/>
                <w:highlight w:val="none"/>
                <w:lang w:val="en-US" w:eastAsia="zh-CN"/>
                <w14:textFill>
                  <w14:solidFill>
                    <w14:schemeClr w14:val="tx1"/>
                  </w14:solidFill>
                </w14:textFill>
              </w:rPr>
              <w:t>矿体地质</w:t>
            </w:r>
          </w:p>
          <w:p w14:paraId="12849D8C">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⑴</w:t>
            </w:r>
            <w:r>
              <w:rPr>
                <w:rFonts w:hint="eastAsia" w:ascii="Times New Roman" w:hAnsi="Times New Roman" w:eastAsia="仿宋" w:cs="Times New Roman"/>
                <w:b w:val="0"/>
                <w:color w:val="auto"/>
                <w:kern w:val="2"/>
                <w:sz w:val="24"/>
                <w:szCs w:val="24"/>
                <w:highlight w:val="none"/>
                <w:lang w:val="en-US" w:eastAsia="zh-CN" w:bidi="ar-SA"/>
              </w:rPr>
              <w:t>矿体形态、规模特征</w:t>
            </w:r>
          </w:p>
          <w:p w14:paraId="0B96578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本次核实工作在矿区内共圈出2条石英岩矿体，编号分别为①、</w:t>
            </w:r>
            <w:bookmarkStart w:id="9" w:name="OLE_LINK24"/>
            <w:bookmarkStart w:id="10" w:name="OLE_LINK23"/>
            <w:r>
              <w:rPr>
                <w:rFonts w:hint="default" w:ascii="Times New Roman" w:hAnsi="Times New Roman" w:eastAsia="仿宋" w:cs="Times New Roman"/>
                <w:b w:val="0"/>
                <w:color w:val="auto"/>
                <w:kern w:val="2"/>
                <w:sz w:val="24"/>
                <w:szCs w:val="24"/>
                <w:highlight w:val="none"/>
                <w:lang w:val="en-US" w:eastAsia="zh-CN" w:bidi="ar-SA"/>
              </w:rPr>
              <w:t>②</w:t>
            </w:r>
            <w:bookmarkEnd w:id="9"/>
            <w:bookmarkEnd w:id="10"/>
            <w:r>
              <w:rPr>
                <w:rFonts w:hint="default" w:ascii="Times New Roman" w:hAnsi="Times New Roman" w:eastAsia="仿宋" w:cs="Times New Roman"/>
                <w:b w:val="0"/>
                <w:color w:val="auto"/>
                <w:kern w:val="2"/>
                <w:sz w:val="24"/>
                <w:szCs w:val="24"/>
                <w:highlight w:val="none"/>
                <w:lang w:val="en-US" w:eastAsia="zh-CN" w:bidi="ar-SA"/>
              </w:rPr>
              <w:t>，其中①号矿体规模较大，为本次核实工作主矿体，②石英岩矿体规模较小。本次核实工作对矿区内2条石英岩矿体进行了地表探槽工程揭露控制，对①号主矿体进行了深部钻孔控制。现将各矿体特征叙述如下：</w:t>
            </w:r>
          </w:p>
          <w:p w14:paraId="56C70016">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24"/>
                <w:highlight w:val="none"/>
                <w:lang w:val="en-US" w:eastAsia="zh-CN" w:bidi="ar-SA"/>
              </w:rPr>
            </w:pPr>
            <w:bookmarkStart w:id="11" w:name="OLE_LINK194"/>
            <w:r>
              <w:rPr>
                <w:rFonts w:hint="default" w:ascii="Times New Roman" w:hAnsi="Times New Roman" w:eastAsia="仿宋" w:cs="Times New Roman"/>
                <w:b w:val="0"/>
                <w:color w:val="auto"/>
                <w:kern w:val="2"/>
                <w:sz w:val="24"/>
                <w:szCs w:val="24"/>
                <w:highlight w:val="none"/>
                <w:lang w:val="en-US" w:eastAsia="zh-CN" w:bidi="ar-SA"/>
              </w:rPr>
              <w:t>①号矿体</w:t>
            </w:r>
            <w:bookmarkEnd w:id="11"/>
            <w:r>
              <w:rPr>
                <w:rFonts w:hint="default" w:ascii="Times New Roman" w:hAnsi="Times New Roman" w:eastAsia="仿宋" w:cs="Times New Roman"/>
                <w:b w:val="0"/>
                <w:color w:val="auto"/>
                <w:kern w:val="2"/>
                <w:sz w:val="24"/>
                <w:szCs w:val="24"/>
                <w:highlight w:val="none"/>
                <w:lang w:val="en-US" w:eastAsia="zh-CN" w:bidi="ar-SA"/>
              </w:rPr>
              <w:t>：矿体分布于矿区中部，</w:t>
            </w:r>
            <w:bookmarkStart w:id="12" w:name="OLE_LINK29"/>
            <w:bookmarkStart w:id="13" w:name="OLE_LINK30"/>
            <w:r>
              <w:rPr>
                <w:rFonts w:hint="default" w:ascii="Times New Roman" w:hAnsi="Times New Roman" w:eastAsia="仿宋" w:cs="Times New Roman"/>
                <w:b w:val="0"/>
                <w:color w:val="auto"/>
                <w:kern w:val="2"/>
                <w:sz w:val="24"/>
                <w:szCs w:val="24"/>
                <w:highlight w:val="none"/>
                <w:lang w:val="en-US" w:eastAsia="zh-CN" w:bidi="ar-SA"/>
              </w:rPr>
              <w:t>矿体地表由TC1-2、TC2-2、TC3-1共3个探槽工程控制</w:t>
            </w:r>
            <w:bookmarkEnd w:id="12"/>
            <w:bookmarkEnd w:id="13"/>
            <w:r>
              <w:rPr>
                <w:rFonts w:hint="default" w:ascii="Times New Roman" w:hAnsi="Times New Roman" w:eastAsia="仿宋" w:cs="Times New Roman"/>
                <w:b w:val="0"/>
                <w:color w:val="auto"/>
                <w:kern w:val="2"/>
                <w:sz w:val="24"/>
                <w:szCs w:val="24"/>
                <w:highlight w:val="none"/>
                <w:lang w:val="en-US" w:eastAsia="zh-CN" w:bidi="ar-SA"/>
              </w:rPr>
              <w:t>，其中TC1-2见矿化体，其他均见冶金用石英岩矿体；深部由ZK201、ZK301共2个钻孔工程控制。矿体地表出露长度416m，工程控制长度198m，</w:t>
            </w:r>
            <w:bookmarkStart w:id="14" w:name="OLE_LINK193"/>
            <w:r>
              <w:rPr>
                <w:rFonts w:hint="default" w:ascii="Times New Roman" w:hAnsi="Times New Roman" w:eastAsia="仿宋" w:cs="Times New Roman"/>
                <w:b w:val="0"/>
                <w:color w:val="auto"/>
                <w:kern w:val="2"/>
                <w:sz w:val="24"/>
                <w:szCs w:val="24"/>
                <w:highlight w:val="none"/>
                <w:lang w:val="en-US" w:eastAsia="zh-CN" w:bidi="ar-SA"/>
              </w:rPr>
              <w:t>控制标高</w:t>
            </w:r>
            <w:bookmarkStart w:id="15" w:name="OLE_LINK176"/>
            <w:bookmarkStart w:id="16" w:name="OLE_LINK175"/>
            <w:r>
              <w:rPr>
                <w:rFonts w:hint="default" w:ascii="Times New Roman" w:hAnsi="Times New Roman" w:eastAsia="仿宋" w:cs="Times New Roman"/>
                <w:b w:val="0"/>
                <w:color w:val="auto"/>
                <w:kern w:val="2"/>
                <w:sz w:val="24"/>
                <w:szCs w:val="24"/>
                <w:highlight w:val="none"/>
                <w:lang w:val="en-US" w:eastAsia="zh-CN" w:bidi="ar-SA"/>
              </w:rPr>
              <w:t>1509m～1358.3m</w:t>
            </w:r>
            <w:bookmarkEnd w:id="15"/>
            <w:bookmarkEnd w:id="16"/>
            <w:r>
              <w:rPr>
                <w:rFonts w:hint="default" w:ascii="Times New Roman" w:hAnsi="Times New Roman" w:eastAsia="仿宋" w:cs="Times New Roman"/>
                <w:b w:val="0"/>
                <w:color w:val="auto"/>
                <w:kern w:val="2"/>
                <w:sz w:val="24"/>
                <w:szCs w:val="24"/>
                <w:highlight w:val="none"/>
                <w:lang w:val="en-US" w:eastAsia="zh-CN" w:bidi="ar-SA"/>
              </w:rPr>
              <w:t>，</w:t>
            </w:r>
            <w:bookmarkEnd w:id="14"/>
            <w:r>
              <w:rPr>
                <w:rFonts w:hint="default" w:ascii="Times New Roman" w:hAnsi="Times New Roman" w:eastAsia="仿宋" w:cs="Times New Roman"/>
                <w:b w:val="0"/>
                <w:color w:val="auto"/>
                <w:kern w:val="2"/>
                <w:sz w:val="24"/>
                <w:szCs w:val="24"/>
                <w:highlight w:val="none"/>
                <w:lang w:val="en-US" w:eastAsia="zh-CN" w:bidi="ar-SA"/>
              </w:rPr>
              <w:t>埋深0～144.18m，呈层状、似层状产出，呈东宽西窄，矿体总体走向为近东西向，倾向12°～21°，倾角80°～82°。矿体顶底板围岩均为石英片岩，其产状与矿体产状一致，赋存于蓟县系墩子沟群二岩组中。</w:t>
            </w:r>
            <w:bookmarkStart w:id="17" w:name="OLE_LINK177"/>
            <w:bookmarkStart w:id="18" w:name="OLE_LINK140"/>
            <w:r>
              <w:rPr>
                <w:rFonts w:hint="default" w:ascii="Times New Roman" w:hAnsi="Times New Roman" w:eastAsia="仿宋" w:cs="Times New Roman"/>
                <w:b w:val="0"/>
                <w:color w:val="auto"/>
                <w:kern w:val="2"/>
                <w:sz w:val="24"/>
                <w:szCs w:val="24"/>
                <w:highlight w:val="none"/>
                <w:lang w:val="en-US" w:eastAsia="zh-CN" w:bidi="ar-SA"/>
              </w:rPr>
              <w:t>矿体厚度</w:t>
            </w:r>
            <w:bookmarkStart w:id="19" w:name="OLE_LINK114"/>
            <w:bookmarkStart w:id="20" w:name="OLE_LINK157"/>
            <w:r>
              <w:rPr>
                <w:rFonts w:hint="default" w:ascii="Times New Roman" w:hAnsi="Times New Roman" w:eastAsia="仿宋" w:cs="Times New Roman"/>
                <w:b w:val="0"/>
                <w:color w:val="auto"/>
                <w:kern w:val="2"/>
                <w:sz w:val="24"/>
                <w:szCs w:val="24"/>
                <w:highlight w:val="none"/>
                <w:lang w:val="en-US" w:eastAsia="zh-CN" w:bidi="ar-SA"/>
              </w:rPr>
              <w:t>6.85m～16.91m</w:t>
            </w:r>
            <w:bookmarkEnd w:id="19"/>
            <w:bookmarkEnd w:id="20"/>
            <w:r>
              <w:rPr>
                <w:rFonts w:hint="default" w:ascii="Times New Roman" w:hAnsi="Times New Roman" w:eastAsia="仿宋" w:cs="Times New Roman"/>
                <w:b w:val="0"/>
                <w:color w:val="auto"/>
                <w:kern w:val="2"/>
                <w:sz w:val="24"/>
                <w:szCs w:val="24"/>
                <w:highlight w:val="none"/>
                <w:lang w:val="en-US" w:eastAsia="zh-CN" w:bidi="ar-SA"/>
              </w:rPr>
              <w:t>，平均12.14m，</w:t>
            </w:r>
            <w:bookmarkEnd w:id="17"/>
            <w:bookmarkStart w:id="21" w:name="OLE_LINK31"/>
            <w:bookmarkStart w:id="22" w:name="OLE_LINK32"/>
            <w:r>
              <w:rPr>
                <w:rFonts w:hint="default" w:ascii="Times New Roman" w:hAnsi="Times New Roman" w:eastAsia="仿宋" w:cs="Times New Roman"/>
                <w:b w:val="0"/>
                <w:color w:val="auto"/>
                <w:kern w:val="2"/>
                <w:sz w:val="24"/>
                <w:szCs w:val="24"/>
                <w:highlight w:val="none"/>
                <w:lang w:val="en-US" w:eastAsia="zh-CN" w:bidi="ar-SA"/>
              </w:rPr>
              <w:t>厚度变化系数34.60%。</w:t>
            </w:r>
            <w:bookmarkStart w:id="23" w:name="OLE_LINK66"/>
            <w:bookmarkStart w:id="24" w:name="OLE_LINK64"/>
            <w:r>
              <w:rPr>
                <w:rFonts w:hint="default" w:ascii="Times New Roman" w:hAnsi="Times New Roman" w:eastAsia="仿宋" w:cs="Times New Roman"/>
                <w:b w:val="0"/>
                <w:color w:val="auto"/>
                <w:kern w:val="2"/>
                <w:sz w:val="24"/>
                <w:szCs w:val="24"/>
                <w:highlight w:val="none"/>
                <w:lang w:val="en-US" w:eastAsia="zh-CN" w:bidi="ar-SA"/>
              </w:rPr>
              <w:t>矿体</w:t>
            </w:r>
            <w:bookmarkStart w:id="25" w:name="OLE_LINK83"/>
            <w:bookmarkStart w:id="26" w:name="OLE_LINK78"/>
            <w:r>
              <w:rPr>
                <w:rFonts w:hint="default" w:ascii="Times New Roman" w:hAnsi="Times New Roman" w:eastAsia="仿宋" w:cs="Times New Roman"/>
                <w:b w:val="0"/>
                <w:color w:val="auto"/>
                <w:kern w:val="2"/>
                <w:sz w:val="24"/>
                <w:szCs w:val="24"/>
                <w:highlight w:val="none"/>
                <w:lang w:val="en-US" w:eastAsia="zh-CN" w:bidi="ar-SA"/>
              </w:rPr>
              <w:t>SiO</w:t>
            </w:r>
            <w:r>
              <w:rPr>
                <w:rFonts w:hint="default" w:ascii="Times New Roman" w:hAnsi="Times New Roman" w:eastAsia="仿宋" w:cs="Times New Roman"/>
                <w:b w:val="0"/>
                <w:color w:val="auto"/>
                <w:kern w:val="2"/>
                <w:sz w:val="24"/>
                <w:szCs w:val="24"/>
                <w:highlight w:val="none"/>
                <w:vertAlign w:val="subscript"/>
                <w:lang w:val="en-US" w:eastAsia="zh-CN" w:bidi="ar-SA"/>
              </w:rPr>
              <w:t>2</w:t>
            </w:r>
            <w:r>
              <w:rPr>
                <w:rFonts w:hint="default" w:ascii="Times New Roman" w:hAnsi="Times New Roman" w:eastAsia="仿宋" w:cs="Times New Roman"/>
                <w:b w:val="0"/>
                <w:color w:val="auto"/>
                <w:kern w:val="2"/>
                <w:sz w:val="24"/>
                <w:szCs w:val="24"/>
                <w:highlight w:val="none"/>
                <w:lang w:val="en-US" w:eastAsia="zh-CN" w:bidi="ar-SA"/>
              </w:rPr>
              <w:t>品位在90.06%～99.51%之间，</w:t>
            </w:r>
            <w:bookmarkStart w:id="27" w:name="OLE_LINK195"/>
            <w:r>
              <w:rPr>
                <w:rFonts w:hint="default" w:ascii="Times New Roman" w:hAnsi="Times New Roman" w:eastAsia="仿宋" w:cs="Times New Roman"/>
                <w:b w:val="0"/>
                <w:color w:val="auto"/>
                <w:kern w:val="2"/>
                <w:sz w:val="24"/>
                <w:szCs w:val="24"/>
                <w:highlight w:val="none"/>
                <w:lang w:val="en-US" w:eastAsia="zh-CN" w:bidi="ar-SA"/>
              </w:rPr>
              <w:t>平均品位94.27%，SiO</w:t>
            </w:r>
            <w:r>
              <w:rPr>
                <w:rFonts w:hint="default" w:ascii="Times New Roman" w:hAnsi="Times New Roman" w:eastAsia="仿宋" w:cs="Times New Roman"/>
                <w:b w:val="0"/>
                <w:color w:val="auto"/>
                <w:kern w:val="2"/>
                <w:sz w:val="24"/>
                <w:szCs w:val="24"/>
                <w:highlight w:val="none"/>
                <w:vertAlign w:val="subscript"/>
                <w:lang w:val="en-US" w:eastAsia="zh-CN" w:bidi="ar-SA"/>
              </w:rPr>
              <w:t>2</w:t>
            </w:r>
            <w:r>
              <w:rPr>
                <w:rFonts w:hint="default" w:ascii="Times New Roman" w:hAnsi="Times New Roman" w:eastAsia="仿宋" w:cs="Times New Roman"/>
                <w:b w:val="0"/>
                <w:color w:val="auto"/>
                <w:kern w:val="2"/>
                <w:sz w:val="24"/>
                <w:szCs w:val="24"/>
                <w:highlight w:val="none"/>
                <w:lang w:val="en-US" w:eastAsia="zh-CN" w:bidi="ar-SA"/>
              </w:rPr>
              <w:t>品位变化系数1.20%；</w:t>
            </w:r>
            <w:bookmarkStart w:id="28" w:name="OLE_LINK174"/>
            <w:r>
              <w:rPr>
                <w:rFonts w:hint="default" w:ascii="Times New Roman" w:hAnsi="Times New Roman" w:eastAsia="仿宋" w:cs="Times New Roman"/>
                <w:b w:val="0"/>
                <w:color w:val="auto"/>
                <w:kern w:val="2"/>
                <w:sz w:val="24"/>
                <w:szCs w:val="24"/>
                <w:highlight w:val="none"/>
                <w:lang w:val="en-US" w:eastAsia="zh-CN" w:bidi="ar-SA"/>
              </w:rPr>
              <w:t>Al</w:t>
            </w:r>
            <w:r>
              <w:rPr>
                <w:rFonts w:hint="default" w:ascii="Times New Roman" w:hAnsi="Times New Roman" w:eastAsia="仿宋" w:cs="Times New Roman"/>
                <w:b w:val="0"/>
                <w:color w:val="auto"/>
                <w:kern w:val="2"/>
                <w:sz w:val="24"/>
                <w:szCs w:val="24"/>
                <w:highlight w:val="none"/>
                <w:vertAlign w:val="subscript"/>
                <w:lang w:val="en-US" w:eastAsia="zh-CN" w:bidi="ar-SA"/>
              </w:rPr>
              <w:t>2</w:t>
            </w:r>
            <w:r>
              <w:rPr>
                <w:rFonts w:hint="default" w:ascii="Times New Roman" w:hAnsi="Times New Roman" w:eastAsia="仿宋" w:cs="Times New Roman"/>
                <w:b w:val="0"/>
                <w:color w:val="auto"/>
                <w:kern w:val="2"/>
                <w:sz w:val="24"/>
                <w:szCs w:val="24"/>
                <w:highlight w:val="none"/>
                <w:lang w:val="en-US" w:eastAsia="zh-CN" w:bidi="ar-SA"/>
              </w:rPr>
              <w:t>O</w:t>
            </w:r>
            <w:r>
              <w:rPr>
                <w:rFonts w:hint="default" w:ascii="Times New Roman" w:hAnsi="Times New Roman" w:eastAsia="仿宋" w:cs="Times New Roman"/>
                <w:b w:val="0"/>
                <w:color w:val="auto"/>
                <w:kern w:val="2"/>
                <w:sz w:val="24"/>
                <w:szCs w:val="24"/>
                <w:highlight w:val="none"/>
                <w:vertAlign w:val="subscript"/>
                <w:lang w:val="en-US" w:eastAsia="zh-CN" w:bidi="ar-SA"/>
              </w:rPr>
              <w:t>3</w:t>
            </w:r>
            <w:r>
              <w:rPr>
                <w:rFonts w:hint="default" w:ascii="Times New Roman" w:hAnsi="Times New Roman" w:eastAsia="仿宋" w:cs="Times New Roman"/>
                <w:b w:val="0"/>
                <w:color w:val="auto"/>
                <w:kern w:val="2"/>
                <w:sz w:val="24"/>
                <w:szCs w:val="24"/>
                <w:highlight w:val="none"/>
                <w:lang w:val="en-US" w:eastAsia="zh-CN" w:bidi="ar-SA"/>
              </w:rPr>
              <w:t>含量平</w:t>
            </w:r>
            <w:r>
              <w:rPr>
                <w:rFonts w:hint="eastAsia" w:eastAsia="仿宋" w:cs="Times New Roman"/>
                <w:b w:val="0"/>
                <w:color w:val="auto"/>
                <w:kern w:val="2"/>
                <w:sz w:val="24"/>
                <w:szCs w:val="24"/>
                <w:highlight w:val="none"/>
                <w:lang w:val="en-US" w:eastAsia="zh-CN" w:bidi="ar-SA"/>
              </w:rPr>
              <w:t>均为</w:t>
            </w:r>
            <w:r>
              <w:rPr>
                <w:rFonts w:hint="default" w:ascii="Times New Roman" w:hAnsi="Times New Roman" w:eastAsia="仿宋" w:cs="Times New Roman"/>
                <w:b w:val="0"/>
                <w:color w:val="auto"/>
                <w:kern w:val="2"/>
                <w:sz w:val="24"/>
                <w:szCs w:val="24"/>
                <w:highlight w:val="none"/>
                <w:lang w:val="en-US" w:eastAsia="zh-CN" w:bidi="ar-SA"/>
              </w:rPr>
              <w:t>2.43%，Fe</w:t>
            </w:r>
            <w:r>
              <w:rPr>
                <w:rFonts w:hint="default" w:ascii="Times New Roman" w:hAnsi="Times New Roman" w:eastAsia="仿宋" w:cs="Times New Roman"/>
                <w:b w:val="0"/>
                <w:color w:val="auto"/>
                <w:kern w:val="2"/>
                <w:sz w:val="24"/>
                <w:szCs w:val="24"/>
                <w:highlight w:val="none"/>
                <w:vertAlign w:val="subscript"/>
                <w:lang w:val="en-US" w:eastAsia="zh-CN" w:bidi="ar-SA"/>
              </w:rPr>
              <w:t>2</w:t>
            </w:r>
            <w:r>
              <w:rPr>
                <w:rFonts w:hint="default" w:ascii="Times New Roman" w:hAnsi="Times New Roman" w:eastAsia="仿宋" w:cs="Times New Roman"/>
                <w:b w:val="0"/>
                <w:color w:val="auto"/>
                <w:kern w:val="2"/>
                <w:sz w:val="24"/>
                <w:szCs w:val="24"/>
                <w:highlight w:val="none"/>
                <w:lang w:val="en-US" w:eastAsia="zh-CN" w:bidi="ar-SA"/>
              </w:rPr>
              <w:t>O</w:t>
            </w:r>
            <w:r>
              <w:rPr>
                <w:rFonts w:hint="default" w:ascii="Times New Roman" w:hAnsi="Times New Roman" w:eastAsia="仿宋" w:cs="Times New Roman"/>
                <w:b w:val="0"/>
                <w:color w:val="auto"/>
                <w:kern w:val="2"/>
                <w:sz w:val="24"/>
                <w:szCs w:val="24"/>
                <w:highlight w:val="none"/>
                <w:vertAlign w:val="subscript"/>
                <w:lang w:val="en-US" w:eastAsia="zh-CN" w:bidi="ar-SA"/>
              </w:rPr>
              <w:t>3</w:t>
            </w:r>
            <w:r>
              <w:rPr>
                <w:rFonts w:hint="default" w:ascii="Times New Roman" w:hAnsi="Times New Roman" w:eastAsia="仿宋" w:cs="Times New Roman"/>
                <w:b w:val="0"/>
                <w:color w:val="auto"/>
                <w:kern w:val="2"/>
                <w:sz w:val="24"/>
                <w:szCs w:val="24"/>
                <w:highlight w:val="none"/>
                <w:lang w:val="en-US" w:eastAsia="zh-CN" w:bidi="ar-SA"/>
              </w:rPr>
              <w:t>含量平均为0.59%，CaO含量平均为0.57%，P</w:t>
            </w:r>
            <w:r>
              <w:rPr>
                <w:rFonts w:hint="default" w:ascii="Times New Roman" w:hAnsi="Times New Roman" w:eastAsia="仿宋" w:cs="Times New Roman"/>
                <w:b w:val="0"/>
                <w:color w:val="auto"/>
                <w:kern w:val="2"/>
                <w:sz w:val="24"/>
                <w:szCs w:val="24"/>
                <w:highlight w:val="none"/>
                <w:vertAlign w:val="subscript"/>
                <w:lang w:val="en-US" w:eastAsia="zh-CN" w:bidi="ar-SA"/>
              </w:rPr>
              <w:t>2</w:t>
            </w:r>
            <w:r>
              <w:rPr>
                <w:rFonts w:hint="default" w:ascii="Times New Roman" w:hAnsi="Times New Roman" w:eastAsia="仿宋" w:cs="Times New Roman"/>
                <w:b w:val="0"/>
                <w:color w:val="auto"/>
                <w:kern w:val="2"/>
                <w:sz w:val="24"/>
                <w:szCs w:val="24"/>
                <w:highlight w:val="none"/>
                <w:lang w:val="en-US" w:eastAsia="zh-CN" w:bidi="ar-SA"/>
              </w:rPr>
              <w:t>O</w:t>
            </w:r>
            <w:r>
              <w:rPr>
                <w:rFonts w:hint="default" w:ascii="Times New Roman" w:hAnsi="Times New Roman" w:eastAsia="仿宋" w:cs="Times New Roman"/>
                <w:b w:val="0"/>
                <w:color w:val="auto"/>
                <w:kern w:val="2"/>
                <w:sz w:val="24"/>
                <w:szCs w:val="24"/>
                <w:highlight w:val="none"/>
                <w:vertAlign w:val="subscript"/>
                <w:lang w:val="en-US" w:eastAsia="zh-CN" w:bidi="ar-SA"/>
              </w:rPr>
              <w:t>5</w:t>
            </w:r>
            <w:r>
              <w:rPr>
                <w:rFonts w:hint="default" w:ascii="Times New Roman" w:hAnsi="Times New Roman" w:eastAsia="仿宋" w:cs="Times New Roman"/>
                <w:b w:val="0"/>
                <w:color w:val="auto"/>
                <w:kern w:val="2"/>
                <w:sz w:val="24"/>
                <w:szCs w:val="24"/>
                <w:highlight w:val="none"/>
                <w:lang w:val="en-US" w:eastAsia="zh-CN" w:bidi="ar-SA"/>
              </w:rPr>
              <w:t>含量平均为0.04%。</w:t>
            </w:r>
            <w:bookmarkEnd w:id="18"/>
            <w:bookmarkEnd w:id="21"/>
            <w:bookmarkEnd w:id="22"/>
            <w:bookmarkEnd w:id="23"/>
            <w:bookmarkEnd w:id="24"/>
            <w:bookmarkEnd w:id="25"/>
            <w:bookmarkEnd w:id="26"/>
            <w:bookmarkEnd w:id="27"/>
            <w:bookmarkEnd w:id="28"/>
          </w:p>
          <w:p w14:paraId="3052351C">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24"/>
                <w:highlight w:val="none"/>
                <w:lang w:val="en-US" w:eastAsia="zh-CN" w:bidi="ar-SA"/>
              </w:rPr>
            </w:pPr>
            <w:bookmarkStart w:id="29" w:name="OLE_LINK196"/>
            <w:r>
              <w:rPr>
                <w:rFonts w:hint="default" w:ascii="Times New Roman" w:hAnsi="Times New Roman" w:eastAsia="仿宋" w:cs="Times New Roman"/>
                <w:b w:val="0"/>
                <w:color w:val="auto"/>
                <w:kern w:val="2"/>
                <w:sz w:val="24"/>
                <w:szCs w:val="24"/>
                <w:highlight w:val="none"/>
                <w:lang w:val="en-US" w:eastAsia="zh-CN" w:bidi="ar-SA"/>
              </w:rPr>
              <w:t>②号矿体</w:t>
            </w:r>
            <w:bookmarkEnd w:id="29"/>
            <w:r>
              <w:rPr>
                <w:rFonts w:hint="default" w:ascii="Times New Roman" w:hAnsi="Times New Roman" w:eastAsia="仿宋" w:cs="Times New Roman"/>
                <w:b w:val="0"/>
                <w:color w:val="auto"/>
                <w:kern w:val="2"/>
                <w:sz w:val="24"/>
                <w:szCs w:val="24"/>
                <w:highlight w:val="none"/>
                <w:lang w:val="en-US" w:eastAsia="zh-CN" w:bidi="ar-SA"/>
              </w:rPr>
              <w:t>位于矿区中部①号矿体南侧，矿体地表由TC1-1、TC2-1共2个探槽工程控制，顶底板围岩均为石英片岩。该矿体走向近东西，倾向11°～15°，倾角80°～85°，地表出露长度252m，工程控制长度192m，矿体厚度2.4m～3.7m，平均3.05m，厚度变化系数30.16%。矿体SiO</w:t>
            </w:r>
            <w:r>
              <w:rPr>
                <w:rFonts w:hint="default" w:ascii="Times New Roman" w:hAnsi="Times New Roman" w:eastAsia="仿宋" w:cs="Times New Roman"/>
                <w:b w:val="0"/>
                <w:color w:val="auto"/>
                <w:kern w:val="2"/>
                <w:sz w:val="24"/>
                <w:szCs w:val="24"/>
                <w:highlight w:val="none"/>
                <w:vertAlign w:val="subscript"/>
                <w:lang w:val="en-US" w:eastAsia="zh-CN" w:bidi="ar-SA"/>
              </w:rPr>
              <w:t>2</w:t>
            </w:r>
            <w:r>
              <w:rPr>
                <w:rFonts w:hint="default" w:ascii="Times New Roman" w:hAnsi="Times New Roman" w:eastAsia="仿宋" w:cs="Times New Roman"/>
                <w:b w:val="0"/>
                <w:color w:val="auto"/>
                <w:kern w:val="2"/>
                <w:sz w:val="24"/>
                <w:szCs w:val="24"/>
                <w:highlight w:val="none"/>
                <w:lang w:val="en-US" w:eastAsia="zh-CN" w:bidi="ar-SA"/>
              </w:rPr>
              <w:t>品位在91.32%～94.19%之间，平均品位92.74%，SiO</w:t>
            </w:r>
            <w:r>
              <w:rPr>
                <w:rFonts w:hint="default" w:ascii="Times New Roman" w:hAnsi="Times New Roman" w:eastAsia="仿宋" w:cs="Times New Roman"/>
                <w:b w:val="0"/>
                <w:color w:val="auto"/>
                <w:kern w:val="2"/>
                <w:sz w:val="24"/>
                <w:szCs w:val="24"/>
                <w:highlight w:val="none"/>
                <w:vertAlign w:val="subscript"/>
                <w:lang w:val="en-US" w:eastAsia="zh-CN" w:bidi="ar-SA"/>
              </w:rPr>
              <w:t>2</w:t>
            </w:r>
            <w:r>
              <w:rPr>
                <w:rFonts w:hint="default" w:ascii="Times New Roman" w:hAnsi="Times New Roman" w:eastAsia="仿宋" w:cs="Times New Roman"/>
                <w:b w:val="0"/>
                <w:color w:val="auto"/>
                <w:kern w:val="2"/>
                <w:sz w:val="24"/>
                <w:szCs w:val="24"/>
                <w:highlight w:val="none"/>
                <w:lang w:val="en-US" w:eastAsia="zh-CN" w:bidi="ar-SA"/>
              </w:rPr>
              <w:t>品位变化系数0.07%；Al</w:t>
            </w:r>
            <w:r>
              <w:rPr>
                <w:rFonts w:hint="default" w:ascii="Times New Roman" w:hAnsi="Times New Roman" w:eastAsia="仿宋" w:cs="Times New Roman"/>
                <w:b w:val="0"/>
                <w:color w:val="auto"/>
                <w:kern w:val="2"/>
                <w:sz w:val="24"/>
                <w:szCs w:val="24"/>
                <w:highlight w:val="none"/>
                <w:vertAlign w:val="subscript"/>
                <w:lang w:val="en-US" w:eastAsia="zh-CN" w:bidi="ar-SA"/>
              </w:rPr>
              <w:t>2</w:t>
            </w:r>
            <w:r>
              <w:rPr>
                <w:rFonts w:hint="default" w:ascii="Times New Roman" w:hAnsi="Times New Roman" w:eastAsia="仿宋" w:cs="Times New Roman"/>
                <w:b w:val="0"/>
                <w:color w:val="auto"/>
                <w:kern w:val="2"/>
                <w:sz w:val="24"/>
                <w:szCs w:val="24"/>
                <w:highlight w:val="none"/>
                <w:lang w:val="en-US" w:eastAsia="zh-CN" w:bidi="ar-SA"/>
              </w:rPr>
              <w:t>O</w:t>
            </w:r>
            <w:r>
              <w:rPr>
                <w:rFonts w:hint="default" w:ascii="Times New Roman" w:hAnsi="Times New Roman" w:eastAsia="仿宋" w:cs="Times New Roman"/>
                <w:b w:val="0"/>
                <w:color w:val="auto"/>
                <w:kern w:val="2"/>
                <w:sz w:val="24"/>
                <w:szCs w:val="24"/>
                <w:highlight w:val="none"/>
                <w:vertAlign w:val="subscript"/>
                <w:lang w:val="en-US" w:eastAsia="zh-CN" w:bidi="ar-SA"/>
              </w:rPr>
              <w:t>3</w:t>
            </w:r>
            <w:r>
              <w:rPr>
                <w:rFonts w:hint="default" w:ascii="Times New Roman" w:hAnsi="Times New Roman" w:eastAsia="仿宋" w:cs="Times New Roman"/>
                <w:b w:val="0"/>
                <w:color w:val="auto"/>
                <w:kern w:val="2"/>
                <w:sz w:val="24"/>
                <w:szCs w:val="24"/>
                <w:highlight w:val="none"/>
                <w:lang w:val="en-US" w:eastAsia="zh-CN" w:bidi="ar-SA"/>
              </w:rPr>
              <w:t>含量平均2.15%，Fe</w:t>
            </w:r>
            <w:r>
              <w:rPr>
                <w:rFonts w:hint="default" w:ascii="Times New Roman" w:hAnsi="Times New Roman" w:eastAsia="仿宋" w:cs="Times New Roman"/>
                <w:b w:val="0"/>
                <w:color w:val="auto"/>
                <w:kern w:val="2"/>
                <w:sz w:val="24"/>
                <w:szCs w:val="24"/>
                <w:highlight w:val="none"/>
                <w:vertAlign w:val="subscript"/>
                <w:lang w:val="en-US" w:eastAsia="zh-CN" w:bidi="ar-SA"/>
              </w:rPr>
              <w:t>2</w:t>
            </w:r>
            <w:r>
              <w:rPr>
                <w:rFonts w:hint="default" w:ascii="Times New Roman" w:hAnsi="Times New Roman" w:eastAsia="仿宋" w:cs="Times New Roman"/>
                <w:b w:val="0"/>
                <w:color w:val="auto"/>
                <w:kern w:val="2"/>
                <w:sz w:val="24"/>
                <w:szCs w:val="24"/>
                <w:highlight w:val="none"/>
                <w:lang w:val="en-US" w:eastAsia="zh-CN" w:bidi="ar-SA"/>
              </w:rPr>
              <w:t>O</w:t>
            </w:r>
            <w:r>
              <w:rPr>
                <w:rFonts w:hint="default" w:ascii="Times New Roman" w:hAnsi="Times New Roman" w:eastAsia="仿宋" w:cs="Times New Roman"/>
                <w:b w:val="0"/>
                <w:color w:val="auto"/>
                <w:kern w:val="2"/>
                <w:sz w:val="24"/>
                <w:szCs w:val="24"/>
                <w:highlight w:val="none"/>
                <w:vertAlign w:val="subscript"/>
                <w:lang w:val="en-US" w:eastAsia="zh-CN" w:bidi="ar-SA"/>
              </w:rPr>
              <w:t>3</w:t>
            </w:r>
            <w:r>
              <w:rPr>
                <w:rFonts w:hint="default" w:ascii="Times New Roman" w:hAnsi="Times New Roman" w:eastAsia="仿宋" w:cs="Times New Roman"/>
                <w:b w:val="0"/>
                <w:color w:val="auto"/>
                <w:kern w:val="2"/>
                <w:sz w:val="24"/>
                <w:szCs w:val="24"/>
                <w:highlight w:val="none"/>
                <w:lang w:val="en-US" w:eastAsia="zh-CN" w:bidi="ar-SA"/>
              </w:rPr>
              <w:t>含量平均为2.46%，CaO含量平均为0.48%，P</w:t>
            </w:r>
            <w:r>
              <w:rPr>
                <w:rFonts w:hint="default" w:ascii="Times New Roman" w:hAnsi="Times New Roman" w:eastAsia="仿宋" w:cs="Times New Roman"/>
                <w:b w:val="0"/>
                <w:color w:val="auto"/>
                <w:kern w:val="2"/>
                <w:sz w:val="24"/>
                <w:szCs w:val="24"/>
                <w:highlight w:val="none"/>
                <w:vertAlign w:val="subscript"/>
                <w:lang w:val="en-US" w:eastAsia="zh-CN" w:bidi="ar-SA"/>
              </w:rPr>
              <w:t>2</w:t>
            </w:r>
            <w:r>
              <w:rPr>
                <w:rFonts w:hint="default" w:ascii="Times New Roman" w:hAnsi="Times New Roman" w:eastAsia="仿宋" w:cs="Times New Roman"/>
                <w:b w:val="0"/>
                <w:color w:val="auto"/>
                <w:kern w:val="2"/>
                <w:sz w:val="24"/>
                <w:szCs w:val="24"/>
                <w:highlight w:val="none"/>
                <w:lang w:val="en-US" w:eastAsia="zh-CN" w:bidi="ar-SA"/>
              </w:rPr>
              <w:t>O</w:t>
            </w:r>
            <w:r>
              <w:rPr>
                <w:rFonts w:hint="default" w:ascii="Times New Roman" w:hAnsi="Times New Roman" w:eastAsia="仿宋" w:cs="Times New Roman"/>
                <w:b w:val="0"/>
                <w:color w:val="auto"/>
                <w:kern w:val="2"/>
                <w:sz w:val="24"/>
                <w:szCs w:val="24"/>
                <w:highlight w:val="none"/>
                <w:vertAlign w:val="subscript"/>
                <w:lang w:val="en-US" w:eastAsia="zh-CN" w:bidi="ar-SA"/>
              </w:rPr>
              <w:t>5</w:t>
            </w:r>
            <w:r>
              <w:rPr>
                <w:rFonts w:hint="default" w:ascii="Times New Roman" w:hAnsi="Times New Roman" w:eastAsia="仿宋" w:cs="Times New Roman"/>
                <w:b w:val="0"/>
                <w:color w:val="auto"/>
                <w:kern w:val="2"/>
                <w:sz w:val="24"/>
                <w:szCs w:val="24"/>
                <w:highlight w:val="none"/>
                <w:lang w:val="en-US" w:eastAsia="zh-CN" w:bidi="ar-SA"/>
              </w:rPr>
              <w:t>含量平均为0.05%。</w:t>
            </w:r>
          </w:p>
          <w:p w14:paraId="0A79EDAF">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b w:val="0"/>
                <w:color w:val="auto"/>
                <w:kern w:val="2"/>
                <w:sz w:val="24"/>
                <w:szCs w:val="24"/>
                <w:highlight w:val="none"/>
                <w:lang w:val="en-US" w:eastAsia="zh-CN" w:bidi="ar-SA"/>
              </w:rPr>
              <w:t>⑵</w:t>
            </w:r>
            <w:r>
              <w:rPr>
                <w:rFonts w:hint="default" w:ascii="Times New Roman" w:hAnsi="Times New Roman" w:eastAsia="仿宋" w:cs="Times New Roman"/>
                <w:color w:val="auto"/>
                <w:sz w:val="24"/>
                <w:highlight w:val="none"/>
                <w:lang w:val="en-US" w:eastAsia="zh-CN"/>
              </w:rPr>
              <w:t>矿体围岩及夹石</w:t>
            </w:r>
          </w:p>
          <w:p w14:paraId="06BE33FE">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①围岩</w:t>
            </w:r>
          </w:p>
          <w:p w14:paraId="28F589AF">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矿体顶底板围岩以云母石英片岩为主。围岩与矿体界线清晰，肉眼即可判断。</w:t>
            </w:r>
          </w:p>
          <w:p w14:paraId="59AF38FC">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②夹石</w:t>
            </w:r>
          </w:p>
          <w:p w14:paraId="3D65009B">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矿体内无夹石。</w:t>
            </w:r>
          </w:p>
          <w:p w14:paraId="0C042461">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⑶</w:t>
            </w:r>
            <w:r>
              <w:rPr>
                <w:rFonts w:hint="eastAsia" w:ascii="Times New Roman" w:hAnsi="Times New Roman" w:eastAsia="仿宋" w:cs="Times New Roman"/>
                <w:b w:val="0"/>
                <w:color w:val="auto"/>
                <w:kern w:val="2"/>
                <w:sz w:val="24"/>
                <w:szCs w:val="24"/>
                <w:highlight w:val="none"/>
                <w:lang w:val="en-US" w:eastAsia="zh-CN" w:bidi="ar-SA"/>
              </w:rPr>
              <w:t>共伴生矿产</w:t>
            </w:r>
          </w:p>
          <w:p w14:paraId="36A4324B">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核实阶段矿区圈定的所有矿体均为冶金用石英岩矿体，无其他共伴生矿物。</w:t>
            </w:r>
          </w:p>
          <w:p w14:paraId="043EDBF6">
            <w:pPr>
              <w:pStyle w:val="3"/>
              <w:keepNext/>
              <w:keepLines/>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color w:val="auto"/>
                <w:sz w:val="24"/>
                <w:szCs w:val="24"/>
                <w:highlight w:val="none"/>
                <w:lang w:val="en-US" w:eastAsia="zh-CN"/>
              </w:rPr>
            </w:pPr>
            <w:r>
              <w:rPr>
                <w:rFonts w:hint="eastAsia" w:eastAsia="仿宋" w:cs="Times New Roman"/>
                <w:color w:val="auto"/>
                <w:sz w:val="24"/>
                <w:szCs w:val="24"/>
                <w:highlight w:val="none"/>
                <w:lang w:val="en-US" w:eastAsia="zh-CN"/>
              </w:rPr>
              <w:t>8.矿区范围和矿产资源储量</w:t>
            </w:r>
          </w:p>
          <w:p w14:paraId="5162CD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⑴</w:t>
            </w:r>
            <w:r>
              <w:rPr>
                <w:rFonts w:hint="eastAsia" w:ascii="Times New Roman" w:hAnsi="Times New Roman" w:eastAsia="仿宋" w:cs="Times New Roman"/>
                <w:color w:val="auto"/>
                <w:sz w:val="24"/>
                <w:highlight w:val="none"/>
                <w:lang w:val="en-US" w:eastAsia="zh-CN"/>
              </w:rPr>
              <w:t>矿区范围</w:t>
            </w:r>
          </w:p>
          <w:p w14:paraId="7EE05AC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仿宋" w:cs="Times New Roman"/>
                <w:color w:val="000000"/>
                <w:kern w:val="0"/>
                <w:sz w:val="24"/>
              </w:rPr>
            </w:pPr>
            <w:r>
              <w:rPr>
                <w:rFonts w:hint="default" w:eastAsia="仿宋" w:cs="Times New Roman"/>
                <w:color w:val="000000"/>
                <w:kern w:val="0"/>
                <w:sz w:val="24"/>
                <w:lang w:val="en-US" w:eastAsia="zh-CN"/>
              </w:rPr>
              <w:t>临泽县金源矿业有限责任公司平川镇羊圈湾冶金用石英岩矿</w:t>
            </w:r>
            <w:r>
              <w:rPr>
                <w:rFonts w:hint="eastAsia" w:eastAsia="仿宋" w:cs="Times New Roman"/>
                <w:color w:val="000000"/>
                <w:kern w:val="0"/>
                <w:sz w:val="24"/>
                <w:lang w:val="en-US" w:eastAsia="zh-CN"/>
              </w:rPr>
              <w:t>采矿许可证证号为：X</w:t>
            </w:r>
            <w:r>
              <w:rPr>
                <w:rFonts w:hint="default" w:eastAsia="仿宋" w:cs="Times New Roman"/>
                <w:color w:val="000000"/>
                <w:kern w:val="0"/>
                <w:sz w:val="24"/>
                <w:lang w:val="en-US" w:eastAsia="zh-CN"/>
              </w:rPr>
              <w:t>C6207002010127130089745</w:t>
            </w:r>
            <w:r>
              <w:rPr>
                <w:rFonts w:hint="eastAsia" w:eastAsia="仿宋" w:cs="Times New Roman"/>
                <w:color w:val="000000"/>
                <w:kern w:val="0"/>
                <w:sz w:val="24"/>
                <w:lang w:val="en-US" w:eastAsia="zh-CN"/>
              </w:rPr>
              <w:t>，</w:t>
            </w:r>
            <w:r>
              <w:rPr>
                <w:rFonts w:hint="eastAsia" w:ascii="Times New Roman" w:hAnsi="Times New Roman" w:eastAsia="仿宋" w:cs="Times New Roman"/>
                <w:color w:val="000000"/>
                <w:kern w:val="0"/>
                <w:sz w:val="24"/>
                <w:lang w:eastAsia="zh-CN"/>
              </w:rPr>
              <w:t>采矿权</w:t>
            </w:r>
            <w:r>
              <w:rPr>
                <w:rFonts w:hint="eastAsia" w:ascii="Times New Roman" w:hAnsi="Times New Roman" w:eastAsia="仿宋" w:cs="Times New Roman"/>
                <w:color w:val="000000"/>
                <w:kern w:val="0"/>
                <w:sz w:val="24"/>
              </w:rPr>
              <w:t>面积</w:t>
            </w:r>
            <w:r>
              <w:rPr>
                <w:rFonts w:hint="eastAsia" w:eastAsia="仿宋" w:cs="Times New Roman"/>
                <w:color w:val="000000"/>
                <w:kern w:val="0"/>
                <w:sz w:val="24"/>
                <w:lang w:val="en-US" w:eastAsia="zh-CN"/>
              </w:rPr>
              <w:t>0.4588</w:t>
            </w:r>
            <w:r>
              <w:rPr>
                <w:rFonts w:hint="eastAsia" w:ascii="Times New Roman" w:hAnsi="Times New Roman" w:eastAsia="仿宋" w:cs="Times New Roman"/>
                <w:color w:val="000000"/>
                <w:kern w:val="0"/>
                <w:sz w:val="24"/>
              </w:rPr>
              <w:t>km</w:t>
            </w:r>
            <w:r>
              <w:rPr>
                <w:rFonts w:hint="eastAsia" w:ascii="Times New Roman" w:hAnsi="Times New Roman" w:eastAsia="仿宋" w:cs="Times New Roman"/>
                <w:color w:val="000000"/>
                <w:kern w:val="0"/>
                <w:sz w:val="24"/>
                <w:vertAlign w:val="superscript"/>
              </w:rPr>
              <w:t>2</w:t>
            </w:r>
            <w:r>
              <w:rPr>
                <w:rFonts w:hint="eastAsia" w:ascii="Times New Roman" w:hAnsi="Times New Roman" w:eastAsia="仿宋" w:cs="Times New Roman"/>
                <w:color w:val="000000"/>
                <w:kern w:val="0"/>
                <w:sz w:val="24"/>
              </w:rPr>
              <w:t>，共由</w:t>
            </w:r>
            <w:r>
              <w:rPr>
                <w:rFonts w:hint="eastAsia" w:eastAsia="仿宋" w:cs="Times New Roman"/>
                <w:color w:val="000000"/>
                <w:kern w:val="0"/>
                <w:sz w:val="24"/>
                <w:lang w:val="en-US" w:eastAsia="zh-CN"/>
              </w:rPr>
              <w:t>6</w:t>
            </w:r>
            <w:r>
              <w:rPr>
                <w:rFonts w:hint="eastAsia" w:ascii="Times New Roman" w:hAnsi="Times New Roman" w:eastAsia="仿宋" w:cs="Times New Roman"/>
                <w:color w:val="000000"/>
                <w:kern w:val="0"/>
                <w:sz w:val="24"/>
              </w:rPr>
              <w:t>个拐点圈定</w:t>
            </w:r>
            <w:r>
              <w:rPr>
                <w:rFonts w:hint="eastAsia" w:ascii="Times New Roman" w:hAnsi="Times New Roman" w:eastAsia="仿宋" w:cs="Times New Roman"/>
                <w:color w:val="000000"/>
                <w:kern w:val="0"/>
                <w:sz w:val="24"/>
                <w:lang w:eastAsia="zh-CN"/>
              </w:rPr>
              <w:t>，采</w:t>
            </w:r>
            <w:r>
              <w:rPr>
                <w:rFonts w:hint="eastAsia" w:ascii="Times New Roman" w:hAnsi="Times New Roman" w:eastAsia="仿宋" w:cs="Times New Roman"/>
                <w:color w:val="000000"/>
                <w:kern w:val="0"/>
                <w:sz w:val="24"/>
              </w:rPr>
              <w:t>矿权范围拐点坐标见表</w:t>
            </w:r>
            <w:r>
              <w:rPr>
                <w:rFonts w:hint="eastAsia" w:eastAsia="仿宋" w:cs="Times New Roman"/>
                <w:color w:val="000000"/>
                <w:kern w:val="0"/>
                <w:sz w:val="24"/>
                <w:lang w:val="en-US" w:eastAsia="zh-CN"/>
              </w:rPr>
              <w:t>11</w:t>
            </w:r>
            <w:r>
              <w:rPr>
                <w:rFonts w:hint="eastAsia" w:ascii="Times New Roman" w:hAnsi="Times New Roman" w:eastAsia="仿宋" w:cs="Times New Roman"/>
                <w:color w:val="000000"/>
                <w:kern w:val="0"/>
                <w:sz w:val="24"/>
                <w:lang w:val="en-US" w:eastAsia="zh-CN"/>
              </w:rPr>
              <w:t>，</w:t>
            </w:r>
            <w:r>
              <w:rPr>
                <w:rFonts w:hint="eastAsia" w:ascii="Times New Roman" w:hAnsi="Times New Roman" w:eastAsia="仿宋" w:cs="Times New Roman"/>
                <w:color w:val="000000"/>
                <w:kern w:val="0"/>
                <w:sz w:val="24"/>
                <w:lang w:eastAsia="zh-CN"/>
              </w:rPr>
              <w:t>采矿权范围见</w:t>
            </w:r>
            <w:r>
              <w:rPr>
                <w:rFonts w:hint="eastAsia" w:ascii="Times New Roman" w:hAnsi="Times New Roman" w:eastAsia="仿宋" w:cs="Times New Roman"/>
                <w:color w:val="000000"/>
                <w:kern w:val="0"/>
                <w:sz w:val="24"/>
                <w:lang w:val="en-US" w:eastAsia="zh-CN"/>
              </w:rPr>
              <w:t>附</w:t>
            </w:r>
            <w:r>
              <w:rPr>
                <w:rFonts w:hint="eastAsia" w:ascii="Times New Roman" w:hAnsi="Times New Roman" w:eastAsia="仿宋" w:cs="Times New Roman"/>
                <w:color w:val="000000"/>
                <w:kern w:val="0"/>
                <w:sz w:val="24"/>
                <w:lang w:eastAsia="zh-CN"/>
              </w:rPr>
              <w:t>图</w:t>
            </w:r>
            <w:r>
              <w:rPr>
                <w:rFonts w:hint="eastAsia" w:ascii="Times New Roman" w:hAnsi="Times New Roman" w:eastAsia="仿宋" w:cs="Times New Roman"/>
                <w:color w:val="000000"/>
                <w:kern w:val="0"/>
                <w:sz w:val="24"/>
                <w:lang w:val="en-US" w:eastAsia="zh-CN"/>
              </w:rPr>
              <w:t>4</w:t>
            </w:r>
            <w:r>
              <w:rPr>
                <w:rFonts w:hint="eastAsia" w:ascii="Times New Roman" w:hAnsi="Times New Roman" w:eastAsia="仿宋" w:cs="Times New Roman"/>
                <w:color w:val="000000"/>
                <w:kern w:val="0"/>
                <w:sz w:val="24"/>
              </w:rPr>
              <w:t>。</w:t>
            </w:r>
          </w:p>
          <w:p w14:paraId="768281B0">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imes New Roman" w:hAnsi="Times New Roman" w:eastAsia="仿宋" w:cs="Times New Roman"/>
                <w:b/>
                <w:color w:val="000000"/>
                <w:kern w:val="0"/>
                <w:szCs w:val="21"/>
              </w:rPr>
            </w:pPr>
            <w:r>
              <w:rPr>
                <w:rFonts w:hint="eastAsia" w:ascii="Times New Roman" w:hAnsi="Times New Roman" w:eastAsia="仿宋" w:cs="Times New Roman"/>
                <w:b/>
                <w:color w:val="000000"/>
                <w:kern w:val="0"/>
                <w:szCs w:val="21"/>
              </w:rPr>
              <w:t>表</w:t>
            </w:r>
            <w:r>
              <w:rPr>
                <w:rFonts w:hint="eastAsia" w:eastAsia="仿宋" w:cs="Times New Roman"/>
                <w:b/>
                <w:color w:val="000000"/>
                <w:kern w:val="0"/>
                <w:szCs w:val="21"/>
                <w:lang w:val="en-US" w:eastAsia="zh-CN"/>
              </w:rPr>
              <w:t>11</w:t>
            </w:r>
            <w:r>
              <w:rPr>
                <w:rFonts w:hint="eastAsia" w:ascii="Times New Roman" w:hAnsi="Times New Roman" w:eastAsia="仿宋" w:cs="Times New Roman"/>
                <w:b/>
                <w:color w:val="000000"/>
                <w:kern w:val="0"/>
                <w:szCs w:val="21"/>
                <w:lang w:val="en-US" w:eastAsia="zh-CN"/>
              </w:rPr>
              <w:t xml:space="preserve">  </w:t>
            </w:r>
            <w:r>
              <w:rPr>
                <w:rFonts w:hint="eastAsia" w:ascii="Times New Roman" w:hAnsi="Times New Roman" w:eastAsia="仿宋" w:cs="Times New Roman"/>
                <w:b/>
                <w:color w:val="000000"/>
                <w:kern w:val="0"/>
                <w:szCs w:val="21"/>
              </w:rPr>
              <w:t xml:space="preserve"> </w:t>
            </w:r>
            <w:r>
              <w:rPr>
                <w:rFonts w:hint="eastAsia" w:ascii="Times New Roman" w:hAnsi="Times New Roman" w:eastAsia="仿宋" w:cs="Times New Roman"/>
                <w:b/>
                <w:color w:val="000000"/>
                <w:kern w:val="0"/>
                <w:szCs w:val="21"/>
                <w:lang w:eastAsia="zh-CN"/>
              </w:rPr>
              <w:t>采</w:t>
            </w:r>
            <w:r>
              <w:rPr>
                <w:rFonts w:hint="eastAsia" w:ascii="Times New Roman" w:hAnsi="Times New Roman" w:eastAsia="仿宋" w:cs="Times New Roman"/>
                <w:b/>
                <w:color w:val="000000"/>
                <w:kern w:val="0"/>
                <w:szCs w:val="21"/>
              </w:rPr>
              <w:t>矿权范围坐标对照表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2978"/>
              <w:gridCol w:w="3251"/>
            </w:tblGrid>
            <w:tr w14:paraId="171781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2" w:hRule="atLeast"/>
                <w:jc w:val="center"/>
              </w:trPr>
              <w:tc>
                <w:tcPr>
                  <w:tcW w:w="1068" w:type="pct"/>
                  <w:vMerge w:val="restart"/>
                  <w:tcBorders>
                    <w:tl2br w:val="nil"/>
                    <w:tr2bl w:val="nil"/>
                  </w:tcBorders>
                  <w:noWrap/>
                  <w:vAlign w:val="center"/>
                </w:tcPr>
                <w:p w14:paraId="266428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aps w:val="0"/>
                      <w:smallCaps w:val="0"/>
                      <w:color w:val="000000"/>
                      <w:kern w:val="0"/>
                      <w:sz w:val="21"/>
                      <w:szCs w:val="21"/>
                    </w:rPr>
                  </w:pPr>
                  <w:r>
                    <w:rPr>
                      <w:rFonts w:hint="default" w:ascii="Times New Roman" w:hAnsi="Times New Roman" w:eastAsia="仿宋" w:cs="Times New Roman"/>
                      <w:caps w:val="0"/>
                      <w:smallCaps w:val="0"/>
                      <w:color w:val="000000"/>
                      <w:kern w:val="0"/>
                      <w:sz w:val="21"/>
                      <w:szCs w:val="21"/>
                    </w:rPr>
                    <w:t>拐点编号</w:t>
                  </w:r>
                </w:p>
              </w:tc>
              <w:tc>
                <w:tcPr>
                  <w:tcW w:w="3931" w:type="pct"/>
                  <w:gridSpan w:val="2"/>
                  <w:tcBorders>
                    <w:tl2br w:val="nil"/>
                    <w:tr2bl w:val="nil"/>
                  </w:tcBorders>
                  <w:noWrap/>
                  <w:vAlign w:val="center"/>
                </w:tcPr>
                <w:p w14:paraId="3FF658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aps w:val="0"/>
                      <w:smallCaps w:val="0"/>
                      <w:color w:val="000000"/>
                      <w:kern w:val="0"/>
                      <w:sz w:val="21"/>
                      <w:szCs w:val="21"/>
                    </w:rPr>
                  </w:pPr>
                  <w:r>
                    <w:rPr>
                      <w:rFonts w:hint="default" w:ascii="Times New Roman" w:hAnsi="Times New Roman" w:eastAsia="仿宋" w:cs="Times New Roman"/>
                      <w:caps w:val="0"/>
                      <w:smallCaps w:val="0"/>
                      <w:color w:val="000000"/>
                      <w:kern w:val="0"/>
                      <w:sz w:val="21"/>
                      <w:szCs w:val="21"/>
                    </w:rPr>
                    <w:t>2000国家大地坐标系</w:t>
                  </w:r>
                </w:p>
              </w:tc>
            </w:tr>
            <w:tr w14:paraId="2A5129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2" w:hRule="atLeast"/>
                <w:jc w:val="center"/>
              </w:trPr>
              <w:tc>
                <w:tcPr>
                  <w:tcW w:w="1068" w:type="pct"/>
                  <w:vMerge w:val="continue"/>
                  <w:tcBorders>
                    <w:tl2br w:val="nil"/>
                    <w:tr2bl w:val="nil"/>
                  </w:tcBorders>
                  <w:noWrap w:val="0"/>
                  <w:vAlign w:val="center"/>
                </w:tcPr>
                <w:p w14:paraId="0B88B1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仿宋" w:cs="Times New Roman"/>
                      <w:caps w:val="0"/>
                      <w:smallCaps w:val="0"/>
                      <w:color w:val="000000"/>
                      <w:kern w:val="0"/>
                      <w:sz w:val="21"/>
                      <w:szCs w:val="21"/>
                    </w:rPr>
                  </w:pPr>
                </w:p>
              </w:tc>
              <w:tc>
                <w:tcPr>
                  <w:tcW w:w="1880" w:type="pct"/>
                  <w:tcBorders>
                    <w:tl2br w:val="nil"/>
                    <w:tr2bl w:val="nil"/>
                  </w:tcBorders>
                  <w:noWrap w:val="0"/>
                  <w:vAlign w:val="center"/>
                </w:tcPr>
                <w:p w14:paraId="45B66A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aps w:val="0"/>
                      <w:smallCaps w:val="0"/>
                      <w:color w:val="000000"/>
                      <w:kern w:val="0"/>
                      <w:sz w:val="21"/>
                      <w:szCs w:val="21"/>
                    </w:rPr>
                  </w:pPr>
                  <w:r>
                    <w:rPr>
                      <w:rFonts w:hint="default" w:ascii="Times New Roman" w:hAnsi="Times New Roman" w:eastAsia="仿宋" w:cs="Times New Roman"/>
                      <w:caps w:val="0"/>
                      <w:smallCaps w:val="0"/>
                      <w:color w:val="000000"/>
                      <w:kern w:val="0"/>
                      <w:sz w:val="21"/>
                      <w:szCs w:val="21"/>
                    </w:rPr>
                    <w:t>X</w:t>
                  </w:r>
                </w:p>
              </w:tc>
              <w:tc>
                <w:tcPr>
                  <w:tcW w:w="2050" w:type="pct"/>
                  <w:tcBorders>
                    <w:tl2br w:val="nil"/>
                    <w:tr2bl w:val="nil"/>
                  </w:tcBorders>
                  <w:noWrap w:val="0"/>
                  <w:vAlign w:val="center"/>
                </w:tcPr>
                <w:p w14:paraId="46E5DD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aps w:val="0"/>
                      <w:smallCaps w:val="0"/>
                      <w:color w:val="000000"/>
                      <w:kern w:val="0"/>
                      <w:sz w:val="21"/>
                      <w:szCs w:val="21"/>
                    </w:rPr>
                  </w:pPr>
                  <w:r>
                    <w:rPr>
                      <w:rFonts w:hint="default" w:ascii="Times New Roman" w:hAnsi="Times New Roman" w:eastAsia="仿宋" w:cs="Times New Roman"/>
                      <w:caps w:val="0"/>
                      <w:smallCaps w:val="0"/>
                      <w:color w:val="000000"/>
                      <w:kern w:val="0"/>
                      <w:sz w:val="21"/>
                      <w:szCs w:val="21"/>
                    </w:rPr>
                    <w:t>Y</w:t>
                  </w:r>
                </w:p>
              </w:tc>
            </w:tr>
            <w:tr w14:paraId="2C5CEC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2" w:hRule="atLeast"/>
                <w:jc w:val="center"/>
              </w:trPr>
              <w:tc>
                <w:tcPr>
                  <w:tcW w:w="1068" w:type="pct"/>
                  <w:tcBorders>
                    <w:tl2br w:val="nil"/>
                    <w:tr2bl w:val="nil"/>
                  </w:tcBorders>
                  <w:noWrap/>
                  <w:vAlign w:val="center"/>
                </w:tcPr>
                <w:p w14:paraId="101D61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aps w:val="0"/>
                      <w:smallCaps w:val="0"/>
                      <w:color w:val="000000"/>
                      <w:kern w:val="0"/>
                      <w:sz w:val="21"/>
                      <w:szCs w:val="21"/>
                    </w:rPr>
                  </w:pPr>
                  <w:r>
                    <w:rPr>
                      <w:rFonts w:hint="default" w:ascii="Times New Roman" w:hAnsi="Times New Roman" w:eastAsia="仿宋" w:cs="Times New Roman"/>
                      <w:caps w:val="0"/>
                      <w:smallCaps w:val="0"/>
                      <w:color w:val="000000"/>
                      <w:kern w:val="0"/>
                      <w:sz w:val="21"/>
                      <w:szCs w:val="21"/>
                    </w:rPr>
                    <w:t>1</w:t>
                  </w:r>
                </w:p>
              </w:tc>
              <w:tc>
                <w:tcPr>
                  <w:tcW w:w="2952" w:type="dxa"/>
                  <w:tcBorders>
                    <w:tl2br w:val="nil"/>
                    <w:tr2bl w:val="nil"/>
                  </w:tcBorders>
                  <w:noWrap w:val="0"/>
                  <w:vAlign w:val="center"/>
                </w:tcPr>
                <w:p w14:paraId="3A3A5BA8">
                  <w:pPr>
                    <w:spacing w:line="320" w:lineRule="exact"/>
                    <w:jc w:val="center"/>
                    <w:rPr>
                      <w:rFonts w:hint="default" w:ascii="Times New Roman" w:hAnsi="Times New Roman" w:eastAsia="仿宋" w:cs="Times New Roman"/>
                      <w:caps w:val="0"/>
                      <w:smallCaps w:val="0"/>
                      <w:color w:val="000000"/>
                      <w:kern w:val="0"/>
                      <w:sz w:val="21"/>
                      <w:szCs w:val="21"/>
                      <w:lang w:val="en-US" w:eastAsia="zh-CN"/>
                    </w:rPr>
                  </w:pPr>
                  <w:r>
                    <w:rPr>
                      <w:rFonts w:hint="default" w:ascii="Times New Roman" w:hAnsi="Times New Roman" w:eastAsia="宋体" w:cs="Times New Roman"/>
                      <w:color w:val="auto"/>
                      <w:szCs w:val="21"/>
                    </w:rPr>
                    <w:t>4371121.18</w:t>
                  </w:r>
                </w:p>
              </w:tc>
              <w:tc>
                <w:tcPr>
                  <w:tcW w:w="3223" w:type="dxa"/>
                  <w:tcBorders>
                    <w:tl2br w:val="nil"/>
                    <w:tr2bl w:val="nil"/>
                  </w:tcBorders>
                  <w:noWrap w:val="0"/>
                  <w:vAlign w:val="center"/>
                </w:tcPr>
                <w:p w14:paraId="163EADED">
                  <w:pPr>
                    <w:spacing w:line="320" w:lineRule="exact"/>
                    <w:jc w:val="center"/>
                    <w:rPr>
                      <w:rFonts w:hint="default" w:ascii="Times New Roman" w:hAnsi="Times New Roman" w:eastAsia="仿宋" w:cs="Times New Roman"/>
                      <w:caps w:val="0"/>
                      <w:smallCaps w:val="0"/>
                      <w:color w:val="000000"/>
                      <w:kern w:val="0"/>
                      <w:sz w:val="21"/>
                      <w:szCs w:val="21"/>
                      <w:lang w:val="en-US" w:eastAsia="zh-CN"/>
                    </w:rPr>
                  </w:pPr>
                  <w:r>
                    <w:rPr>
                      <w:rFonts w:hint="default" w:ascii="Times New Roman" w:hAnsi="Times New Roman" w:eastAsia="宋体" w:cs="Times New Roman"/>
                      <w:color w:val="auto"/>
                      <w:szCs w:val="21"/>
                    </w:rPr>
                    <w:t>33595567.94</w:t>
                  </w:r>
                </w:p>
              </w:tc>
            </w:tr>
            <w:tr w14:paraId="713D87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2" w:hRule="atLeast"/>
                <w:jc w:val="center"/>
              </w:trPr>
              <w:tc>
                <w:tcPr>
                  <w:tcW w:w="1068" w:type="pct"/>
                  <w:tcBorders>
                    <w:tl2br w:val="nil"/>
                    <w:tr2bl w:val="nil"/>
                  </w:tcBorders>
                  <w:noWrap/>
                  <w:vAlign w:val="center"/>
                </w:tcPr>
                <w:p w14:paraId="414FC9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aps w:val="0"/>
                      <w:smallCaps w:val="0"/>
                      <w:color w:val="000000"/>
                      <w:kern w:val="0"/>
                      <w:sz w:val="21"/>
                      <w:szCs w:val="21"/>
                    </w:rPr>
                  </w:pPr>
                  <w:r>
                    <w:rPr>
                      <w:rFonts w:hint="default" w:ascii="Times New Roman" w:hAnsi="Times New Roman" w:eastAsia="仿宋" w:cs="Times New Roman"/>
                      <w:caps w:val="0"/>
                      <w:smallCaps w:val="0"/>
                      <w:color w:val="000000"/>
                      <w:kern w:val="0"/>
                      <w:sz w:val="21"/>
                      <w:szCs w:val="21"/>
                    </w:rPr>
                    <w:t>2</w:t>
                  </w:r>
                </w:p>
              </w:tc>
              <w:tc>
                <w:tcPr>
                  <w:tcW w:w="2952" w:type="dxa"/>
                  <w:tcBorders>
                    <w:tl2br w:val="nil"/>
                    <w:tr2bl w:val="nil"/>
                  </w:tcBorders>
                  <w:noWrap w:val="0"/>
                  <w:vAlign w:val="center"/>
                </w:tcPr>
                <w:p w14:paraId="1E8C830C">
                  <w:pPr>
                    <w:spacing w:line="320" w:lineRule="exact"/>
                    <w:jc w:val="center"/>
                    <w:rPr>
                      <w:rFonts w:hint="default" w:ascii="Times New Roman" w:hAnsi="Times New Roman" w:eastAsia="仿宋" w:cs="Times New Roman"/>
                      <w:caps w:val="0"/>
                      <w:smallCaps w:val="0"/>
                      <w:color w:val="000000"/>
                      <w:kern w:val="0"/>
                      <w:sz w:val="21"/>
                      <w:szCs w:val="21"/>
                      <w:lang w:val="en-US" w:eastAsia="zh-CN"/>
                    </w:rPr>
                  </w:pPr>
                  <w:r>
                    <w:rPr>
                      <w:rFonts w:hint="default" w:ascii="Times New Roman" w:hAnsi="Times New Roman" w:eastAsia="宋体" w:cs="Times New Roman"/>
                      <w:color w:val="auto"/>
                      <w:szCs w:val="21"/>
                    </w:rPr>
                    <w:t>4371121.18</w:t>
                  </w:r>
                </w:p>
              </w:tc>
              <w:tc>
                <w:tcPr>
                  <w:tcW w:w="3223" w:type="dxa"/>
                  <w:tcBorders>
                    <w:tl2br w:val="nil"/>
                    <w:tr2bl w:val="nil"/>
                  </w:tcBorders>
                  <w:noWrap w:val="0"/>
                  <w:vAlign w:val="center"/>
                </w:tcPr>
                <w:p w14:paraId="47F3D8F2">
                  <w:pPr>
                    <w:spacing w:line="320" w:lineRule="exact"/>
                    <w:jc w:val="center"/>
                    <w:rPr>
                      <w:rFonts w:hint="default" w:ascii="Times New Roman" w:hAnsi="Times New Roman" w:eastAsia="仿宋" w:cs="Times New Roman"/>
                      <w:caps w:val="0"/>
                      <w:smallCaps w:val="0"/>
                      <w:color w:val="000000"/>
                      <w:kern w:val="0"/>
                      <w:sz w:val="21"/>
                      <w:szCs w:val="21"/>
                      <w:lang w:val="en-US" w:eastAsia="zh-CN"/>
                    </w:rPr>
                  </w:pPr>
                  <w:r>
                    <w:rPr>
                      <w:rFonts w:hint="default" w:ascii="Times New Roman" w:hAnsi="Times New Roman" w:eastAsia="宋体" w:cs="Times New Roman"/>
                      <w:color w:val="auto"/>
                      <w:szCs w:val="21"/>
                    </w:rPr>
                    <w:t>33596000.00</w:t>
                  </w:r>
                </w:p>
              </w:tc>
            </w:tr>
            <w:tr w14:paraId="3711DE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2" w:hRule="atLeast"/>
                <w:jc w:val="center"/>
              </w:trPr>
              <w:tc>
                <w:tcPr>
                  <w:tcW w:w="1068" w:type="pct"/>
                  <w:tcBorders>
                    <w:tl2br w:val="nil"/>
                    <w:tr2bl w:val="nil"/>
                  </w:tcBorders>
                  <w:noWrap/>
                  <w:vAlign w:val="center"/>
                </w:tcPr>
                <w:p w14:paraId="508163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aps w:val="0"/>
                      <w:smallCaps w:val="0"/>
                      <w:color w:val="000000"/>
                      <w:kern w:val="0"/>
                      <w:sz w:val="21"/>
                      <w:szCs w:val="21"/>
                    </w:rPr>
                  </w:pPr>
                  <w:r>
                    <w:rPr>
                      <w:rFonts w:hint="default" w:ascii="Times New Roman" w:hAnsi="Times New Roman" w:eastAsia="仿宋" w:cs="Times New Roman"/>
                      <w:caps w:val="0"/>
                      <w:smallCaps w:val="0"/>
                      <w:color w:val="000000"/>
                      <w:kern w:val="0"/>
                      <w:sz w:val="21"/>
                      <w:szCs w:val="21"/>
                    </w:rPr>
                    <w:t>3</w:t>
                  </w:r>
                </w:p>
              </w:tc>
              <w:tc>
                <w:tcPr>
                  <w:tcW w:w="2952" w:type="dxa"/>
                  <w:tcBorders>
                    <w:tl2br w:val="nil"/>
                    <w:tr2bl w:val="nil"/>
                  </w:tcBorders>
                  <w:noWrap w:val="0"/>
                  <w:vAlign w:val="center"/>
                </w:tcPr>
                <w:p w14:paraId="1A0DB474">
                  <w:pPr>
                    <w:spacing w:line="320" w:lineRule="exact"/>
                    <w:jc w:val="center"/>
                    <w:rPr>
                      <w:rFonts w:hint="default" w:ascii="Times New Roman" w:hAnsi="Times New Roman" w:eastAsia="仿宋" w:cs="Times New Roman"/>
                      <w:caps w:val="0"/>
                      <w:smallCaps w:val="0"/>
                      <w:color w:val="000000"/>
                      <w:kern w:val="0"/>
                      <w:sz w:val="21"/>
                      <w:szCs w:val="21"/>
                      <w:lang w:val="en-US" w:eastAsia="zh-CN"/>
                    </w:rPr>
                  </w:pPr>
                  <w:r>
                    <w:rPr>
                      <w:rFonts w:hint="default" w:ascii="Times New Roman" w:hAnsi="Times New Roman" w:eastAsia="宋体" w:cs="Times New Roman"/>
                      <w:color w:val="auto"/>
                      <w:szCs w:val="21"/>
                    </w:rPr>
                    <w:t>4371229.8</w:t>
                  </w:r>
                  <w:r>
                    <w:rPr>
                      <w:rFonts w:hint="default" w:ascii="Times New Roman" w:hAnsi="Times New Roman" w:eastAsia="宋体" w:cs="Times New Roman"/>
                      <w:color w:val="auto"/>
                      <w:szCs w:val="21"/>
                      <w:lang w:val="en-US" w:eastAsia="zh-CN"/>
                    </w:rPr>
                    <w:t>4</w:t>
                  </w:r>
                </w:p>
              </w:tc>
              <w:tc>
                <w:tcPr>
                  <w:tcW w:w="3223" w:type="dxa"/>
                  <w:tcBorders>
                    <w:tl2br w:val="nil"/>
                    <w:tr2bl w:val="nil"/>
                  </w:tcBorders>
                  <w:noWrap w:val="0"/>
                  <w:vAlign w:val="center"/>
                </w:tcPr>
                <w:p w14:paraId="66E51D52">
                  <w:pPr>
                    <w:spacing w:line="320" w:lineRule="exact"/>
                    <w:jc w:val="center"/>
                    <w:rPr>
                      <w:rFonts w:hint="default" w:ascii="Times New Roman" w:hAnsi="Times New Roman" w:eastAsia="仿宋" w:cs="Times New Roman"/>
                      <w:caps w:val="0"/>
                      <w:smallCaps w:val="0"/>
                      <w:color w:val="000000"/>
                      <w:kern w:val="0"/>
                      <w:sz w:val="21"/>
                      <w:szCs w:val="21"/>
                      <w:lang w:val="en-US" w:eastAsia="zh-CN"/>
                    </w:rPr>
                  </w:pPr>
                  <w:r>
                    <w:rPr>
                      <w:rFonts w:hint="default" w:ascii="Times New Roman" w:hAnsi="Times New Roman" w:eastAsia="宋体" w:cs="Times New Roman"/>
                      <w:color w:val="auto"/>
                      <w:szCs w:val="21"/>
                    </w:rPr>
                    <w:t>33596138.78</w:t>
                  </w:r>
                </w:p>
              </w:tc>
            </w:tr>
            <w:tr w14:paraId="715D19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2" w:hRule="atLeast"/>
                <w:jc w:val="center"/>
              </w:trPr>
              <w:tc>
                <w:tcPr>
                  <w:tcW w:w="1068" w:type="pct"/>
                  <w:tcBorders>
                    <w:tl2br w:val="nil"/>
                    <w:tr2bl w:val="nil"/>
                  </w:tcBorders>
                  <w:noWrap/>
                  <w:vAlign w:val="center"/>
                </w:tcPr>
                <w:p w14:paraId="054DB8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aps w:val="0"/>
                      <w:smallCaps w:val="0"/>
                      <w:color w:val="000000"/>
                      <w:kern w:val="0"/>
                      <w:sz w:val="21"/>
                      <w:szCs w:val="21"/>
                    </w:rPr>
                  </w:pPr>
                  <w:r>
                    <w:rPr>
                      <w:rFonts w:hint="default" w:ascii="Times New Roman" w:hAnsi="Times New Roman" w:eastAsia="仿宋" w:cs="Times New Roman"/>
                      <w:caps w:val="0"/>
                      <w:smallCaps w:val="0"/>
                      <w:color w:val="000000"/>
                      <w:kern w:val="0"/>
                      <w:sz w:val="21"/>
                      <w:szCs w:val="21"/>
                    </w:rPr>
                    <w:t>4</w:t>
                  </w:r>
                </w:p>
              </w:tc>
              <w:tc>
                <w:tcPr>
                  <w:tcW w:w="2952" w:type="dxa"/>
                  <w:tcBorders>
                    <w:tl2br w:val="nil"/>
                    <w:tr2bl w:val="nil"/>
                  </w:tcBorders>
                  <w:noWrap w:val="0"/>
                  <w:vAlign w:val="center"/>
                </w:tcPr>
                <w:p w14:paraId="79A3FF94">
                  <w:pPr>
                    <w:spacing w:line="320" w:lineRule="exact"/>
                    <w:jc w:val="center"/>
                    <w:rPr>
                      <w:rFonts w:hint="default" w:ascii="Times New Roman" w:hAnsi="Times New Roman" w:eastAsia="仿宋" w:cs="Times New Roman"/>
                      <w:caps w:val="0"/>
                      <w:smallCaps w:val="0"/>
                      <w:color w:val="000000"/>
                      <w:kern w:val="0"/>
                      <w:sz w:val="21"/>
                      <w:szCs w:val="21"/>
                      <w:lang w:val="en-US" w:eastAsia="zh-CN"/>
                    </w:rPr>
                  </w:pPr>
                  <w:r>
                    <w:rPr>
                      <w:rFonts w:hint="default" w:ascii="Times New Roman" w:hAnsi="Times New Roman" w:eastAsia="宋体" w:cs="Times New Roman"/>
                      <w:color w:val="auto"/>
                      <w:szCs w:val="21"/>
                    </w:rPr>
                    <w:t>4371239.25</w:t>
                  </w:r>
                </w:p>
              </w:tc>
              <w:tc>
                <w:tcPr>
                  <w:tcW w:w="3223" w:type="dxa"/>
                  <w:tcBorders>
                    <w:tl2br w:val="nil"/>
                    <w:tr2bl w:val="nil"/>
                  </w:tcBorders>
                  <w:noWrap w:val="0"/>
                  <w:vAlign w:val="center"/>
                </w:tcPr>
                <w:p w14:paraId="562A216E">
                  <w:pPr>
                    <w:spacing w:line="320" w:lineRule="exact"/>
                    <w:jc w:val="center"/>
                    <w:rPr>
                      <w:rFonts w:hint="default" w:ascii="Times New Roman" w:hAnsi="Times New Roman" w:eastAsia="仿宋" w:cs="Times New Roman"/>
                      <w:caps w:val="0"/>
                      <w:smallCaps w:val="0"/>
                      <w:color w:val="000000"/>
                      <w:kern w:val="0"/>
                      <w:sz w:val="21"/>
                      <w:szCs w:val="21"/>
                      <w:lang w:val="en-US" w:eastAsia="zh-CN"/>
                    </w:rPr>
                  </w:pPr>
                  <w:r>
                    <w:rPr>
                      <w:rFonts w:hint="default" w:ascii="Times New Roman" w:hAnsi="Times New Roman" w:eastAsia="宋体" w:cs="Times New Roman"/>
                      <w:color w:val="auto"/>
                      <w:szCs w:val="21"/>
                    </w:rPr>
                    <w:t>33596467.95</w:t>
                  </w:r>
                </w:p>
              </w:tc>
            </w:tr>
            <w:tr w14:paraId="0D9D01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2" w:hRule="atLeast"/>
                <w:jc w:val="center"/>
              </w:trPr>
              <w:tc>
                <w:tcPr>
                  <w:tcW w:w="1068" w:type="pct"/>
                  <w:tcBorders>
                    <w:tl2br w:val="nil"/>
                    <w:tr2bl w:val="nil"/>
                  </w:tcBorders>
                  <w:noWrap/>
                  <w:vAlign w:val="center"/>
                </w:tcPr>
                <w:p w14:paraId="576E09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仿宋" w:cs="Times New Roman"/>
                      <w:caps w:val="0"/>
                      <w:smallCaps w:val="0"/>
                      <w:color w:val="000000"/>
                      <w:kern w:val="0"/>
                      <w:sz w:val="21"/>
                      <w:szCs w:val="21"/>
                      <w:lang w:val="en-US" w:eastAsia="zh-CN"/>
                    </w:rPr>
                  </w:pPr>
                  <w:r>
                    <w:rPr>
                      <w:rFonts w:hint="eastAsia" w:eastAsia="仿宋" w:cs="Times New Roman"/>
                      <w:caps w:val="0"/>
                      <w:smallCaps w:val="0"/>
                      <w:color w:val="000000"/>
                      <w:kern w:val="0"/>
                      <w:sz w:val="21"/>
                      <w:szCs w:val="21"/>
                      <w:lang w:val="en-US" w:eastAsia="zh-CN"/>
                    </w:rPr>
                    <w:t>5</w:t>
                  </w:r>
                </w:p>
              </w:tc>
              <w:tc>
                <w:tcPr>
                  <w:tcW w:w="2952" w:type="dxa"/>
                  <w:tcBorders>
                    <w:tl2br w:val="nil"/>
                    <w:tr2bl w:val="nil"/>
                  </w:tcBorders>
                  <w:noWrap w:val="0"/>
                  <w:vAlign w:val="center"/>
                </w:tcPr>
                <w:p w14:paraId="703F19EA">
                  <w:pPr>
                    <w:spacing w:line="320" w:lineRule="exact"/>
                    <w:jc w:val="center"/>
                    <w:rPr>
                      <w:rFonts w:hint="default" w:ascii="Times New Roman" w:hAnsi="Times New Roman" w:eastAsia="仿宋" w:cs="Times New Roman"/>
                      <w:caps w:val="0"/>
                      <w:smallCaps w:val="0"/>
                      <w:color w:val="000000"/>
                      <w:kern w:val="0"/>
                      <w:sz w:val="21"/>
                      <w:szCs w:val="21"/>
                      <w:lang w:val="en-US" w:eastAsia="zh-CN"/>
                    </w:rPr>
                  </w:pPr>
                  <w:r>
                    <w:rPr>
                      <w:rFonts w:hint="default" w:ascii="Times New Roman" w:hAnsi="Times New Roman" w:eastAsia="宋体" w:cs="Times New Roman"/>
                      <w:color w:val="auto"/>
                      <w:szCs w:val="21"/>
                    </w:rPr>
                    <w:t>4370661.18</w:t>
                  </w:r>
                </w:p>
              </w:tc>
              <w:tc>
                <w:tcPr>
                  <w:tcW w:w="3223" w:type="dxa"/>
                  <w:tcBorders>
                    <w:tl2br w:val="nil"/>
                    <w:tr2bl w:val="nil"/>
                  </w:tcBorders>
                  <w:noWrap w:val="0"/>
                  <w:vAlign w:val="center"/>
                </w:tcPr>
                <w:p w14:paraId="7026C156">
                  <w:pPr>
                    <w:spacing w:line="320" w:lineRule="exact"/>
                    <w:jc w:val="center"/>
                    <w:rPr>
                      <w:rFonts w:hint="default" w:ascii="Times New Roman" w:hAnsi="Times New Roman" w:eastAsia="仿宋" w:cs="Times New Roman"/>
                      <w:caps w:val="0"/>
                      <w:smallCaps w:val="0"/>
                      <w:color w:val="000000"/>
                      <w:kern w:val="0"/>
                      <w:sz w:val="21"/>
                      <w:szCs w:val="21"/>
                      <w:lang w:val="en-US" w:eastAsia="zh-CN"/>
                    </w:rPr>
                  </w:pPr>
                  <w:r>
                    <w:rPr>
                      <w:rFonts w:hint="default" w:ascii="Times New Roman" w:hAnsi="Times New Roman" w:eastAsia="宋体" w:cs="Times New Roman"/>
                      <w:color w:val="auto"/>
                      <w:szCs w:val="21"/>
                    </w:rPr>
                    <w:t>33596467.95</w:t>
                  </w:r>
                </w:p>
              </w:tc>
            </w:tr>
            <w:tr w14:paraId="0C3B0B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2" w:hRule="atLeast"/>
                <w:jc w:val="center"/>
              </w:trPr>
              <w:tc>
                <w:tcPr>
                  <w:tcW w:w="1068" w:type="pct"/>
                  <w:tcBorders>
                    <w:tl2br w:val="nil"/>
                    <w:tr2bl w:val="nil"/>
                  </w:tcBorders>
                  <w:noWrap/>
                  <w:vAlign w:val="center"/>
                </w:tcPr>
                <w:p w14:paraId="645DDD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仿宋" w:cs="Times New Roman"/>
                      <w:caps w:val="0"/>
                      <w:smallCaps w:val="0"/>
                      <w:color w:val="000000"/>
                      <w:kern w:val="0"/>
                      <w:sz w:val="21"/>
                      <w:szCs w:val="21"/>
                      <w:lang w:val="en-US" w:eastAsia="zh-CN"/>
                    </w:rPr>
                  </w:pPr>
                  <w:r>
                    <w:rPr>
                      <w:rFonts w:hint="eastAsia" w:eastAsia="仿宋" w:cs="Times New Roman"/>
                      <w:caps w:val="0"/>
                      <w:smallCaps w:val="0"/>
                      <w:color w:val="000000"/>
                      <w:kern w:val="0"/>
                      <w:sz w:val="21"/>
                      <w:szCs w:val="21"/>
                      <w:lang w:val="en-US" w:eastAsia="zh-CN"/>
                    </w:rPr>
                    <w:t>6</w:t>
                  </w:r>
                </w:p>
              </w:tc>
              <w:tc>
                <w:tcPr>
                  <w:tcW w:w="2952" w:type="dxa"/>
                  <w:tcBorders>
                    <w:tl2br w:val="nil"/>
                    <w:tr2bl w:val="nil"/>
                  </w:tcBorders>
                  <w:noWrap w:val="0"/>
                  <w:vAlign w:val="center"/>
                </w:tcPr>
                <w:p w14:paraId="02A0F382">
                  <w:pPr>
                    <w:spacing w:line="320" w:lineRule="exact"/>
                    <w:jc w:val="center"/>
                    <w:rPr>
                      <w:rFonts w:hint="eastAsia" w:eastAsia="仿宋" w:cs="Times New Roman"/>
                      <w:caps w:val="0"/>
                      <w:smallCaps w:val="0"/>
                      <w:color w:val="000000"/>
                      <w:kern w:val="0"/>
                      <w:sz w:val="21"/>
                      <w:szCs w:val="21"/>
                      <w:lang w:val="en-US" w:eastAsia="zh-CN"/>
                    </w:rPr>
                  </w:pPr>
                  <w:r>
                    <w:rPr>
                      <w:rFonts w:hint="default" w:ascii="Times New Roman" w:hAnsi="Times New Roman" w:eastAsia="宋体" w:cs="Times New Roman"/>
                      <w:color w:val="auto"/>
                      <w:szCs w:val="21"/>
                    </w:rPr>
                    <w:t>4370661.18</w:t>
                  </w:r>
                </w:p>
              </w:tc>
              <w:tc>
                <w:tcPr>
                  <w:tcW w:w="3223" w:type="dxa"/>
                  <w:tcBorders>
                    <w:tl2br w:val="nil"/>
                    <w:tr2bl w:val="nil"/>
                  </w:tcBorders>
                  <w:noWrap w:val="0"/>
                  <w:vAlign w:val="center"/>
                </w:tcPr>
                <w:p w14:paraId="11D55FC6">
                  <w:pPr>
                    <w:spacing w:line="320" w:lineRule="exact"/>
                    <w:jc w:val="center"/>
                    <w:rPr>
                      <w:rFonts w:hint="eastAsia" w:eastAsia="仿宋" w:cs="Times New Roman"/>
                      <w:caps w:val="0"/>
                      <w:smallCaps w:val="0"/>
                      <w:color w:val="000000"/>
                      <w:kern w:val="0"/>
                      <w:sz w:val="21"/>
                      <w:szCs w:val="21"/>
                      <w:lang w:val="en-US" w:eastAsia="zh-CN"/>
                    </w:rPr>
                  </w:pPr>
                  <w:r>
                    <w:rPr>
                      <w:rFonts w:hint="default" w:ascii="Times New Roman" w:hAnsi="Times New Roman" w:eastAsia="宋体" w:cs="Times New Roman"/>
                      <w:color w:val="auto"/>
                      <w:szCs w:val="21"/>
                    </w:rPr>
                    <w:t>33595567.94</w:t>
                  </w:r>
                </w:p>
              </w:tc>
            </w:tr>
            <w:tr w14:paraId="06409E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2" w:hRule="atLeast"/>
                <w:jc w:val="center"/>
              </w:trPr>
              <w:tc>
                <w:tcPr>
                  <w:tcW w:w="5000" w:type="pct"/>
                  <w:gridSpan w:val="3"/>
                  <w:tcBorders>
                    <w:tl2br w:val="nil"/>
                    <w:tr2bl w:val="nil"/>
                  </w:tcBorders>
                  <w:shd w:val="clear" w:color="auto" w:fill="auto"/>
                  <w:noWrap/>
                  <w:vAlign w:val="center"/>
                </w:tcPr>
                <w:p w14:paraId="171156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仿宋" w:cs="Times New Roman"/>
                      <w:caps w:val="0"/>
                      <w:smallCaps w:val="0"/>
                      <w:color w:val="000000"/>
                      <w:kern w:val="0"/>
                      <w:sz w:val="21"/>
                      <w:szCs w:val="21"/>
                      <w:lang w:val="en-US" w:eastAsia="zh-CN" w:bidi="ar-SA"/>
                    </w:rPr>
                  </w:pPr>
                  <w:r>
                    <w:rPr>
                      <w:rFonts w:hint="eastAsia" w:ascii="Times New Roman" w:hAnsi="Times New Roman" w:eastAsia="仿宋" w:cs="Times New Roman"/>
                      <w:caps w:val="0"/>
                      <w:smallCaps w:val="0"/>
                      <w:color w:val="000000"/>
                      <w:kern w:val="0"/>
                      <w:sz w:val="21"/>
                      <w:szCs w:val="21"/>
                      <w:lang w:val="en-US" w:eastAsia="zh-CN"/>
                    </w:rPr>
                    <w:t>开采深度：</w:t>
                  </w:r>
                  <w:r>
                    <w:rPr>
                      <w:rFonts w:hint="eastAsia" w:eastAsia="仿宋" w:cs="Times New Roman"/>
                      <w:caps w:val="0"/>
                      <w:smallCaps w:val="0"/>
                      <w:color w:val="000000"/>
                      <w:kern w:val="0"/>
                      <w:sz w:val="21"/>
                      <w:szCs w:val="21"/>
                      <w:lang w:val="en-US" w:eastAsia="zh-CN"/>
                    </w:rPr>
                    <w:t>1509</w:t>
                  </w:r>
                  <w:r>
                    <w:rPr>
                      <w:rFonts w:hint="eastAsia" w:ascii="Times New Roman" w:hAnsi="Times New Roman" w:eastAsia="仿宋" w:cs="Times New Roman"/>
                      <w:caps w:val="0"/>
                      <w:smallCaps w:val="0"/>
                      <w:color w:val="000000"/>
                      <w:kern w:val="0"/>
                      <w:sz w:val="21"/>
                      <w:szCs w:val="21"/>
                      <w:lang w:val="en-US" w:eastAsia="zh-CN"/>
                    </w:rPr>
                    <w:t>m至</w:t>
                  </w:r>
                  <w:r>
                    <w:rPr>
                      <w:rFonts w:hint="eastAsia" w:eastAsia="仿宋" w:cs="Times New Roman"/>
                      <w:caps w:val="0"/>
                      <w:smallCaps w:val="0"/>
                      <w:color w:val="000000"/>
                      <w:kern w:val="0"/>
                      <w:sz w:val="21"/>
                      <w:szCs w:val="21"/>
                      <w:lang w:val="en-US" w:eastAsia="zh-CN"/>
                    </w:rPr>
                    <w:t>1397</w:t>
                  </w:r>
                  <w:r>
                    <w:rPr>
                      <w:rFonts w:hint="eastAsia" w:ascii="Times New Roman" w:hAnsi="Times New Roman" w:eastAsia="仿宋" w:cs="Times New Roman"/>
                      <w:caps w:val="0"/>
                      <w:smallCaps w:val="0"/>
                      <w:color w:val="000000"/>
                      <w:kern w:val="0"/>
                      <w:sz w:val="21"/>
                      <w:szCs w:val="21"/>
                      <w:lang w:val="en-US" w:eastAsia="zh-CN"/>
                    </w:rPr>
                    <w:t>m</w:t>
                  </w:r>
                </w:p>
              </w:tc>
            </w:tr>
          </w:tbl>
          <w:p w14:paraId="65C01B96">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⑵</w:t>
            </w:r>
            <w:r>
              <w:rPr>
                <w:rFonts w:hint="eastAsia" w:ascii="Times New Roman" w:hAnsi="Times New Roman" w:eastAsia="仿宋" w:cs="Times New Roman"/>
                <w:color w:val="auto"/>
                <w:sz w:val="24"/>
                <w:highlight w:val="none"/>
                <w:lang w:val="en-US" w:eastAsia="zh-CN"/>
              </w:rPr>
              <w:t>矿产资源储量</w:t>
            </w:r>
          </w:p>
          <w:p w14:paraId="2D63E2FE">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由宁夏矿业开发有限责任公司最终提交的《甘肃省临泽县平川镇羊圈湾冶金用石英岩矿资源储量核实报告》可知，截至2025年11月30日</w:t>
            </w:r>
            <w:r>
              <w:rPr>
                <w:rFonts w:hint="eastAsia"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核实区内估算石英岩矿石总资源量</w:t>
            </w:r>
            <w:r>
              <w:rPr>
                <w:rFonts w:hint="eastAsia"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控制+推断</w:t>
            </w:r>
            <w:r>
              <w:rPr>
                <w:rFonts w:hint="eastAsia"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121.90</w:t>
            </w:r>
            <w:r>
              <w:rPr>
                <w:rFonts w:hint="eastAsia"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10</w:t>
            </w:r>
            <w:r>
              <w:rPr>
                <w:rFonts w:hint="default" w:ascii="Times New Roman" w:hAnsi="Times New Roman" w:eastAsia="仿宋" w:cs="Times New Roman"/>
                <w:color w:val="auto"/>
                <w:sz w:val="24"/>
                <w:highlight w:val="none"/>
                <w:vertAlign w:val="superscript"/>
                <w:lang w:val="en-US" w:eastAsia="zh-CN"/>
              </w:rPr>
              <w:t>4</w:t>
            </w:r>
            <w:r>
              <w:rPr>
                <w:rFonts w:hint="default" w:ascii="Times New Roman" w:hAnsi="Times New Roman" w:eastAsia="仿宋" w:cs="Times New Roman"/>
                <w:color w:val="auto"/>
                <w:sz w:val="24"/>
                <w:highlight w:val="none"/>
                <w:lang w:val="en-US" w:eastAsia="zh-CN"/>
              </w:rPr>
              <w:t>t，其中动用源储量6.49</w:t>
            </w:r>
            <w:r>
              <w:rPr>
                <w:rFonts w:hint="eastAsia"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10</w:t>
            </w:r>
            <w:r>
              <w:rPr>
                <w:rFonts w:hint="default" w:ascii="Times New Roman" w:hAnsi="Times New Roman" w:eastAsia="仿宋" w:cs="Times New Roman"/>
                <w:color w:val="auto"/>
                <w:sz w:val="24"/>
                <w:highlight w:val="none"/>
                <w:vertAlign w:val="superscript"/>
                <w:lang w:val="en-US" w:eastAsia="zh-CN"/>
              </w:rPr>
              <w:t>4</w:t>
            </w:r>
            <w:r>
              <w:rPr>
                <w:rFonts w:hint="default" w:ascii="Times New Roman" w:hAnsi="Times New Roman" w:eastAsia="仿宋" w:cs="Times New Roman"/>
                <w:color w:val="auto"/>
                <w:sz w:val="24"/>
                <w:highlight w:val="none"/>
                <w:lang w:val="en-US" w:eastAsia="zh-CN"/>
              </w:rPr>
              <w:t>t，保有资源量</w:t>
            </w:r>
            <w:r>
              <w:rPr>
                <w:rFonts w:hint="eastAsia"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控制+推断</w:t>
            </w:r>
            <w:r>
              <w:rPr>
                <w:rFonts w:hint="eastAsia"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115.41</w:t>
            </w:r>
            <w:r>
              <w:rPr>
                <w:rFonts w:hint="eastAsia"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10</w:t>
            </w:r>
            <w:r>
              <w:rPr>
                <w:rFonts w:hint="default" w:ascii="Times New Roman" w:hAnsi="Times New Roman" w:eastAsia="仿宋" w:cs="Times New Roman"/>
                <w:color w:val="auto"/>
                <w:sz w:val="24"/>
                <w:highlight w:val="none"/>
                <w:vertAlign w:val="superscript"/>
                <w:lang w:val="en-US" w:eastAsia="zh-CN"/>
              </w:rPr>
              <w:t>4</w:t>
            </w:r>
            <w:r>
              <w:rPr>
                <w:rFonts w:hint="default" w:ascii="Times New Roman" w:hAnsi="Times New Roman" w:eastAsia="仿宋" w:cs="Times New Roman"/>
                <w:color w:val="auto"/>
                <w:sz w:val="24"/>
                <w:highlight w:val="none"/>
                <w:lang w:val="en-US" w:eastAsia="zh-CN"/>
              </w:rPr>
              <w:t>t，其中保有资源量中控制资源量73.99</w:t>
            </w:r>
            <w:r>
              <w:rPr>
                <w:rFonts w:hint="eastAsia"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10</w:t>
            </w:r>
            <w:r>
              <w:rPr>
                <w:rFonts w:hint="default" w:ascii="Times New Roman" w:hAnsi="Times New Roman" w:eastAsia="仿宋" w:cs="Times New Roman"/>
                <w:color w:val="auto"/>
                <w:sz w:val="24"/>
                <w:highlight w:val="none"/>
                <w:vertAlign w:val="superscript"/>
                <w:lang w:val="en-US" w:eastAsia="zh-CN"/>
              </w:rPr>
              <w:t>4</w:t>
            </w:r>
            <w:r>
              <w:rPr>
                <w:rFonts w:hint="default" w:ascii="Times New Roman" w:hAnsi="Times New Roman" w:eastAsia="仿宋" w:cs="Times New Roman"/>
                <w:color w:val="auto"/>
                <w:sz w:val="24"/>
                <w:highlight w:val="none"/>
                <w:lang w:val="en-US" w:eastAsia="zh-CN"/>
              </w:rPr>
              <w:t>t，推断资源量41.42</w:t>
            </w:r>
            <w:r>
              <w:rPr>
                <w:rFonts w:hint="eastAsia"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10</w:t>
            </w:r>
            <w:r>
              <w:rPr>
                <w:rFonts w:hint="eastAsia" w:eastAsia="仿宋" w:cs="Times New Roman"/>
                <w:color w:val="auto"/>
                <w:sz w:val="24"/>
                <w:highlight w:val="none"/>
                <w:vertAlign w:val="superscript"/>
                <w:lang w:val="en-US" w:eastAsia="zh-CN"/>
              </w:rPr>
              <w:t>4</w:t>
            </w:r>
            <w:r>
              <w:rPr>
                <w:rFonts w:hint="default" w:ascii="Times New Roman" w:hAnsi="Times New Roman" w:eastAsia="仿宋" w:cs="Times New Roman"/>
                <w:color w:val="auto"/>
                <w:sz w:val="24"/>
                <w:highlight w:val="none"/>
                <w:lang w:val="en-US" w:eastAsia="zh-CN"/>
              </w:rPr>
              <w:t>t。该矿确定的控制资源量可信度系数为1</w:t>
            </w:r>
            <w:r>
              <w:rPr>
                <w:rFonts w:hint="eastAsia"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深部推断资源量均按照可信度系数0.8计算，设计可利用的资源储量为107.13</w:t>
            </w:r>
            <w:r>
              <w:rPr>
                <w:rFonts w:hint="eastAsia"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10</w:t>
            </w:r>
            <w:r>
              <w:rPr>
                <w:rFonts w:hint="default" w:ascii="Times New Roman" w:hAnsi="Times New Roman" w:eastAsia="仿宋" w:cs="Times New Roman"/>
                <w:color w:val="auto"/>
                <w:sz w:val="24"/>
                <w:highlight w:val="none"/>
                <w:vertAlign w:val="superscript"/>
                <w:lang w:val="en-US" w:eastAsia="zh-CN"/>
              </w:rPr>
              <w:t>4</w:t>
            </w:r>
            <w:r>
              <w:rPr>
                <w:rFonts w:hint="default" w:ascii="Times New Roman" w:hAnsi="Times New Roman" w:eastAsia="仿宋" w:cs="Times New Roman"/>
                <w:color w:val="auto"/>
                <w:sz w:val="24"/>
                <w:highlight w:val="none"/>
                <w:lang w:val="en-US" w:eastAsia="zh-CN"/>
              </w:rPr>
              <w:t>t。设计损失量约5%，设计回采率为95%。可采出资源量为101.8</w:t>
            </w:r>
            <w:r>
              <w:rPr>
                <w:rFonts w:hint="eastAsia"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10</w:t>
            </w:r>
            <w:r>
              <w:rPr>
                <w:rFonts w:hint="eastAsia" w:eastAsia="仿宋" w:cs="Times New Roman"/>
                <w:color w:val="auto"/>
                <w:sz w:val="24"/>
                <w:highlight w:val="none"/>
                <w:vertAlign w:val="superscript"/>
                <w:lang w:val="en-US" w:eastAsia="zh-CN"/>
              </w:rPr>
              <w:t>4</w:t>
            </w:r>
            <w:r>
              <w:rPr>
                <w:rFonts w:hint="default" w:ascii="Times New Roman" w:hAnsi="Times New Roman" w:eastAsia="仿宋" w:cs="Times New Roman"/>
                <w:color w:val="auto"/>
                <w:sz w:val="24"/>
                <w:highlight w:val="none"/>
                <w:lang w:val="en-US" w:eastAsia="zh-CN"/>
              </w:rPr>
              <w:t>t。</w:t>
            </w:r>
          </w:p>
          <w:p w14:paraId="0B14DE1B">
            <w:pPr>
              <w:pStyle w:val="3"/>
              <w:keepNext/>
              <w:keepLines/>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color w:val="auto"/>
                <w:sz w:val="24"/>
                <w:szCs w:val="24"/>
                <w:highlight w:val="none"/>
                <w:lang w:val="en-US" w:eastAsia="zh-CN"/>
              </w:rPr>
            </w:pPr>
            <w:r>
              <w:rPr>
                <w:rFonts w:hint="eastAsia" w:eastAsia="仿宋" w:cs="Times New Roman"/>
                <w:color w:val="auto"/>
                <w:sz w:val="24"/>
                <w:szCs w:val="24"/>
                <w:highlight w:val="none"/>
                <w:lang w:val="en-US" w:eastAsia="zh-CN"/>
              </w:rPr>
              <w:t>9.矿床开采方式</w:t>
            </w:r>
          </w:p>
          <w:p w14:paraId="363A2EA8">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⑴</w:t>
            </w:r>
            <w:r>
              <w:rPr>
                <w:rFonts w:hint="eastAsia" w:ascii="Times New Roman" w:hAnsi="Times New Roman" w:eastAsia="仿宋" w:cs="Times New Roman"/>
                <w:color w:val="auto"/>
                <w:sz w:val="24"/>
                <w:highlight w:val="none"/>
                <w:lang w:val="en-US" w:eastAsia="zh-CN"/>
              </w:rPr>
              <w:t>开采矿种</w:t>
            </w:r>
          </w:p>
          <w:p w14:paraId="6DC21CA8">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highlight w:val="none"/>
                <w:lang w:val="en-US" w:eastAsia="zh-CN"/>
              </w:rPr>
            </w:pPr>
            <w:r>
              <w:rPr>
                <w:rFonts w:hint="eastAsia" w:ascii="Times New Roman" w:hAnsi="Times New Roman" w:eastAsia="仿宋" w:cs="Times New Roman"/>
                <w:color w:val="auto"/>
                <w:sz w:val="24"/>
                <w:highlight w:val="none"/>
                <w:lang w:val="en-US" w:eastAsia="zh-CN"/>
              </w:rPr>
              <w:t>本项目开采矿种为</w:t>
            </w:r>
            <w:r>
              <w:rPr>
                <w:rFonts w:hint="default" w:ascii="Times New Roman" w:hAnsi="Times New Roman" w:eastAsia="仿宋" w:cs="Times New Roman"/>
                <w:color w:val="auto"/>
                <w:sz w:val="24"/>
                <w:highlight w:val="none"/>
                <w:lang w:val="en-US" w:eastAsia="zh-CN"/>
              </w:rPr>
              <w:t>冶金用石英岩原矿</w:t>
            </w:r>
            <w:r>
              <w:rPr>
                <w:rFonts w:hint="eastAsia" w:ascii="Times New Roman" w:hAnsi="Times New Roman" w:eastAsia="仿宋" w:cs="Times New Roman"/>
                <w:color w:val="auto"/>
                <w:sz w:val="24"/>
                <w:highlight w:val="none"/>
                <w:lang w:val="en-US" w:eastAsia="zh-CN"/>
              </w:rPr>
              <w:t>。</w:t>
            </w:r>
          </w:p>
          <w:p w14:paraId="788572A7">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⑵</w:t>
            </w:r>
            <w:r>
              <w:rPr>
                <w:rFonts w:hint="eastAsia" w:ascii="Times New Roman" w:hAnsi="Times New Roman" w:eastAsia="仿宋" w:cs="Times New Roman"/>
                <w:b w:val="0"/>
                <w:color w:val="auto"/>
                <w:kern w:val="2"/>
                <w:sz w:val="24"/>
                <w:szCs w:val="24"/>
                <w:highlight w:val="none"/>
                <w:lang w:val="en-US" w:eastAsia="zh-CN" w:bidi="ar-SA"/>
              </w:rPr>
              <w:t>开采方式及开采顺序</w:t>
            </w:r>
          </w:p>
          <w:p w14:paraId="4D15FACD">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根据该矿矿体的赋存情况、开采技术条件和开采现状等因素，采用单一凹陷露天开采方式。</w:t>
            </w:r>
          </w:p>
          <w:p w14:paraId="4761344C">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开采顺序为自上而下分台阶开采。首采工作面设置在1号矿体，首采台阶为1509m~1500m标高，各开采台阶以运输道路与平台汇合处作为该标高开段沟起点，然后沿矿体倾向方向开段沟至另一侧最终边坡位置，后沿东、西走向方向两侧水平推进开采，直到本水平开采完毕后，再根据运输道路与下一台阶汇合处沿矿体倾向方向开段沟，再开采下一分层，依次类推。在1号矿体南侧边坡开采至1487m标高时同步完成对2号矿体的开采，然后继续自上而下开采1号矿体。</w:t>
            </w:r>
          </w:p>
          <w:p w14:paraId="06443851">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⑶采矿方法</w:t>
            </w:r>
          </w:p>
          <w:p w14:paraId="7B341C51">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采矿方法为潜孔钻车穿孔、深孔爆破落矿、机械倒运和铲装、挖掘机液压捣锤</w:t>
            </w:r>
            <w:r>
              <w:rPr>
                <w:rFonts w:hint="eastAsia" w:eastAsia="仿宋" w:cs="Times New Roman"/>
                <w:b w:val="0"/>
                <w:color w:val="auto"/>
                <w:kern w:val="2"/>
                <w:sz w:val="24"/>
                <w:szCs w:val="24"/>
                <w:highlight w:val="none"/>
                <w:lang w:val="en-US" w:eastAsia="zh-CN" w:bidi="ar-SA"/>
              </w:rPr>
              <w:t>二次</w:t>
            </w:r>
            <w:r>
              <w:rPr>
                <w:rFonts w:hint="default" w:ascii="Times New Roman" w:hAnsi="Times New Roman" w:eastAsia="仿宋" w:cs="Times New Roman"/>
                <w:b w:val="0"/>
                <w:color w:val="auto"/>
                <w:kern w:val="2"/>
                <w:sz w:val="24"/>
                <w:szCs w:val="24"/>
                <w:highlight w:val="none"/>
                <w:lang w:val="en-US" w:eastAsia="zh-CN" w:bidi="ar-SA"/>
              </w:rPr>
              <w:t>破碎、汽车公路运输。</w:t>
            </w:r>
          </w:p>
          <w:p w14:paraId="26683662">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⑷露天采场最终边坡要素</w:t>
            </w:r>
          </w:p>
          <w:p w14:paraId="5879126E">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结合本区围岩的岩石力学性质确定最终边坡要素，主要边坡参数如下：</w:t>
            </w:r>
          </w:p>
          <w:p w14:paraId="37C4EBB7">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台阶高度：10m；</w:t>
            </w:r>
          </w:p>
          <w:p w14:paraId="18939896">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台阶坡面角为：上</w:t>
            </w:r>
            <w:r>
              <w:rPr>
                <w:rFonts w:hint="eastAsia" w:eastAsia="仿宋" w:cs="Times New Roman"/>
                <w:b w:val="0"/>
                <w:color w:val="000000" w:themeColor="text1"/>
                <w:kern w:val="2"/>
                <w:sz w:val="24"/>
                <w:szCs w:val="24"/>
                <w:highlight w:val="none"/>
                <w:lang w:val="en-US" w:eastAsia="zh-CN" w:bidi="ar-SA"/>
                <w14:textFill>
                  <w14:solidFill>
                    <w14:schemeClr w14:val="tx1"/>
                  </w14:solidFill>
                </w14:textFill>
              </w:rPr>
              <w:t>、下</w:t>
            </w: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盘和矿体两端</w:t>
            </w:r>
            <w:r>
              <w:rPr>
                <w:rFonts w:hint="eastAsia" w:eastAsia="仿宋" w:cs="Times New Roman"/>
                <w:b w:val="0"/>
                <w:color w:val="000000" w:themeColor="text1"/>
                <w:kern w:val="2"/>
                <w:sz w:val="24"/>
                <w:szCs w:val="24"/>
                <w:highlight w:val="none"/>
                <w:lang w:val="en-US" w:eastAsia="zh-CN" w:bidi="ar-SA"/>
                <w14:textFill>
                  <w14:solidFill>
                    <w14:schemeClr w14:val="tx1"/>
                  </w14:solidFill>
                </w14:textFill>
              </w:rPr>
              <w:t>70</w:t>
            </w: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w:t>
            </w:r>
          </w:p>
          <w:p w14:paraId="71516272">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最终边坡角：4</w:t>
            </w:r>
            <w:r>
              <w:rPr>
                <w:rFonts w:hint="eastAsia" w:eastAsia="仿宋" w:cs="Times New Roman"/>
                <w:b w:val="0"/>
                <w:color w:val="000000" w:themeColor="text1"/>
                <w:kern w:val="2"/>
                <w:sz w:val="24"/>
                <w:szCs w:val="24"/>
                <w:highlight w:val="none"/>
                <w:lang w:val="en-US" w:eastAsia="zh-CN" w:bidi="ar-SA"/>
                <w14:textFill>
                  <w14:solidFill>
                    <w14:schemeClr w14:val="tx1"/>
                  </w14:solidFill>
                </w14:textFill>
              </w:rPr>
              <w:t>3</w:t>
            </w: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w:t>
            </w:r>
          </w:p>
          <w:p w14:paraId="656C4BFE">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pPr>
            <w:r>
              <w:rPr>
                <w:rFonts w:hint="eastAsia" w:eastAsia="仿宋" w:cs="Times New Roman"/>
                <w:b w:val="0"/>
                <w:color w:val="000000" w:themeColor="text1"/>
                <w:kern w:val="2"/>
                <w:sz w:val="24"/>
                <w:szCs w:val="24"/>
                <w:highlight w:val="none"/>
                <w:lang w:val="en-US" w:eastAsia="zh-CN" w:bidi="ar-SA"/>
                <w14:textFill>
                  <w14:solidFill>
                    <w14:schemeClr w14:val="tx1"/>
                  </w14:solidFill>
                </w14:textFill>
              </w:rPr>
              <w:t>作业平台宽度：30m；</w:t>
            </w:r>
          </w:p>
          <w:p w14:paraId="5A3A92D8">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安全平台宽度：</w:t>
            </w:r>
            <w:r>
              <w:rPr>
                <w:rFonts w:hint="eastAsia" w:eastAsia="仿宋" w:cs="Times New Roman"/>
                <w:b w:val="0"/>
                <w:color w:val="000000" w:themeColor="text1"/>
                <w:kern w:val="2"/>
                <w:sz w:val="24"/>
                <w:szCs w:val="24"/>
                <w:highlight w:val="none"/>
                <w:lang w:val="en-US" w:eastAsia="zh-CN" w:bidi="ar-SA"/>
                <w14:textFill>
                  <w14:solidFill>
                    <w14:schemeClr w14:val="tx1"/>
                  </w14:solidFill>
                </w14:textFill>
              </w:rPr>
              <w:t>4</w:t>
            </w: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m；</w:t>
            </w:r>
          </w:p>
          <w:p w14:paraId="142043CF">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清扫平台宽度：8m；</w:t>
            </w:r>
          </w:p>
          <w:p w14:paraId="158E35B8">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最小工作底盘宽度</w:t>
            </w:r>
            <w:r>
              <w:rPr>
                <w:rFonts w:hint="eastAsia" w:eastAsia="仿宋" w:cs="Times New Roman"/>
                <w:b w:val="0"/>
                <w:color w:val="000000" w:themeColor="text1"/>
                <w:kern w:val="2"/>
                <w:sz w:val="24"/>
                <w:szCs w:val="24"/>
                <w:highlight w:val="none"/>
                <w:lang w:val="en-US" w:eastAsia="zh-CN" w:bidi="ar-SA"/>
                <w14:textFill>
                  <w14:solidFill>
                    <w14:schemeClr w14:val="tx1"/>
                  </w14:solidFill>
                </w14:textFill>
              </w:rPr>
              <w:t>30</w:t>
            </w: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m。</w:t>
            </w:r>
          </w:p>
          <w:p w14:paraId="7D4E78B3">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仿宋" w:cs="Times New Roman"/>
                <w:b w:val="0"/>
                <w:color w:val="auto"/>
                <w:kern w:val="2"/>
                <w:sz w:val="24"/>
                <w:szCs w:val="24"/>
                <w:highlight w:val="none"/>
                <w:lang w:val="en-US" w:eastAsia="zh-CN" w:bidi="ar-SA"/>
              </w:rPr>
              <w:t>⑸</w:t>
            </w: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剥采比</w:t>
            </w:r>
          </w:p>
          <w:p w14:paraId="3FB7C700">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仿宋" w:cs="Times New Roman"/>
                <w:b w:val="0"/>
                <w:color w:val="000000" w:themeColor="text1"/>
                <w:kern w:val="2"/>
                <w:sz w:val="24"/>
                <w:szCs w:val="24"/>
                <w:highlight w:val="none"/>
                <w:lang w:val="en-US" w:eastAsia="zh-CN" w:bidi="ar-SA"/>
                <w14:textFill>
                  <w14:solidFill>
                    <w14:schemeClr w14:val="tx1"/>
                  </w14:solidFill>
                </w14:textFill>
              </w:rPr>
              <w:t>本项目的剥采比为4.94:1。</w:t>
            </w:r>
          </w:p>
          <w:p w14:paraId="31E9F5AB">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⑹损失率、开采回采率</w:t>
            </w:r>
          </w:p>
          <w:p w14:paraId="663C8883">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color w:val="auto"/>
                <w:sz w:val="24"/>
                <w:szCs w:val="24"/>
                <w:highlight w:val="none"/>
                <w:lang w:val="en-US" w:eastAsia="zh-CN"/>
              </w:rPr>
              <w:t>本方案设计开采损失率为5%，开采回采率为95%。</w:t>
            </w:r>
          </w:p>
          <w:p w14:paraId="6C0EF740">
            <w:pPr>
              <w:pStyle w:val="3"/>
              <w:keepNext/>
              <w:keepLines/>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color w:val="auto"/>
                <w:sz w:val="24"/>
                <w:szCs w:val="24"/>
                <w:highlight w:val="none"/>
                <w:lang w:val="en-US" w:eastAsia="zh-CN"/>
              </w:rPr>
            </w:pPr>
            <w:r>
              <w:rPr>
                <w:rFonts w:hint="eastAsia" w:eastAsia="仿宋" w:cs="Times New Roman"/>
                <w:color w:val="auto"/>
                <w:sz w:val="24"/>
                <w:szCs w:val="24"/>
                <w:highlight w:val="none"/>
                <w:lang w:val="en-US" w:eastAsia="zh-CN"/>
              </w:rPr>
              <w:t>10.矿山生产制度及劳动定员</w:t>
            </w:r>
          </w:p>
          <w:p w14:paraId="52519C31">
            <w:pPr>
              <w:pStyle w:val="3"/>
              <w:keepNext/>
              <w:keepLines/>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仿宋" w:cs="Times New Roman"/>
                <w:b w:val="0"/>
                <w:bCs/>
                <w:color w:val="auto"/>
                <w:sz w:val="24"/>
                <w:szCs w:val="24"/>
                <w:highlight w:val="none"/>
                <w:lang w:val="en-US" w:eastAsia="zh-CN"/>
              </w:rPr>
              <w:t>本</w:t>
            </w:r>
            <w:r>
              <w:rPr>
                <w:rFonts w:hint="eastAsia" w:ascii="Times New Roman" w:hAnsi="Times New Roman" w:eastAsia="仿宋" w:cs="Times New Roman"/>
                <w:b w:val="0"/>
                <w:bCs/>
                <w:color w:val="auto"/>
                <w:sz w:val="24"/>
                <w:szCs w:val="24"/>
                <w:highlight w:val="none"/>
                <w:lang w:val="en-US" w:eastAsia="zh-CN"/>
              </w:rPr>
              <w:t>项目矿山开采</w:t>
            </w:r>
            <w:r>
              <w:rPr>
                <w:rFonts w:hint="default" w:ascii="Times New Roman" w:hAnsi="Times New Roman" w:eastAsia="仿宋" w:cs="Times New Roman"/>
                <w:b w:val="0"/>
                <w:bCs/>
                <w:color w:val="auto"/>
                <w:sz w:val="24"/>
                <w:szCs w:val="24"/>
                <w:highlight w:val="none"/>
                <w:lang w:val="en-US" w:eastAsia="zh-CN"/>
              </w:rPr>
              <w:t>年工作250天，每天8小时</w:t>
            </w:r>
            <w:r>
              <w:rPr>
                <w:rFonts w:hint="eastAsia" w:ascii="Times New Roman" w:hAnsi="Times New Roman" w:eastAsia="仿宋" w:cs="Times New Roman"/>
                <w:b w:val="0"/>
                <w:bCs/>
                <w:color w:val="auto"/>
                <w:sz w:val="24"/>
                <w:szCs w:val="24"/>
                <w:highlight w:val="none"/>
                <w:lang w:val="en-US" w:eastAsia="zh-CN"/>
              </w:rPr>
              <w:t>；本</w:t>
            </w:r>
            <w:r>
              <w:rPr>
                <w:rFonts w:hint="eastAsia" w:eastAsia="仿宋" w:cs="Times New Roman"/>
                <w:b w:val="0"/>
                <w:bCs/>
                <w:color w:val="auto"/>
                <w:sz w:val="24"/>
                <w:szCs w:val="24"/>
                <w:highlight w:val="none"/>
                <w:lang w:val="en-US" w:eastAsia="zh-CN"/>
              </w:rPr>
              <w:t>项目破碎</w:t>
            </w:r>
            <w:r>
              <w:rPr>
                <w:rFonts w:hint="eastAsia" w:ascii="Times New Roman" w:hAnsi="Times New Roman" w:eastAsia="仿宋" w:cs="Times New Roman"/>
                <w:b w:val="0"/>
                <w:bCs/>
                <w:color w:val="auto"/>
                <w:sz w:val="24"/>
                <w:szCs w:val="24"/>
                <w:highlight w:val="none"/>
                <w:lang w:val="en-US" w:eastAsia="zh-CN"/>
              </w:rPr>
              <w:t>、筛分年工作</w:t>
            </w:r>
            <w:r>
              <w:rPr>
                <w:rFonts w:hint="eastAsia" w:ascii="Times New Roman" w:hAnsi="Times New Roman" w:eastAsia="仿宋" w:cs="Times New Roman"/>
                <w:b w:val="0"/>
                <w:bCs/>
                <w:color w:val="000000" w:themeColor="text1"/>
                <w:sz w:val="24"/>
                <w:szCs w:val="24"/>
                <w:highlight w:val="none"/>
                <w:lang w:val="en-US" w:eastAsia="zh-CN"/>
                <w14:textFill>
                  <w14:solidFill>
                    <w14:schemeClr w14:val="tx1"/>
                  </w14:solidFill>
                </w14:textFill>
              </w:rPr>
              <w:t>250天，每天8小时；本项目劳动定员共计</w:t>
            </w:r>
            <w:r>
              <w:rPr>
                <w:rFonts w:hint="eastAsia" w:eastAsia="仿宋" w:cs="Times New Roman"/>
                <w:b w:val="0"/>
                <w:bCs/>
                <w:color w:val="000000" w:themeColor="text1"/>
                <w:sz w:val="24"/>
                <w:szCs w:val="24"/>
                <w:highlight w:val="none"/>
                <w:lang w:val="en-US" w:eastAsia="zh-CN"/>
                <w14:textFill>
                  <w14:solidFill>
                    <w14:schemeClr w14:val="tx1"/>
                  </w14:solidFill>
                </w14:textFill>
              </w:rPr>
              <w:t>20</w:t>
            </w:r>
            <w:r>
              <w:rPr>
                <w:rFonts w:hint="eastAsia" w:ascii="Times New Roman" w:hAnsi="Times New Roman" w:eastAsia="仿宋" w:cs="Times New Roman"/>
                <w:b w:val="0"/>
                <w:bCs/>
                <w:color w:val="000000" w:themeColor="text1"/>
                <w:sz w:val="24"/>
                <w:szCs w:val="24"/>
                <w:highlight w:val="none"/>
                <w:lang w:val="en-US" w:eastAsia="zh-CN"/>
                <w14:textFill>
                  <w14:solidFill>
                    <w14:schemeClr w14:val="tx1"/>
                  </w14:solidFill>
                </w14:textFill>
              </w:rPr>
              <w:t>人。</w:t>
            </w:r>
          </w:p>
          <w:p w14:paraId="6CB6C2BB">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仿宋" w:cs="Times New Roman"/>
                <w:b/>
                <w:color w:val="000000" w:themeColor="text1"/>
                <w:sz w:val="24"/>
                <w:lang w:val="en-US" w:eastAsia="zh-CN"/>
                <w14:textFill>
                  <w14:solidFill>
                    <w14:schemeClr w14:val="tx1"/>
                  </w14:solidFill>
                </w14:textFill>
              </w:rPr>
            </w:pPr>
            <w:r>
              <w:rPr>
                <w:rFonts w:hint="eastAsia" w:eastAsia="仿宋" w:cs="Times New Roman"/>
                <w:b/>
                <w:color w:val="000000" w:themeColor="text1"/>
                <w:sz w:val="24"/>
                <w:lang w:val="en-US" w:eastAsia="zh-CN"/>
                <w14:textFill>
                  <w14:solidFill>
                    <w14:schemeClr w14:val="tx1"/>
                  </w14:solidFill>
                </w14:textFill>
              </w:rPr>
              <w:t>11.</w:t>
            </w:r>
            <w:r>
              <w:rPr>
                <w:rFonts w:hint="eastAsia" w:ascii="Times New Roman" w:hAnsi="Times New Roman" w:eastAsia="仿宋" w:cs="Times New Roman"/>
                <w:b/>
                <w:color w:val="000000" w:themeColor="text1"/>
                <w:sz w:val="24"/>
                <w:lang w:val="en-US" w:eastAsia="zh-CN"/>
                <w14:textFill>
                  <w14:solidFill>
                    <w14:schemeClr w14:val="tx1"/>
                  </w14:solidFill>
                </w14:textFill>
              </w:rPr>
              <w:t>占地类型</w:t>
            </w:r>
          </w:p>
          <w:p w14:paraId="58FDFAC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_GB2312" w:cs="Times New Roman"/>
                <w:color w:val="000000" w:themeColor="text1"/>
                <w:kern w:val="0"/>
                <w:sz w:val="24"/>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4"/>
                <w:lang w:val="en-US" w:eastAsia="zh-CN"/>
                <w14:textFill>
                  <w14:solidFill>
                    <w14:schemeClr w14:val="tx1"/>
                  </w14:solidFill>
                </w14:textFill>
              </w:rPr>
              <w:t xml:space="preserve">根据第三次全国国土调查结果及本次实地踏勘调查核实，按照《土地利 </w:t>
            </w:r>
          </w:p>
          <w:p w14:paraId="45F2121D">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仿宋_GB2312" w:cs="Times New Roman"/>
                <w:color w:val="000000" w:themeColor="text1"/>
                <w:kern w:val="0"/>
                <w:sz w:val="24"/>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4"/>
                <w:lang w:val="en-US" w:eastAsia="zh-CN"/>
                <w14:textFill>
                  <w14:solidFill>
                    <w14:schemeClr w14:val="tx1"/>
                  </w14:solidFill>
                </w14:textFill>
              </w:rPr>
              <w:t>用现状分类》（</w:t>
            </w:r>
            <w:r>
              <w:rPr>
                <w:rFonts w:hint="default" w:ascii="Times New Roman" w:hAnsi="Times New Roman" w:eastAsia="仿宋_GB2312" w:cs="Times New Roman"/>
                <w:color w:val="000000" w:themeColor="text1"/>
                <w:kern w:val="0"/>
                <w:sz w:val="24"/>
                <w:lang w:val="en-US" w:eastAsia="zh-CN"/>
                <w14:textFill>
                  <w14:solidFill>
                    <w14:schemeClr w14:val="tx1"/>
                  </w14:solidFill>
                </w14:textFill>
              </w:rPr>
              <w:t>GB/T21010-2017</w:t>
            </w:r>
            <w:r>
              <w:rPr>
                <w:rFonts w:hint="eastAsia" w:ascii="Times New Roman" w:hAnsi="Times New Roman" w:eastAsia="仿宋_GB2312" w:cs="Times New Roman"/>
                <w:color w:val="000000" w:themeColor="text1"/>
                <w:kern w:val="0"/>
                <w:sz w:val="24"/>
                <w:lang w:val="en-US" w:eastAsia="zh-CN"/>
                <w14:textFill>
                  <w14:solidFill>
                    <w14:schemeClr w14:val="tx1"/>
                  </w14:solidFill>
                </w14:textFill>
              </w:rPr>
              <w:t>），本项目占地类型为</w:t>
            </w:r>
            <w:r>
              <w:rPr>
                <w:rFonts w:hint="eastAsia" w:eastAsia="仿宋_GB2312" w:cs="Times New Roman"/>
                <w:color w:val="000000" w:themeColor="text1"/>
                <w:kern w:val="0"/>
                <w:sz w:val="24"/>
                <w:lang w:val="en-US" w:eastAsia="zh-CN"/>
                <w14:textFill>
                  <w14:solidFill>
                    <w14:schemeClr w14:val="tx1"/>
                  </w14:solidFill>
                </w14:textFill>
              </w:rPr>
              <w:t>采矿用地和裸岩石砾地</w:t>
            </w:r>
            <w:r>
              <w:rPr>
                <w:rFonts w:hint="eastAsia" w:ascii="Times New Roman" w:hAnsi="Times New Roman" w:eastAsia="仿宋_GB2312" w:cs="Times New Roman"/>
                <w:color w:val="000000" w:themeColor="text1"/>
                <w:kern w:val="0"/>
                <w:sz w:val="24"/>
                <w:lang w:val="en-US" w:eastAsia="zh-CN"/>
                <w14:textFill>
                  <w14:solidFill>
                    <w14:schemeClr w14:val="tx1"/>
                  </w14:solidFill>
                </w14:textFill>
              </w:rPr>
              <w:t>。</w:t>
            </w:r>
          </w:p>
          <w:p w14:paraId="71DB1D98">
            <w:pPr>
              <w:keepNext w:val="0"/>
              <w:keepLines w:val="0"/>
              <w:pageBreakBefore w:val="0"/>
              <w:widowControl w:val="0"/>
              <w:kinsoku/>
              <w:wordWrap/>
              <w:overflowPunct/>
              <w:topLinePunct w:val="0"/>
              <w:autoSpaceDE w:val="0"/>
              <w:autoSpaceDN w:val="0"/>
              <w:bidi w:val="0"/>
              <w:adjustRightInd w:val="0"/>
              <w:snapToGrid w:val="0"/>
              <w:jc w:val="center"/>
              <w:textAlignment w:val="auto"/>
              <w:rPr>
                <w:rFonts w:eastAsia="仿宋"/>
                <w:b/>
                <w:color w:val="000000" w:themeColor="text1"/>
                <w:kern w:val="0"/>
                <w:szCs w:val="21"/>
                <w14:textFill>
                  <w14:solidFill>
                    <w14:schemeClr w14:val="tx1"/>
                  </w14:solidFill>
                </w14:textFill>
              </w:rPr>
            </w:pPr>
            <w:r>
              <w:rPr>
                <w:rFonts w:eastAsia="仿宋"/>
                <w:b/>
                <w:color w:val="000000" w:themeColor="text1"/>
                <w:kern w:val="0"/>
                <w:szCs w:val="21"/>
                <w14:textFill>
                  <w14:solidFill>
                    <w14:schemeClr w14:val="tx1"/>
                  </w14:solidFill>
                </w14:textFill>
              </w:rPr>
              <w:t>表</w:t>
            </w:r>
            <w:r>
              <w:rPr>
                <w:rFonts w:hint="eastAsia" w:eastAsia="仿宋"/>
                <w:b/>
                <w:color w:val="000000" w:themeColor="text1"/>
                <w:kern w:val="0"/>
                <w:szCs w:val="21"/>
                <w:lang w:val="en-US" w:eastAsia="zh-CN"/>
                <w14:textFill>
                  <w14:solidFill>
                    <w14:schemeClr w14:val="tx1"/>
                  </w14:solidFill>
                </w14:textFill>
              </w:rPr>
              <w:t xml:space="preserve">12 </w:t>
            </w:r>
            <w:r>
              <w:rPr>
                <w:rFonts w:eastAsia="仿宋"/>
                <w:b/>
                <w:color w:val="000000" w:themeColor="text1"/>
                <w:kern w:val="0"/>
                <w:szCs w:val="21"/>
                <w14:textFill>
                  <w14:solidFill>
                    <w14:schemeClr w14:val="tx1"/>
                  </w14:solidFill>
                </w14:textFill>
              </w:rPr>
              <w:t xml:space="preserve"> 本项目占地</w:t>
            </w:r>
            <w:r>
              <w:rPr>
                <w:rFonts w:hint="eastAsia" w:eastAsia="仿宋"/>
                <w:b/>
                <w:color w:val="000000" w:themeColor="text1"/>
                <w:kern w:val="0"/>
                <w:szCs w:val="21"/>
                <w:lang w:val="en-US" w:eastAsia="zh-CN"/>
                <w14:textFill>
                  <w14:solidFill>
                    <w14:schemeClr w14:val="tx1"/>
                  </w14:solidFill>
                </w14:textFill>
              </w:rPr>
              <w:t>类型</w:t>
            </w:r>
            <w:r>
              <w:rPr>
                <w:rFonts w:eastAsia="仿宋"/>
                <w:b/>
                <w:color w:val="000000" w:themeColor="text1"/>
                <w:kern w:val="0"/>
                <w:szCs w:val="21"/>
                <w14:textFill>
                  <w14:solidFill>
                    <w14:schemeClr w14:val="tx1"/>
                  </w14:solidFill>
                </w14:textFill>
              </w:rPr>
              <w:t>一览表  单位：</w:t>
            </w:r>
            <w:r>
              <w:rPr>
                <w:rFonts w:hint="eastAsia" w:eastAsia="仿宋"/>
                <w:b/>
                <w:color w:val="000000" w:themeColor="text1"/>
                <w:kern w:val="0"/>
                <w:szCs w:val="21"/>
                <w:lang w:val="en-US" w:eastAsia="zh-CN"/>
                <w14:textFill>
                  <w14:solidFill>
                    <w14:schemeClr w14:val="tx1"/>
                  </w14:solidFill>
                </w14:textFill>
              </w:rPr>
              <w:t>h</w:t>
            </w:r>
            <w:r>
              <w:rPr>
                <w:rFonts w:eastAsia="仿宋"/>
                <w:b/>
                <w:color w:val="000000" w:themeColor="text1"/>
                <w:kern w:val="0"/>
                <w:szCs w:val="21"/>
                <w14:textFill>
                  <w14:solidFill>
                    <w14:schemeClr w14:val="tx1"/>
                  </w14:solidFill>
                </w14:textFill>
              </w:rPr>
              <w:t>m</w:t>
            </w:r>
            <w:r>
              <w:rPr>
                <w:rFonts w:eastAsia="仿宋"/>
                <w:b/>
                <w:color w:val="000000" w:themeColor="text1"/>
                <w:kern w:val="0"/>
                <w:szCs w:val="21"/>
                <w:vertAlign w:val="superscript"/>
                <w14:textFill>
                  <w14:solidFill>
                    <w14:schemeClr w14:val="tx1"/>
                  </w14:solidFill>
                </w14:textFill>
              </w:rPr>
              <w:t>2</w:t>
            </w:r>
          </w:p>
          <w:tbl>
            <w:tblPr>
              <w:tblStyle w:val="23"/>
              <w:tblW w:w="4998"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2629"/>
              <w:gridCol w:w="2648"/>
              <w:gridCol w:w="2641"/>
            </w:tblGrid>
            <w:tr w14:paraId="041FC7A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1" w:hRule="atLeast"/>
                <w:jc w:val="center"/>
              </w:trPr>
              <w:tc>
                <w:tcPr>
                  <w:tcW w:w="1660" w:type="pct"/>
                  <w:noWrap w:val="0"/>
                  <w:vAlign w:val="center"/>
                </w:tcPr>
                <w:p w14:paraId="33DE297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分区</w:t>
                  </w:r>
                </w:p>
              </w:tc>
              <w:tc>
                <w:tcPr>
                  <w:tcW w:w="1672" w:type="pct"/>
                  <w:noWrap w:val="0"/>
                  <w:vAlign w:val="center"/>
                </w:tcPr>
                <w:p w14:paraId="3C63D95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地类名称</w:t>
                  </w:r>
                </w:p>
              </w:tc>
              <w:tc>
                <w:tcPr>
                  <w:tcW w:w="1667" w:type="pct"/>
                  <w:noWrap w:val="0"/>
                  <w:vAlign w:val="center"/>
                </w:tcPr>
                <w:p w14:paraId="3A3F9DB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面积</w:t>
                  </w:r>
                </w:p>
              </w:tc>
            </w:tr>
            <w:tr w14:paraId="299EDC4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1" w:hRule="atLeast"/>
                <w:jc w:val="center"/>
              </w:trPr>
              <w:tc>
                <w:tcPr>
                  <w:tcW w:w="1660" w:type="pct"/>
                  <w:vMerge w:val="restart"/>
                  <w:noWrap w:val="0"/>
                  <w:vAlign w:val="center"/>
                </w:tcPr>
                <w:p w14:paraId="6356E72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矿区</w:t>
                  </w:r>
                </w:p>
              </w:tc>
              <w:tc>
                <w:tcPr>
                  <w:tcW w:w="1672" w:type="pct"/>
                  <w:shd w:val="clear" w:color="auto" w:fill="auto"/>
                  <w:noWrap w:val="0"/>
                  <w:vAlign w:val="center"/>
                </w:tcPr>
                <w:p w14:paraId="58B898A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裸岩石砾地</w:t>
                  </w:r>
                </w:p>
              </w:tc>
              <w:tc>
                <w:tcPr>
                  <w:tcW w:w="1667" w:type="pct"/>
                  <w:shd w:val="clear" w:color="auto" w:fill="auto"/>
                  <w:noWrap w:val="0"/>
                  <w:vAlign w:val="center"/>
                </w:tcPr>
                <w:p w14:paraId="15ED78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36.70</w:t>
                  </w:r>
                </w:p>
              </w:tc>
            </w:tr>
            <w:tr w14:paraId="08C7473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1" w:hRule="atLeast"/>
                <w:jc w:val="center"/>
              </w:trPr>
              <w:tc>
                <w:tcPr>
                  <w:tcW w:w="1660" w:type="pct"/>
                  <w:vMerge w:val="continue"/>
                  <w:noWrap w:val="0"/>
                  <w:vAlign w:val="center"/>
                </w:tcPr>
                <w:p w14:paraId="29FCF8C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000000" w:themeColor="text1"/>
                      <w:sz w:val="21"/>
                      <w:szCs w:val="21"/>
                      <w:lang w:val="en-US" w:eastAsia="zh-CN"/>
                      <w14:textFill>
                        <w14:solidFill>
                          <w14:schemeClr w14:val="tx1"/>
                        </w14:solidFill>
                      </w14:textFill>
                    </w:rPr>
                  </w:pPr>
                </w:p>
              </w:tc>
              <w:tc>
                <w:tcPr>
                  <w:tcW w:w="1672" w:type="pct"/>
                  <w:shd w:val="clear" w:color="auto" w:fill="auto"/>
                  <w:noWrap w:val="0"/>
                  <w:vAlign w:val="center"/>
                </w:tcPr>
                <w:p w14:paraId="6AE53CD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采矿用地</w:t>
                  </w:r>
                </w:p>
              </w:tc>
              <w:tc>
                <w:tcPr>
                  <w:tcW w:w="1667" w:type="pct"/>
                  <w:shd w:val="clear" w:color="auto" w:fill="auto"/>
                  <w:noWrap w:val="0"/>
                  <w:vAlign w:val="center"/>
                </w:tcPr>
                <w:p w14:paraId="217138C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9.18</w:t>
                  </w:r>
                </w:p>
              </w:tc>
            </w:tr>
            <w:tr w14:paraId="5FA7009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91" w:hRule="atLeast"/>
                <w:jc w:val="center"/>
              </w:trPr>
              <w:tc>
                <w:tcPr>
                  <w:tcW w:w="3332" w:type="pct"/>
                  <w:gridSpan w:val="2"/>
                  <w:noWrap w:val="0"/>
                  <w:vAlign w:val="center"/>
                </w:tcPr>
                <w:p w14:paraId="695BEDD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合计</w:t>
                  </w:r>
                </w:p>
              </w:tc>
              <w:tc>
                <w:tcPr>
                  <w:tcW w:w="1667" w:type="pct"/>
                  <w:noWrap w:val="0"/>
                  <w:vAlign w:val="center"/>
                </w:tcPr>
                <w:p w14:paraId="2DF6CF1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45.88</w:t>
                  </w:r>
                </w:p>
              </w:tc>
            </w:tr>
          </w:tbl>
          <w:p w14:paraId="6104AB85">
            <w:pPr>
              <w:pStyle w:val="3"/>
              <w:keepNext/>
              <w:keepLines/>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12.</w:t>
            </w:r>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主要生产设备</w:t>
            </w:r>
            <w:bookmarkEnd w:id="8"/>
          </w:p>
          <w:p w14:paraId="72C11876">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eastAsia" w:eastAsia="仿宋" w:cs="Times New Roman"/>
                <w:color w:val="000000" w:themeColor="text1"/>
                <w:sz w:val="24"/>
                <w:highlight w:val="none"/>
                <w:lang w:val="en-US" w:eastAsia="zh-CN"/>
                <w14:textFill>
                  <w14:solidFill>
                    <w14:schemeClr w14:val="tx1"/>
                  </w14:solidFill>
                </w14:textFill>
              </w:rPr>
              <w:t>本项目</w:t>
            </w:r>
            <w:r>
              <w:rPr>
                <w:rFonts w:hint="default" w:ascii="Times New Roman" w:hAnsi="Times New Roman" w:eastAsia="仿宋" w:cs="Times New Roman"/>
                <w:color w:val="000000" w:themeColor="text1"/>
                <w:sz w:val="24"/>
                <w:highlight w:val="none"/>
                <w14:textFill>
                  <w14:solidFill>
                    <w14:schemeClr w14:val="tx1"/>
                  </w14:solidFill>
                </w14:textFill>
              </w:rPr>
              <w:t>运营期主要设备见表</w:t>
            </w:r>
            <w:r>
              <w:rPr>
                <w:rFonts w:hint="eastAsia" w:eastAsia="仿宋" w:cs="Times New Roman"/>
                <w:color w:val="000000" w:themeColor="text1"/>
                <w:sz w:val="24"/>
                <w:highlight w:val="none"/>
                <w:lang w:val="en-US" w:eastAsia="zh-CN"/>
                <w14:textFill>
                  <w14:solidFill>
                    <w14:schemeClr w14:val="tx1"/>
                  </w14:solidFill>
                </w14:textFill>
              </w:rPr>
              <w:t>13</w:t>
            </w:r>
            <w:r>
              <w:rPr>
                <w:rFonts w:hint="default" w:ascii="Times New Roman" w:hAnsi="Times New Roman" w:eastAsia="仿宋" w:cs="Times New Roman"/>
                <w:color w:val="000000" w:themeColor="text1"/>
                <w:sz w:val="24"/>
                <w:highlight w:val="none"/>
                <w14:textFill>
                  <w14:solidFill>
                    <w14:schemeClr w14:val="tx1"/>
                  </w14:solidFill>
                </w14:textFill>
              </w:rPr>
              <w:t>。</w:t>
            </w:r>
          </w:p>
          <w:p w14:paraId="690711F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仿宋" w:cs="Times New Roman"/>
                <w:b/>
                <w:color w:val="FF0000"/>
                <w:kern w:val="0"/>
                <w:szCs w:val="21"/>
              </w:rPr>
            </w:pPr>
            <w:bookmarkStart w:id="30" w:name="_Ref15066"/>
            <w:r>
              <w:rPr>
                <w:rFonts w:hint="default" w:ascii="Times New Roman" w:hAnsi="Times New Roman" w:eastAsia="仿宋" w:cs="Times New Roman"/>
                <w:b/>
                <w:color w:val="FF0000"/>
                <w:kern w:val="0"/>
                <w:szCs w:val="21"/>
              </w:rPr>
              <w:t>表</w:t>
            </w:r>
            <w:bookmarkEnd w:id="30"/>
            <w:r>
              <w:rPr>
                <w:rFonts w:hint="eastAsia" w:eastAsia="仿宋" w:cs="Times New Roman"/>
                <w:b/>
                <w:color w:val="FF0000"/>
                <w:kern w:val="0"/>
                <w:szCs w:val="21"/>
                <w:lang w:val="en-US" w:eastAsia="zh-CN"/>
              </w:rPr>
              <w:t>13</w:t>
            </w:r>
            <w:r>
              <w:rPr>
                <w:rFonts w:hint="default" w:ascii="Times New Roman" w:hAnsi="Times New Roman" w:eastAsia="仿宋" w:cs="Times New Roman"/>
                <w:b/>
                <w:color w:val="FF0000"/>
                <w:kern w:val="0"/>
                <w:szCs w:val="21"/>
                <w:lang w:val="en-US" w:eastAsia="zh-CN"/>
              </w:rPr>
              <w:t xml:space="preserve">  </w:t>
            </w:r>
            <w:r>
              <w:rPr>
                <w:rFonts w:hint="default" w:ascii="Times New Roman" w:hAnsi="Times New Roman" w:eastAsia="仿宋" w:cs="Times New Roman"/>
                <w:b/>
                <w:color w:val="FF0000"/>
                <w:kern w:val="0"/>
                <w:szCs w:val="21"/>
              </w:rPr>
              <w:t xml:space="preserve"> 主要设备一览表</w:t>
            </w:r>
          </w:p>
          <w:tbl>
            <w:tblPr>
              <w:tblStyle w:val="23"/>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780"/>
              <w:gridCol w:w="510"/>
              <w:gridCol w:w="1700"/>
              <w:gridCol w:w="765"/>
              <w:gridCol w:w="675"/>
              <w:gridCol w:w="1621"/>
              <w:gridCol w:w="1870"/>
            </w:tblGrid>
            <w:tr w14:paraId="3B5EE03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trHeight w:val="0" w:hRule="atLeast"/>
                <w:jc w:val="center"/>
              </w:trPr>
              <w:tc>
                <w:tcPr>
                  <w:tcW w:w="492" w:type="pct"/>
                  <w:tcBorders>
                    <w:tl2br w:val="nil"/>
                    <w:tr2bl w:val="nil"/>
                  </w:tcBorders>
                  <w:shd w:val="clear" w:color="auto" w:fill="auto"/>
                  <w:vAlign w:val="center"/>
                </w:tcPr>
                <w:p w14:paraId="33A3C4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sz w:val="21"/>
                      <w:szCs w:val="21"/>
                      <w:highlight w:val="none"/>
                      <w:u w:val="none"/>
                    </w:rPr>
                  </w:pPr>
                  <w:r>
                    <w:rPr>
                      <w:rFonts w:hint="default" w:ascii="Times New Roman" w:hAnsi="Times New Roman" w:eastAsia="仿宋" w:cs="Times New Roman"/>
                      <w:i w:val="0"/>
                      <w:iCs w:val="0"/>
                      <w:color w:val="FF0000"/>
                      <w:kern w:val="0"/>
                      <w:sz w:val="21"/>
                      <w:szCs w:val="21"/>
                      <w:highlight w:val="none"/>
                      <w:u w:val="none"/>
                      <w:lang w:val="en-US" w:eastAsia="zh-CN" w:bidi="ar"/>
                    </w:rPr>
                    <w:t>用途</w:t>
                  </w:r>
                </w:p>
              </w:tc>
              <w:tc>
                <w:tcPr>
                  <w:tcW w:w="321" w:type="pct"/>
                  <w:tcBorders>
                    <w:tl2br w:val="nil"/>
                    <w:tr2bl w:val="nil"/>
                  </w:tcBorders>
                  <w:shd w:val="clear" w:color="auto" w:fill="auto"/>
                  <w:vAlign w:val="center"/>
                </w:tcPr>
                <w:p w14:paraId="43F2CC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sz w:val="21"/>
                      <w:szCs w:val="21"/>
                      <w:highlight w:val="none"/>
                      <w:u w:val="none"/>
                    </w:rPr>
                  </w:pPr>
                  <w:r>
                    <w:rPr>
                      <w:rFonts w:hint="default" w:ascii="Times New Roman" w:hAnsi="Times New Roman" w:eastAsia="仿宋" w:cs="Times New Roman"/>
                      <w:i w:val="0"/>
                      <w:iCs w:val="0"/>
                      <w:color w:val="FF0000"/>
                      <w:kern w:val="0"/>
                      <w:sz w:val="21"/>
                      <w:szCs w:val="21"/>
                      <w:highlight w:val="none"/>
                      <w:u w:val="none"/>
                      <w:lang w:val="en-US" w:eastAsia="zh-CN" w:bidi="ar"/>
                    </w:rPr>
                    <w:t>序号</w:t>
                  </w:r>
                </w:p>
              </w:tc>
              <w:tc>
                <w:tcPr>
                  <w:tcW w:w="1073" w:type="pct"/>
                  <w:tcBorders>
                    <w:tl2br w:val="nil"/>
                    <w:tr2bl w:val="nil"/>
                  </w:tcBorders>
                  <w:shd w:val="clear" w:color="auto" w:fill="auto"/>
                  <w:vAlign w:val="center"/>
                </w:tcPr>
                <w:p w14:paraId="260439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sz w:val="21"/>
                      <w:szCs w:val="21"/>
                      <w:highlight w:val="none"/>
                      <w:u w:val="none"/>
                    </w:rPr>
                  </w:pPr>
                  <w:r>
                    <w:rPr>
                      <w:rFonts w:hint="default" w:ascii="Times New Roman" w:hAnsi="Times New Roman" w:eastAsia="仿宋" w:cs="Times New Roman"/>
                      <w:i w:val="0"/>
                      <w:iCs w:val="0"/>
                      <w:color w:val="FF0000"/>
                      <w:kern w:val="0"/>
                      <w:sz w:val="21"/>
                      <w:szCs w:val="21"/>
                      <w:highlight w:val="none"/>
                      <w:u w:val="none"/>
                      <w:lang w:val="en-US" w:eastAsia="zh-CN" w:bidi="ar"/>
                    </w:rPr>
                    <w:t>设备名称</w:t>
                  </w:r>
                </w:p>
              </w:tc>
              <w:tc>
                <w:tcPr>
                  <w:tcW w:w="482" w:type="pct"/>
                  <w:tcBorders>
                    <w:tl2br w:val="nil"/>
                    <w:tr2bl w:val="nil"/>
                  </w:tcBorders>
                  <w:shd w:val="clear" w:color="auto" w:fill="auto"/>
                  <w:vAlign w:val="center"/>
                </w:tcPr>
                <w:p w14:paraId="099662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sz w:val="21"/>
                      <w:szCs w:val="21"/>
                      <w:highlight w:val="none"/>
                      <w:u w:val="none"/>
                    </w:rPr>
                  </w:pPr>
                  <w:r>
                    <w:rPr>
                      <w:rFonts w:hint="default" w:ascii="Times New Roman" w:hAnsi="Times New Roman" w:eastAsia="仿宋" w:cs="Times New Roman"/>
                      <w:i w:val="0"/>
                      <w:iCs w:val="0"/>
                      <w:color w:val="FF0000"/>
                      <w:kern w:val="0"/>
                      <w:sz w:val="21"/>
                      <w:szCs w:val="21"/>
                      <w:highlight w:val="none"/>
                      <w:u w:val="none"/>
                      <w:lang w:val="en-US" w:eastAsia="zh-CN" w:bidi="ar"/>
                    </w:rPr>
                    <w:t>单位</w:t>
                  </w:r>
                </w:p>
              </w:tc>
              <w:tc>
                <w:tcPr>
                  <w:tcW w:w="426" w:type="pct"/>
                  <w:tcBorders>
                    <w:tl2br w:val="nil"/>
                    <w:tr2bl w:val="nil"/>
                  </w:tcBorders>
                  <w:shd w:val="clear" w:color="auto" w:fill="auto"/>
                  <w:vAlign w:val="center"/>
                </w:tcPr>
                <w:p w14:paraId="4BD9EC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sz w:val="21"/>
                      <w:szCs w:val="21"/>
                      <w:highlight w:val="none"/>
                      <w:u w:val="none"/>
                    </w:rPr>
                  </w:pPr>
                  <w:r>
                    <w:rPr>
                      <w:rFonts w:hint="default" w:ascii="Times New Roman" w:hAnsi="Times New Roman" w:eastAsia="仿宋" w:cs="Times New Roman"/>
                      <w:i w:val="0"/>
                      <w:iCs w:val="0"/>
                      <w:color w:val="FF0000"/>
                      <w:kern w:val="0"/>
                      <w:sz w:val="21"/>
                      <w:szCs w:val="21"/>
                      <w:highlight w:val="none"/>
                      <w:u w:val="none"/>
                      <w:lang w:val="en-US" w:eastAsia="zh-CN" w:bidi="ar"/>
                    </w:rPr>
                    <w:t>数量</w:t>
                  </w:r>
                </w:p>
              </w:tc>
              <w:tc>
                <w:tcPr>
                  <w:tcW w:w="1023" w:type="pct"/>
                  <w:tcBorders>
                    <w:tl2br w:val="nil"/>
                    <w:tr2bl w:val="nil"/>
                  </w:tcBorders>
                  <w:shd w:val="clear" w:color="auto" w:fill="auto"/>
                  <w:vAlign w:val="center"/>
                </w:tcPr>
                <w:p w14:paraId="647FA3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型号</w:t>
                  </w:r>
                </w:p>
              </w:tc>
              <w:tc>
                <w:tcPr>
                  <w:tcW w:w="1180" w:type="pct"/>
                  <w:tcBorders>
                    <w:tl2br w:val="nil"/>
                    <w:tr2bl w:val="nil"/>
                  </w:tcBorders>
                  <w:shd w:val="clear" w:color="auto" w:fill="auto"/>
                  <w:vAlign w:val="center"/>
                </w:tcPr>
                <w:p w14:paraId="5D3224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备注</w:t>
                  </w:r>
                </w:p>
              </w:tc>
            </w:tr>
            <w:tr w14:paraId="1AFA386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92" w:type="pct"/>
                  <w:vMerge w:val="restart"/>
                  <w:tcBorders>
                    <w:tl2br w:val="nil"/>
                    <w:tr2bl w:val="nil"/>
                  </w:tcBorders>
                  <w:shd w:val="clear" w:color="auto" w:fill="auto"/>
                  <w:vAlign w:val="center"/>
                </w:tcPr>
                <w:p w14:paraId="1B9FBE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sz w:val="21"/>
                      <w:szCs w:val="21"/>
                      <w:highlight w:val="none"/>
                      <w:u w:val="none"/>
                    </w:rPr>
                  </w:pPr>
                  <w:r>
                    <w:rPr>
                      <w:rFonts w:hint="default" w:ascii="Times New Roman" w:hAnsi="Times New Roman" w:eastAsia="仿宋" w:cs="Times New Roman"/>
                      <w:i w:val="0"/>
                      <w:iCs w:val="0"/>
                      <w:color w:val="FF0000"/>
                      <w:kern w:val="0"/>
                      <w:sz w:val="21"/>
                      <w:szCs w:val="21"/>
                      <w:highlight w:val="none"/>
                      <w:u w:val="none"/>
                      <w:lang w:val="en-US" w:eastAsia="zh-CN" w:bidi="ar"/>
                    </w:rPr>
                    <w:t>采矿</w:t>
                  </w:r>
                </w:p>
              </w:tc>
              <w:tc>
                <w:tcPr>
                  <w:tcW w:w="321" w:type="pct"/>
                  <w:tcBorders>
                    <w:tl2br w:val="nil"/>
                    <w:tr2bl w:val="nil"/>
                  </w:tcBorders>
                  <w:shd w:val="clear" w:color="auto" w:fill="auto"/>
                  <w:vAlign w:val="center"/>
                </w:tcPr>
                <w:p w14:paraId="6EAE5F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default" w:ascii="Times New Roman" w:hAnsi="Times New Roman" w:eastAsia="仿宋" w:cs="Times New Roman"/>
                      <w:i w:val="0"/>
                      <w:iCs w:val="0"/>
                      <w:color w:val="FF0000"/>
                      <w:kern w:val="0"/>
                      <w:sz w:val="21"/>
                      <w:szCs w:val="21"/>
                      <w:highlight w:val="none"/>
                      <w:u w:val="none"/>
                      <w:lang w:val="en-US" w:eastAsia="zh-CN" w:bidi="ar"/>
                    </w:rPr>
                    <w:t>l</w:t>
                  </w:r>
                </w:p>
              </w:tc>
              <w:tc>
                <w:tcPr>
                  <w:tcW w:w="1073" w:type="pct"/>
                  <w:tcBorders>
                    <w:tl2br w:val="nil"/>
                    <w:tr2bl w:val="nil"/>
                  </w:tcBorders>
                  <w:shd w:val="clear" w:color="auto" w:fill="auto"/>
                  <w:vAlign w:val="center"/>
                </w:tcPr>
                <w:p w14:paraId="1AC4C4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液压</w:t>
                  </w:r>
                  <w:r>
                    <w:rPr>
                      <w:rFonts w:hint="default" w:ascii="Times New Roman" w:hAnsi="Times New Roman" w:eastAsia="仿宋" w:cs="Times New Roman"/>
                      <w:i w:val="0"/>
                      <w:iCs w:val="0"/>
                      <w:color w:val="FF0000"/>
                      <w:kern w:val="0"/>
                      <w:sz w:val="21"/>
                      <w:szCs w:val="21"/>
                      <w:highlight w:val="none"/>
                      <w:u w:val="none"/>
                      <w:lang w:val="en-US" w:eastAsia="zh-CN" w:bidi="ar"/>
                    </w:rPr>
                    <w:t>挖掘机</w:t>
                  </w:r>
                </w:p>
              </w:tc>
              <w:tc>
                <w:tcPr>
                  <w:tcW w:w="482" w:type="pct"/>
                  <w:tcBorders>
                    <w:tl2br w:val="nil"/>
                    <w:tr2bl w:val="nil"/>
                  </w:tcBorders>
                  <w:shd w:val="clear" w:color="auto" w:fill="auto"/>
                  <w:vAlign w:val="center"/>
                </w:tcPr>
                <w:p w14:paraId="2F1207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default" w:ascii="Times New Roman" w:hAnsi="Times New Roman" w:eastAsia="仿宋" w:cs="Times New Roman"/>
                      <w:i w:val="0"/>
                      <w:iCs w:val="0"/>
                      <w:color w:val="FF0000"/>
                      <w:kern w:val="0"/>
                      <w:sz w:val="21"/>
                      <w:szCs w:val="21"/>
                      <w:highlight w:val="none"/>
                      <w:u w:val="none"/>
                      <w:lang w:val="en-US" w:eastAsia="zh-CN" w:bidi="ar"/>
                    </w:rPr>
                    <w:t>台</w:t>
                  </w:r>
                </w:p>
              </w:tc>
              <w:tc>
                <w:tcPr>
                  <w:tcW w:w="426" w:type="pct"/>
                  <w:tcBorders>
                    <w:tl2br w:val="nil"/>
                    <w:tr2bl w:val="nil"/>
                  </w:tcBorders>
                  <w:shd w:val="clear" w:color="auto" w:fill="auto"/>
                  <w:vAlign w:val="center"/>
                </w:tcPr>
                <w:p w14:paraId="5CC46F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1</w:t>
                  </w:r>
                </w:p>
              </w:tc>
              <w:tc>
                <w:tcPr>
                  <w:tcW w:w="1023" w:type="pct"/>
                  <w:tcBorders>
                    <w:tl2br w:val="nil"/>
                    <w:tr2bl w:val="nil"/>
                  </w:tcBorders>
                  <w:shd w:val="clear" w:color="auto" w:fill="auto"/>
                  <w:vAlign w:val="center"/>
                </w:tcPr>
                <w:p w14:paraId="47BD55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SE375LC-9W</w:t>
                  </w:r>
                </w:p>
              </w:tc>
              <w:tc>
                <w:tcPr>
                  <w:tcW w:w="1180" w:type="pct"/>
                  <w:tcBorders>
                    <w:tl2br w:val="nil"/>
                    <w:tr2bl w:val="nil"/>
                  </w:tcBorders>
                  <w:shd w:val="clear" w:color="auto" w:fill="auto"/>
                  <w:vAlign w:val="center"/>
                </w:tcPr>
                <w:p w14:paraId="7C1190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新购</w:t>
                  </w:r>
                </w:p>
              </w:tc>
            </w:tr>
            <w:tr w14:paraId="51D504E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492" w:type="pct"/>
                  <w:vMerge w:val="continue"/>
                  <w:tcBorders>
                    <w:tl2br w:val="nil"/>
                    <w:tr2bl w:val="nil"/>
                  </w:tcBorders>
                  <w:shd w:val="clear" w:color="auto" w:fill="auto"/>
                  <w:vAlign w:val="center"/>
                </w:tcPr>
                <w:p w14:paraId="31B2F27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FF0000"/>
                      <w:sz w:val="21"/>
                      <w:szCs w:val="21"/>
                      <w:highlight w:val="none"/>
                      <w:u w:val="none"/>
                    </w:rPr>
                  </w:pPr>
                </w:p>
              </w:tc>
              <w:tc>
                <w:tcPr>
                  <w:tcW w:w="321" w:type="pct"/>
                  <w:tcBorders>
                    <w:tl2br w:val="nil"/>
                    <w:tr2bl w:val="nil"/>
                  </w:tcBorders>
                  <w:shd w:val="clear" w:color="auto" w:fill="auto"/>
                  <w:vAlign w:val="center"/>
                </w:tcPr>
                <w:p w14:paraId="1331BA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default" w:ascii="Times New Roman" w:hAnsi="Times New Roman" w:eastAsia="仿宋" w:cs="Times New Roman"/>
                      <w:i w:val="0"/>
                      <w:iCs w:val="0"/>
                      <w:color w:val="FF0000"/>
                      <w:kern w:val="0"/>
                      <w:sz w:val="21"/>
                      <w:szCs w:val="21"/>
                      <w:highlight w:val="none"/>
                      <w:u w:val="none"/>
                      <w:lang w:val="en-US" w:eastAsia="zh-CN" w:bidi="ar"/>
                    </w:rPr>
                    <w:t xml:space="preserve">2 </w:t>
                  </w:r>
                </w:p>
              </w:tc>
              <w:tc>
                <w:tcPr>
                  <w:tcW w:w="1073" w:type="pct"/>
                  <w:tcBorders>
                    <w:tl2br w:val="nil"/>
                    <w:tr2bl w:val="nil"/>
                  </w:tcBorders>
                  <w:shd w:val="clear" w:color="auto" w:fill="auto"/>
                  <w:vAlign w:val="center"/>
                </w:tcPr>
                <w:p w14:paraId="24C93D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轮胎式装载机</w:t>
                  </w:r>
                </w:p>
              </w:tc>
              <w:tc>
                <w:tcPr>
                  <w:tcW w:w="482" w:type="pct"/>
                  <w:tcBorders>
                    <w:tl2br w:val="nil"/>
                    <w:tr2bl w:val="nil"/>
                  </w:tcBorders>
                  <w:shd w:val="clear" w:color="auto" w:fill="auto"/>
                  <w:vAlign w:val="center"/>
                </w:tcPr>
                <w:p w14:paraId="76D219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default" w:ascii="Times New Roman" w:hAnsi="Times New Roman" w:eastAsia="仿宋" w:cs="Times New Roman"/>
                      <w:i w:val="0"/>
                      <w:iCs w:val="0"/>
                      <w:color w:val="FF0000"/>
                      <w:kern w:val="0"/>
                      <w:sz w:val="21"/>
                      <w:szCs w:val="21"/>
                      <w:highlight w:val="none"/>
                      <w:u w:val="none"/>
                      <w:lang w:val="en-US" w:eastAsia="zh-CN" w:bidi="ar"/>
                    </w:rPr>
                    <w:t>台</w:t>
                  </w:r>
                </w:p>
              </w:tc>
              <w:tc>
                <w:tcPr>
                  <w:tcW w:w="426" w:type="pct"/>
                  <w:tcBorders>
                    <w:tl2br w:val="nil"/>
                    <w:tr2bl w:val="nil"/>
                  </w:tcBorders>
                  <w:shd w:val="clear" w:color="auto" w:fill="auto"/>
                  <w:vAlign w:val="center"/>
                </w:tcPr>
                <w:p w14:paraId="308B75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1</w:t>
                  </w:r>
                </w:p>
              </w:tc>
              <w:tc>
                <w:tcPr>
                  <w:tcW w:w="1023" w:type="pct"/>
                  <w:tcBorders>
                    <w:tl2br w:val="nil"/>
                    <w:tr2bl w:val="nil"/>
                  </w:tcBorders>
                  <w:shd w:val="clear" w:color="auto" w:fill="auto"/>
                  <w:vAlign w:val="center"/>
                </w:tcPr>
                <w:p w14:paraId="01D248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FL960H-HD</w:t>
                  </w:r>
                </w:p>
              </w:tc>
              <w:tc>
                <w:tcPr>
                  <w:tcW w:w="1180" w:type="pct"/>
                  <w:tcBorders>
                    <w:tl2br w:val="nil"/>
                    <w:tr2bl w:val="nil"/>
                  </w:tcBorders>
                  <w:shd w:val="clear" w:color="auto" w:fill="auto"/>
                  <w:vAlign w:val="center"/>
                </w:tcPr>
                <w:p w14:paraId="5B4929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新购</w:t>
                  </w:r>
                </w:p>
              </w:tc>
            </w:tr>
            <w:tr w14:paraId="0283296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92" w:type="pct"/>
                  <w:vMerge w:val="continue"/>
                  <w:tcBorders>
                    <w:tl2br w:val="nil"/>
                    <w:tr2bl w:val="nil"/>
                  </w:tcBorders>
                  <w:shd w:val="clear" w:color="auto" w:fill="auto"/>
                  <w:vAlign w:val="center"/>
                </w:tcPr>
                <w:p w14:paraId="4C8FBFD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FF0000"/>
                      <w:sz w:val="21"/>
                      <w:szCs w:val="21"/>
                      <w:highlight w:val="none"/>
                      <w:u w:val="none"/>
                    </w:rPr>
                  </w:pPr>
                </w:p>
              </w:tc>
              <w:tc>
                <w:tcPr>
                  <w:tcW w:w="321" w:type="pct"/>
                  <w:tcBorders>
                    <w:tl2br w:val="nil"/>
                    <w:tr2bl w:val="nil"/>
                  </w:tcBorders>
                  <w:shd w:val="clear" w:color="auto" w:fill="auto"/>
                  <w:vAlign w:val="center"/>
                </w:tcPr>
                <w:p w14:paraId="291686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3</w:t>
                  </w:r>
                </w:p>
              </w:tc>
              <w:tc>
                <w:tcPr>
                  <w:tcW w:w="1073" w:type="pct"/>
                  <w:tcBorders>
                    <w:tl2br w:val="nil"/>
                    <w:tr2bl w:val="nil"/>
                  </w:tcBorders>
                  <w:shd w:val="clear" w:color="auto" w:fill="auto"/>
                  <w:vAlign w:val="center"/>
                </w:tcPr>
                <w:p w14:paraId="20F137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轻型矿用自卸车</w:t>
                  </w:r>
                </w:p>
              </w:tc>
              <w:tc>
                <w:tcPr>
                  <w:tcW w:w="482" w:type="pct"/>
                  <w:tcBorders>
                    <w:tl2br w:val="nil"/>
                    <w:tr2bl w:val="nil"/>
                  </w:tcBorders>
                  <w:shd w:val="clear" w:color="auto" w:fill="auto"/>
                  <w:vAlign w:val="center"/>
                </w:tcPr>
                <w:p w14:paraId="141E8E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default" w:ascii="Times New Roman" w:hAnsi="Times New Roman" w:eastAsia="仿宋" w:cs="Times New Roman"/>
                      <w:i w:val="0"/>
                      <w:iCs w:val="0"/>
                      <w:color w:val="FF0000"/>
                      <w:kern w:val="0"/>
                      <w:sz w:val="21"/>
                      <w:szCs w:val="21"/>
                      <w:highlight w:val="none"/>
                      <w:u w:val="none"/>
                      <w:lang w:val="en-US" w:eastAsia="zh-CN" w:bidi="ar"/>
                    </w:rPr>
                    <w:t>台</w:t>
                  </w:r>
                </w:p>
              </w:tc>
              <w:tc>
                <w:tcPr>
                  <w:tcW w:w="426" w:type="pct"/>
                  <w:tcBorders>
                    <w:tl2br w:val="nil"/>
                    <w:tr2bl w:val="nil"/>
                  </w:tcBorders>
                  <w:shd w:val="clear" w:color="auto" w:fill="auto"/>
                  <w:vAlign w:val="center"/>
                </w:tcPr>
                <w:p w14:paraId="514471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2</w:t>
                  </w:r>
                </w:p>
              </w:tc>
              <w:tc>
                <w:tcPr>
                  <w:tcW w:w="1023" w:type="pct"/>
                  <w:tcBorders>
                    <w:tl2br w:val="nil"/>
                    <w:tr2bl w:val="nil"/>
                  </w:tcBorders>
                  <w:shd w:val="clear" w:color="auto" w:fill="auto"/>
                  <w:vAlign w:val="center"/>
                </w:tcPr>
                <w:p w14:paraId="7AE706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XDM60</w:t>
                  </w:r>
                </w:p>
              </w:tc>
              <w:tc>
                <w:tcPr>
                  <w:tcW w:w="1180" w:type="pct"/>
                  <w:tcBorders>
                    <w:tl2br w:val="nil"/>
                    <w:tr2bl w:val="nil"/>
                  </w:tcBorders>
                  <w:shd w:val="clear" w:color="auto" w:fill="auto"/>
                  <w:vAlign w:val="center"/>
                </w:tcPr>
                <w:p w14:paraId="6DA0CE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新购</w:t>
                  </w:r>
                </w:p>
              </w:tc>
            </w:tr>
            <w:tr w14:paraId="497D0FF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92" w:type="pct"/>
                  <w:vMerge w:val="continue"/>
                  <w:tcBorders>
                    <w:tl2br w:val="nil"/>
                    <w:tr2bl w:val="nil"/>
                  </w:tcBorders>
                  <w:shd w:val="clear" w:color="auto" w:fill="auto"/>
                  <w:vAlign w:val="center"/>
                </w:tcPr>
                <w:p w14:paraId="3E0CC5F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FF0000"/>
                      <w:sz w:val="21"/>
                      <w:szCs w:val="21"/>
                      <w:highlight w:val="none"/>
                      <w:u w:val="none"/>
                    </w:rPr>
                  </w:pPr>
                </w:p>
              </w:tc>
              <w:tc>
                <w:tcPr>
                  <w:tcW w:w="321" w:type="pct"/>
                  <w:tcBorders>
                    <w:tl2br w:val="nil"/>
                    <w:tr2bl w:val="nil"/>
                  </w:tcBorders>
                  <w:shd w:val="clear" w:color="auto" w:fill="auto"/>
                  <w:vAlign w:val="center"/>
                </w:tcPr>
                <w:p w14:paraId="3C2FA870">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4</w:t>
                  </w:r>
                </w:p>
              </w:tc>
              <w:tc>
                <w:tcPr>
                  <w:tcW w:w="1073" w:type="pct"/>
                  <w:tcBorders>
                    <w:tl2br w:val="nil"/>
                    <w:tr2bl w:val="nil"/>
                  </w:tcBorders>
                  <w:shd w:val="clear" w:color="auto" w:fill="auto"/>
                  <w:vAlign w:val="center"/>
                </w:tcPr>
                <w:p w14:paraId="6695EE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10t洒水车</w:t>
                  </w:r>
                </w:p>
              </w:tc>
              <w:tc>
                <w:tcPr>
                  <w:tcW w:w="482" w:type="pct"/>
                  <w:tcBorders>
                    <w:tl2br w:val="nil"/>
                    <w:tr2bl w:val="nil"/>
                  </w:tcBorders>
                  <w:shd w:val="clear" w:color="auto" w:fill="auto"/>
                  <w:vAlign w:val="center"/>
                </w:tcPr>
                <w:p w14:paraId="0E9606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台</w:t>
                  </w:r>
                </w:p>
              </w:tc>
              <w:tc>
                <w:tcPr>
                  <w:tcW w:w="426" w:type="pct"/>
                  <w:tcBorders>
                    <w:tl2br w:val="nil"/>
                    <w:tr2bl w:val="nil"/>
                  </w:tcBorders>
                  <w:shd w:val="clear" w:color="auto" w:fill="auto"/>
                  <w:vAlign w:val="center"/>
                </w:tcPr>
                <w:p w14:paraId="7FC74E29">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1</w:t>
                  </w:r>
                </w:p>
              </w:tc>
              <w:tc>
                <w:tcPr>
                  <w:tcW w:w="1023" w:type="pct"/>
                  <w:tcBorders>
                    <w:tl2br w:val="nil"/>
                    <w:tr2bl w:val="nil"/>
                  </w:tcBorders>
                  <w:shd w:val="clear" w:color="auto" w:fill="auto"/>
                  <w:vAlign w:val="center"/>
                </w:tcPr>
                <w:p w14:paraId="1D3E0641">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w:t>
                  </w:r>
                </w:p>
              </w:tc>
              <w:tc>
                <w:tcPr>
                  <w:tcW w:w="1180" w:type="pct"/>
                  <w:tcBorders>
                    <w:tl2br w:val="nil"/>
                    <w:tr2bl w:val="nil"/>
                  </w:tcBorders>
                  <w:shd w:val="clear" w:color="auto" w:fill="auto"/>
                  <w:vAlign w:val="center"/>
                </w:tcPr>
                <w:p w14:paraId="7729A1CB">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eastAsia"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新购</w:t>
                  </w:r>
                </w:p>
              </w:tc>
            </w:tr>
            <w:tr w14:paraId="3BEA155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492" w:type="pct"/>
                  <w:vMerge w:val="restart"/>
                  <w:tcBorders>
                    <w:tl2br w:val="nil"/>
                    <w:tr2bl w:val="nil"/>
                  </w:tcBorders>
                  <w:shd w:val="clear" w:color="auto" w:fill="auto"/>
                  <w:vAlign w:val="center"/>
                </w:tcPr>
                <w:p w14:paraId="2A649A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石料</w:t>
                  </w:r>
                </w:p>
                <w:p w14:paraId="43532B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sz w:val="21"/>
                      <w:szCs w:val="21"/>
                      <w:highlight w:val="none"/>
                      <w:u w:val="none"/>
                      <w:lang w:val="en-US"/>
                    </w:rPr>
                  </w:pPr>
                  <w:r>
                    <w:rPr>
                      <w:rFonts w:hint="eastAsia" w:eastAsia="仿宋" w:cs="Times New Roman"/>
                      <w:i w:val="0"/>
                      <w:iCs w:val="0"/>
                      <w:color w:val="FF0000"/>
                      <w:kern w:val="0"/>
                      <w:sz w:val="21"/>
                      <w:szCs w:val="21"/>
                      <w:highlight w:val="none"/>
                      <w:u w:val="none"/>
                      <w:lang w:val="en-US" w:eastAsia="zh-CN" w:bidi="ar"/>
                    </w:rPr>
                    <w:t>加工</w:t>
                  </w:r>
                </w:p>
              </w:tc>
              <w:tc>
                <w:tcPr>
                  <w:tcW w:w="321" w:type="pct"/>
                  <w:tcBorders>
                    <w:tl2br w:val="nil"/>
                    <w:tr2bl w:val="nil"/>
                  </w:tcBorders>
                  <w:shd w:val="clear" w:color="auto" w:fill="auto"/>
                  <w:vAlign w:val="center"/>
                </w:tcPr>
                <w:p w14:paraId="2E785D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default" w:ascii="Times New Roman" w:hAnsi="Times New Roman" w:eastAsia="仿宋" w:cs="Times New Roman"/>
                      <w:i w:val="0"/>
                      <w:iCs w:val="0"/>
                      <w:color w:val="FF0000"/>
                      <w:kern w:val="0"/>
                      <w:sz w:val="21"/>
                      <w:szCs w:val="21"/>
                      <w:highlight w:val="none"/>
                      <w:u w:val="none"/>
                      <w:lang w:val="en-US" w:eastAsia="zh-CN" w:bidi="ar"/>
                    </w:rPr>
                    <w:t xml:space="preserve">1 </w:t>
                  </w:r>
                </w:p>
              </w:tc>
              <w:tc>
                <w:tcPr>
                  <w:tcW w:w="1073" w:type="pct"/>
                  <w:tcBorders>
                    <w:tl2br w:val="nil"/>
                    <w:tr2bl w:val="nil"/>
                  </w:tcBorders>
                  <w:shd w:val="clear" w:color="auto" w:fill="auto"/>
                  <w:vAlign w:val="center"/>
                </w:tcPr>
                <w:p w14:paraId="26CB06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振动给料机</w:t>
                  </w:r>
                </w:p>
              </w:tc>
              <w:tc>
                <w:tcPr>
                  <w:tcW w:w="482" w:type="pct"/>
                  <w:tcBorders>
                    <w:tl2br w:val="nil"/>
                    <w:tr2bl w:val="nil"/>
                  </w:tcBorders>
                  <w:shd w:val="clear" w:color="auto" w:fill="auto"/>
                  <w:vAlign w:val="center"/>
                </w:tcPr>
                <w:p w14:paraId="6C4CB8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台</w:t>
                  </w:r>
                </w:p>
              </w:tc>
              <w:tc>
                <w:tcPr>
                  <w:tcW w:w="426" w:type="pct"/>
                  <w:tcBorders>
                    <w:tl2br w:val="nil"/>
                    <w:tr2bl w:val="nil"/>
                  </w:tcBorders>
                  <w:shd w:val="clear" w:color="auto" w:fill="auto"/>
                  <w:vAlign w:val="center"/>
                </w:tcPr>
                <w:p w14:paraId="4B5E59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1</w:t>
                  </w:r>
                </w:p>
              </w:tc>
              <w:tc>
                <w:tcPr>
                  <w:tcW w:w="1023" w:type="pct"/>
                  <w:tcBorders>
                    <w:tl2br w:val="nil"/>
                    <w:tr2bl w:val="nil"/>
                  </w:tcBorders>
                  <w:shd w:val="clear" w:color="auto" w:fill="auto"/>
                  <w:vAlign w:val="top"/>
                </w:tcPr>
                <w:p w14:paraId="58A453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ZSW4911</w:t>
                  </w:r>
                </w:p>
              </w:tc>
              <w:tc>
                <w:tcPr>
                  <w:tcW w:w="1180" w:type="pct"/>
                  <w:tcBorders>
                    <w:tl2br w:val="nil"/>
                    <w:tr2bl w:val="nil"/>
                  </w:tcBorders>
                  <w:shd w:val="clear" w:color="auto" w:fill="auto"/>
                  <w:vAlign w:val="top"/>
                </w:tcPr>
                <w:p w14:paraId="01DD6E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新购</w:t>
                  </w:r>
                </w:p>
              </w:tc>
            </w:tr>
            <w:tr w14:paraId="05767C1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92" w:type="pct"/>
                  <w:vMerge w:val="continue"/>
                  <w:tcBorders>
                    <w:tl2br w:val="nil"/>
                    <w:tr2bl w:val="nil"/>
                  </w:tcBorders>
                  <w:shd w:val="clear" w:color="auto" w:fill="auto"/>
                  <w:vAlign w:val="center"/>
                </w:tcPr>
                <w:p w14:paraId="5909B1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eastAsia="仿宋" w:cs="Times New Roman"/>
                      <w:i w:val="0"/>
                      <w:iCs w:val="0"/>
                      <w:color w:val="FF0000"/>
                      <w:kern w:val="0"/>
                      <w:sz w:val="21"/>
                      <w:szCs w:val="21"/>
                      <w:highlight w:val="none"/>
                      <w:u w:val="none"/>
                      <w:lang w:val="en-US" w:eastAsia="zh-CN" w:bidi="ar"/>
                    </w:rPr>
                  </w:pPr>
                </w:p>
              </w:tc>
              <w:tc>
                <w:tcPr>
                  <w:tcW w:w="321" w:type="pct"/>
                  <w:tcBorders>
                    <w:tl2br w:val="nil"/>
                    <w:tr2bl w:val="nil"/>
                  </w:tcBorders>
                  <w:shd w:val="clear" w:color="auto" w:fill="auto"/>
                  <w:vAlign w:val="center"/>
                </w:tcPr>
                <w:p w14:paraId="3EBFD0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2</w:t>
                  </w:r>
                </w:p>
              </w:tc>
              <w:tc>
                <w:tcPr>
                  <w:tcW w:w="1073" w:type="pct"/>
                  <w:tcBorders>
                    <w:tl2br w:val="nil"/>
                    <w:tr2bl w:val="nil"/>
                  </w:tcBorders>
                  <w:shd w:val="clear" w:color="auto" w:fill="auto"/>
                  <w:vAlign w:val="center"/>
                </w:tcPr>
                <w:p w14:paraId="4FE143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振动给料机</w:t>
                  </w:r>
                </w:p>
              </w:tc>
              <w:tc>
                <w:tcPr>
                  <w:tcW w:w="482" w:type="pct"/>
                  <w:tcBorders>
                    <w:tl2br w:val="nil"/>
                    <w:tr2bl w:val="nil"/>
                  </w:tcBorders>
                  <w:shd w:val="clear" w:color="auto" w:fill="auto"/>
                  <w:vAlign w:val="center"/>
                </w:tcPr>
                <w:p w14:paraId="1F13C6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台</w:t>
                  </w:r>
                </w:p>
              </w:tc>
              <w:tc>
                <w:tcPr>
                  <w:tcW w:w="426" w:type="pct"/>
                  <w:tcBorders>
                    <w:tl2br w:val="nil"/>
                    <w:tr2bl w:val="nil"/>
                  </w:tcBorders>
                  <w:shd w:val="clear" w:color="auto" w:fill="auto"/>
                  <w:vAlign w:val="center"/>
                </w:tcPr>
                <w:p w14:paraId="11C97C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1</w:t>
                  </w:r>
                </w:p>
              </w:tc>
              <w:tc>
                <w:tcPr>
                  <w:tcW w:w="1023" w:type="pct"/>
                  <w:tcBorders>
                    <w:tl2br w:val="nil"/>
                    <w:tr2bl w:val="nil"/>
                  </w:tcBorders>
                  <w:shd w:val="clear" w:color="auto" w:fill="auto"/>
                  <w:vAlign w:val="top"/>
                </w:tcPr>
                <w:p w14:paraId="3E2671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GZD0915</w:t>
                  </w:r>
                </w:p>
              </w:tc>
              <w:tc>
                <w:tcPr>
                  <w:tcW w:w="1180" w:type="pct"/>
                  <w:tcBorders>
                    <w:tl2br w:val="nil"/>
                    <w:tr2bl w:val="nil"/>
                  </w:tcBorders>
                  <w:shd w:val="clear" w:color="auto" w:fill="auto"/>
                  <w:vAlign w:val="top"/>
                </w:tcPr>
                <w:p w14:paraId="7D59E0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新购</w:t>
                  </w:r>
                </w:p>
              </w:tc>
            </w:tr>
            <w:tr w14:paraId="0D7EABC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92" w:type="pct"/>
                  <w:vMerge w:val="continue"/>
                  <w:tcBorders>
                    <w:tl2br w:val="nil"/>
                    <w:tr2bl w:val="nil"/>
                  </w:tcBorders>
                  <w:shd w:val="clear" w:color="auto" w:fill="auto"/>
                  <w:vAlign w:val="center"/>
                </w:tcPr>
                <w:p w14:paraId="52DB05E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FF0000"/>
                      <w:sz w:val="21"/>
                      <w:szCs w:val="21"/>
                      <w:highlight w:val="none"/>
                      <w:u w:val="none"/>
                    </w:rPr>
                  </w:pPr>
                </w:p>
              </w:tc>
              <w:tc>
                <w:tcPr>
                  <w:tcW w:w="321" w:type="pct"/>
                  <w:tcBorders>
                    <w:tl2br w:val="nil"/>
                    <w:tr2bl w:val="nil"/>
                  </w:tcBorders>
                  <w:shd w:val="clear" w:color="auto" w:fill="auto"/>
                  <w:vAlign w:val="center"/>
                </w:tcPr>
                <w:p w14:paraId="145069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3</w:t>
                  </w:r>
                </w:p>
              </w:tc>
              <w:tc>
                <w:tcPr>
                  <w:tcW w:w="1073" w:type="pct"/>
                  <w:tcBorders>
                    <w:tl2br w:val="nil"/>
                    <w:tr2bl w:val="nil"/>
                  </w:tcBorders>
                  <w:shd w:val="clear" w:color="auto" w:fill="auto"/>
                  <w:vAlign w:val="center"/>
                </w:tcPr>
                <w:p w14:paraId="501EA9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颚式破碎机</w:t>
                  </w:r>
                </w:p>
              </w:tc>
              <w:tc>
                <w:tcPr>
                  <w:tcW w:w="482" w:type="pct"/>
                  <w:tcBorders>
                    <w:tl2br w:val="nil"/>
                    <w:tr2bl w:val="nil"/>
                  </w:tcBorders>
                  <w:shd w:val="clear" w:color="auto" w:fill="auto"/>
                  <w:vAlign w:val="center"/>
                </w:tcPr>
                <w:p w14:paraId="4A3620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台</w:t>
                  </w:r>
                </w:p>
              </w:tc>
              <w:tc>
                <w:tcPr>
                  <w:tcW w:w="426" w:type="pct"/>
                  <w:tcBorders>
                    <w:tl2br w:val="nil"/>
                    <w:tr2bl w:val="nil"/>
                  </w:tcBorders>
                  <w:shd w:val="clear" w:color="auto" w:fill="auto"/>
                  <w:vAlign w:val="center"/>
                </w:tcPr>
                <w:p w14:paraId="25A868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1</w:t>
                  </w:r>
                </w:p>
              </w:tc>
              <w:tc>
                <w:tcPr>
                  <w:tcW w:w="1023" w:type="pct"/>
                  <w:tcBorders>
                    <w:tl2br w:val="nil"/>
                    <w:tr2bl w:val="nil"/>
                  </w:tcBorders>
                  <w:shd w:val="clear" w:color="auto" w:fill="auto"/>
                  <w:vAlign w:val="top"/>
                </w:tcPr>
                <w:p w14:paraId="447DA1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PEV750×1060</w:t>
                  </w:r>
                </w:p>
              </w:tc>
              <w:tc>
                <w:tcPr>
                  <w:tcW w:w="1180" w:type="pct"/>
                  <w:tcBorders>
                    <w:tl2br w:val="nil"/>
                    <w:tr2bl w:val="nil"/>
                  </w:tcBorders>
                  <w:shd w:val="clear" w:color="auto" w:fill="auto"/>
                  <w:vAlign w:val="top"/>
                </w:tcPr>
                <w:p w14:paraId="19FBD3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新购</w:t>
                  </w:r>
                </w:p>
              </w:tc>
            </w:tr>
            <w:tr w14:paraId="0B88CB7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92" w:type="pct"/>
                  <w:vMerge w:val="continue"/>
                  <w:tcBorders>
                    <w:tl2br w:val="nil"/>
                    <w:tr2bl w:val="nil"/>
                  </w:tcBorders>
                  <w:shd w:val="clear" w:color="auto" w:fill="auto"/>
                  <w:vAlign w:val="center"/>
                </w:tcPr>
                <w:p w14:paraId="77C9265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FF0000"/>
                      <w:sz w:val="21"/>
                      <w:szCs w:val="21"/>
                      <w:highlight w:val="none"/>
                      <w:u w:val="none"/>
                    </w:rPr>
                  </w:pPr>
                </w:p>
              </w:tc>
              <w:tc>
                <w:tcPr>
                  <w:tcW w:w="321" w:type="pct"/>
                  <w:tcBorders>
                    <w:tl2br w:val="nil"/>
                    <w:tr2bl w:val="nil"/>
                  </w:tcBorders>
                  <w:shd w:val="clear" w:color="auto" w:fill="auto"/>
                  <w:vAlign w:val="center"/>
                </w:tcPr>
                <w:p w14:paraId="7053E5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4</w:t>
                  </w:r>
                </w:p>
              </w:tc>
              <w:tc>
                <w:tcPr>
                  <w:tcW w:w="1073" w:type="pct"/>
                  <w:tcBorders>
                    <w:tl2br w:val="nil"/>
                    <w:tr2bl w:val="nil"/>
                  </w:tcBorders>
                  <w:shd w:val="clear" w:color="auto" w:fill="auto"/>
                  <w:vAlign w:val="center"/>
                </w:tcPr>
                <w:p w14:paraId="0BC0C9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圆锥破碎机</w:t>
                  </w:r>
                </w:p>
              </w:tc>
              <w:tc>
                <w:tcPr>
                  <w:tcW w:w="482" w:type="pct"/>
                  <w:tcBorders>
                    <w:tl2br w:val="nil"/>
                    <w:tr2bl w:val="nil"/>
                  </w:tcBorders>
                  <w:shd w:val="clear" w:color="auto" w:fill="auto"/>
                  <w:vAlign w:val="center"/>
                </w:tcPr>
                <w:p w14:paraId="0F2141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台</w:t>
                  </w:r>
                </w:p>
              </w:tc>
              <w:tc>
                <w:tcPr>
                  <w:tcW w:w="426" w:type="pct"/>
                  <w:tcBorders>
                    <w:tl2br w:val="nil"/>
                    <w:tr2bl w:val="nil"/>
                  </w:tcBorders>
                  <w:shd w:val="clear" w:color="auto" w:fill="auto"/>
                  <w:vAlign w:val="center"/>
                </w:tcPr>
                <w:p w14:paraId="10658A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1</w:t>
                  </w:r>
                </w:p>
              </w:tc>
              <w:tc>
                <w:tcPr>
                  <w:tcW w:w="1023" w:type="pct"/>
                  <w:tcBorders>
                    <w:tl2br w:val="nil"/>
                    <w:tr2bl w:val="nil"/>
                  </w:tcBorders>
                  <w:shd w:val="clear" w:color="auto" w:fill="auto"/>
                  <w:vAlign w:val="top"/>
                </w:tcPr>
                <w:p w14:paraId="2A9D9E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TYP1650</w:t>
                  </w:r>
                </w:p>
              </w:tc>
              <w:tc>
                <w:tcPr>
                  <w:tcW w:w="1180" w:type="pct"/>
                  <w:tcBorders>
                    <w:tl2br w:val="nil"/>
                    <w:tr2bl w:val="nil"/>
                  </w:tcBorders>
                  <w:shd w:val="clear" w:color="auto" w:fill="auto"/>
                  <w:vAlign w:val="top"/>
                </w:tcPr>
                <w:p w14:paraId="4EEC89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新购</w:t>
                  </w:r>
                </w:p>
              </w:tc>
            </w:tr>
            <w:tr w14:paraId="3BACA69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0" w:hRule="atLeast"/>
                <w:jc w:val="center"/>
              </w:trPr>
              <w:tc>
                <w:tcPr>
                  <w:tcW w:w="492" w:type="pct"/>
                  <w:vMerge w:val="continue"/>
                  <w:tcBorders>
                    <w:tl2br w:val="nil"/>
                    <w:tr2bl w:val="nil"/>
                  </w:tcBorders>
                  <w:shd w:val="clear" w:color="auto" w:fill="auto"/>
                  <w:vAlign w:val="center"/>
                </w:tcPr>
                <w:p w14:paraId="0A6AA3B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FF0000"/>
                      <w:sz w:val="21"/>
                      <w:szCs w:val="21"/>
                      <w:highlight w:val="none"/>
                      <w:u w:val="none"/>
                    </w:rPr>
                  </w:pPr>
                </w:p>
              </w:tc>
              <w:tc>
                <w:tcPr>
                  <w:tcW w:w="321" w:type="pct"/>
                  <w:tcBorders>
                    <w:tl2br w:val="nil"/>
                    <w:tr2bl w:val="nil"/>
                  </w:tcBorders>
                  <w:shd w:val="clear" w:color="auto" w:fill="auto"/>
                  <w:vAlign w:val="center"/>
                </w:tcPr>
                <w:p w14:paraId="172DB3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5</w:t>
                  </w:r>
                </w:p>
              </w:tc>
              <w:tc>
                <w:tcPr>
                  <w:tcW w:w="1073" w:type="pct"/>
                  <w:tcBorders>
                    <w:tl2br w:val="nil"/>
                    <w:tr2bl w:val="nil"/>
                  </w:tcBorders>
                  <w:shd w:val="clear" w:color="auto" w:fill="auto"/>
                  <w:vAlign w:val="center"/>
                </w:tcPr>
                <w:p w14:paraId="7AD771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立式冲击破</w:t>
                  </w:r>
                </w:p>
              </w:tc>
              <w:tc>
                <w:tcPr>
                  <w:tcW w:w="482" w:type="pct"/>
                  <w:tcBorders>
                    <w:tl2br w:val="nil"/>
                    <w:tr2bl w:val="nil"/>
                  </w:tcBorders>
                  <w:shd w:val="clear" w:color="auto" w:fill="auto"/>
                  <w:vAlign w:val="center"/>
                </w:tcPr>
                <w:p w14:paraId="48AE73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台</w:t>
                  </w:r>
                </w:p>
              </w:tc>
              <w:tc>
                <w:tcPr>
                  <w:tcW w:w="426" w:type="pct"/>
                  <w:tcBorders>
                    <w:tl2br w:val="nil"/>
                    <w:tr2bl w:val="nil"/>
                  </w:tcBorders>
                  <w:shd w:val="clear" w:color="auto" w:fill="auto"/>
                  <w:vAlign w:val="center"/>
                </w:tcPr>
                <w:p w14:paraId="787B4A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1</w:t>
                  </w:r>
                </w:p>
              </w:tc>
              <w:tc>
                <w:tcPr>
                  <w:tcW w:w="1023" w:type="pct"/>
                  <w:tcBorders>
                    <w:tl2br w:val="nil"/>
                    <w:tr2bl w:val="nil"/>
                  </w:tcBorders>
                  <w:shd w:val="clear" w:color="auto" w:fill="auto"/>
                  <w:vAlign w:val="top"/>
                </w:tcPr>
                <w:p w14:paraId="2B73B4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PCL9000</w:t>
                  </w:r>
                </w:p>
              </w:tc>
              <w:tc>
                <w:tcPr>
                  <w:tcW w:w="1180" w:type="pct"/>
                  <w:tcBorders>
                    <w:tl2br w:val="nil"/>
                    <w:tr2bl w:val="nil"/>
                  </w:tcBorders>
                  <w:shd w:val="clear" w:color="auto" w:fill="auto"/>
                  <w:vAlign w:val="top"/>
                </w:tcPr>
                <w:p w14:paraId="471C9C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新购</w:t>
                  </w:r>
                </w:p>
              </w:tc>
            </w:tr>
            <w:tr w14:paraId="380CA70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72" w:hRule="atLeast"/>
                <w:jc w:val="center"/>
              </w:trPr>
              <w:tc>
                <w:tcPr>
                  <w:tcW w:w="492" w:type="pct"/>
                  <w:vMerge w:val="continue"/>
                  <w:tcBorders>
                    <w:tl2br w:val="nil"/>
                    <w:tr2bl w:val="nil"/>
                  </w:tcBorders>
                  <w:shd w:val="clear" w:color="auto" w:fill="auto"/>
                  <w:vAlign w:val="center"/>
                </w:tcPr>
                <w:p w14:paraId="5BBB2BC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FF0000"/>
                      <w:sz w:val="21"/>
                      <w:szCs w:val="21"/>
                      <w:highlight w:val="none"/>
                      <w:u w:val="none"/>
                    </w:rPr>
                  </w:pPr>
                </w:p>
              </w:tc>
              <w:tc>
                <w:tcPr>
                  <w:tcW w:w="321" w:type="pct"/>
                  <w:tcBorders>
                    <w:tl2br w:val="nil"/>
                    <w:tr2bl w:val="nil"/>
                  </w:tcBorders>
                  <w:shd w:val="clear" w:color="auto" w:fill="auto"/>
                  <w:vAlign w:val="center"/>
                </w:tcPr>
                <w:p w14:paraId="2A4482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6</w:t>
                  </w:r>
                </w:p>
              </w:tc>
              <w:tc>
                <w:tcPr>
                  <w:tcW w:w="1073" w:type="pct"/>
                  <w:tcBorders>
                    <w:tl2br w:val="nil"/>
                    <w:tr2bl w:val="nil"/>
                  </w:tcBorders>
                  <w:shd w:val="clear" w:color="auto" w:fill="auto"/>
                  <w:vAlign w:val="center"/>
                </w:tcPr>
                <w:p w14:paraId="27C3B1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振动筛分机</w:t>
                  </w:r>
                </w:p>
              </w:tc>
              <w:tc>
                <w:tcPr>
                  <w:tcW w:w="482" w:type="pct"/>
                  <w:tcBorders>
                    <w:tl2br w:val="nil"/>
                    <w:tr2bl w:val="nil"/>
                  </w:tcBorders>
                  <w:shd w:val="clear" w:color="auto" w:fill="auto"/>
                  <w:vAlign w:val="center"/>
                </w:tcPr>
                <w:p w14:paraId="22143D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台</w:t>
                  </w:r>
                </w:p>
              </w:tc>
              <w:tc>
                <w:tcPr>
                  <w:tcW w:w="426" w:type="pct"/>
                  <w:tcBorders>
                    <w:tl2br w:val="nil"/>
                    <w:tr2bl w:val="nil"/>
                  </w:tcBorders>
                  <w:shd w:val="clear" w:color="auto" w:fill="auto"/>
                  <w:vAlign w:val="center"/>
                </w:tcPr>
                <w:p w14:paraId="44E8DD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3</w:t>
                  </w:r>
                </w:p>
              </w:tc>
              <w:tc>
                <w:tcPr>
                  <w:tcW w:w="1023" w:type="pct"/>
                  <w:tcBorders>
                    <w:tl2br w:val="nil"/>
                    <w:tr2bl w:val="nil"/>
                  </w:tcBorders>
                  <w:shd w:val="clear" w:color="auto" w:fill="auto"/>
                  <w:vAlign w:val="center"/>
                </w:tcPr>
                <w:p w14:paraId="7B9ED4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w:t>
                  </w:r>
                </w:p>
              </w:tc>
              <w:tc>
                <w:tcPr>
                  <w:tcW w:w="1180" w:type="pct"/>
                  <w:tcBorders>
                    <w:tl2br w:val="nil"/>
                    <w:tr2bl w:val="nil"/>
                  </w:tcBorders>
                  <w:shd w:val="clear" w:color="auto" w:fill="auto"/>
                  <w:vAlign w:val="center"/>
                </w:tcPr>
                <w:p w14:paraId="2787F6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新购</w:t>
                  </w:r>
                </w:p>
              </w:tc>
            </w:tr>
            <w:tr w14:paraId="23B854C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492" w:type="pct"/>
                  <w:vMerge w:val="continue"/>
                  <w:tcBorders>
                    <w:tl2br w:val="nil"/>
                    <w:tr2bl w:val="nil"/>
                  </w:tcBorders>
                  <w:shd w:val="clear" w:color="auto" w:fill="auto"/>
                  <w:vAlign w:val="center"/>
                </w:tcPr>
                <w:p w14:paraId="36DF333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 w:cs="Times New Roman"/>
                      <w:i w:val="0"/>
                      <w:iCs w:val="0"/>
                      <w:color w:val="FF0000"/>
                      <w:sz w:val="21"/>
                      <w:szCs w:val="21"/>
                      <w:highlight w:val="none"/>
                      <w:u w:val="none"/>
                    </w:rPr>
                  </w:pPr>
                </w:p>
              </w:tc>
              <w:tc>
                <w:tcPr>
                  <w:tcW w:w="321" w:type="pct"/>
                  <w:tcBorders>
                    <w:tl2br w:val="nil"/>
                    <w:tr2bl w:val="nil"/>
                  </w:tcBorders>
                  <w:shd w:val="clear" w:color="auto" w:fill="auto"/>
                  <w:vAlign w:val="center"/>
                </w:tcPr>
                <w:p w14:paraId="34A559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7</w:t>
                  </w:r>
                </w:p>
              </w:tc>
              <w:tc>
                <w:tcPr>
                  <w:tcW w:w="1073" w:type="pct"/>
                  <w:tcBorders>
                    <w:tl2br w:val="nil"/>
                    <w:tr2bl w:val="nil"/>
                  </w:tcBorders>
                  <w:shd w:val="clear" w:color="auto" w:fill="auto"/>
                  <w:vAlign w:val="center"/>
                </w:tcPr>
                <w:p w14:paraId="687DBC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皮带输送机</w:t>
                  </w:r>
                </w:p>
              </w:tc>
              <w:tc>
                <w:tcPr>
                  <w:tcW w:w="482" w:type="pct"/>
                  <w:tcBorders>
                    <w:tl2br w:val="nil"/>
                    <w:tr2bl w:val="nil"/>
                  </w:tcBorders>
                  <w:shd w:val="clear" w:color="auto" w:fill="auto"/>
                  <w:vAlign w:val="center"/>
                </w:tcPr>
                <w:p w14:paraId="451E14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条</w:t>
                  </w:r>
                </w:p>
              </w:tc>
              <w:tc>
                <w:tcPr>
                  <w:tcW w:w="426" w:type="pct"/>
                  <w:tcBorders>
                    <w:tl2br w:val="nil"/>
                    <w:tr2bl w:val="nil"/>
                  </w:tcBorders>
                  <w:shd w:val="clear" w:color="auto" w:fill="auto"/>
                  <w:vAlign w:val="center"/>
                </w:tcPr>
                <w:p w14:paraId="60F7A8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10</w:t>
                  </w:r>
                </w:p>
              </w:tc>
              <w:tc>
                <w:tcPr>
                  <w:tcW w:w="1023" w:type="pct"/>
                  <w:tcBorders>
                    <w:tl2br w:val="nil"/>
                    <w:tr2bl w:val="nil"/>
                  </w:tcBorders>
                  <w:shd w:val="clear" w:color="auto" w:fill="auto"/>
                  <w:vAlign w:val="center"/>
                </w:tcPr>
                <w:p w14:paraId="2D5F7C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ascii="Times New Roman" w:hAnsi="Times New Roman" w:eastAsia="仿宋" w:cs="Times New Roman"/>
                      <w:i w:val="0"/>
                      <w:iCs w:val="0"/>
                      <w:color w:val="FF0000"/>
                      <w:kern w:val="0"/>
                      <w:sz w:val="21"/>
                      <w:szCs w:val="21"/>
                      <w:highlight w:val="none"/>
                      <w:u w:val="none"/>
                      <w:lang w:val="en-US" w:eastAsia="zh-CN" w:bidi="ar"/>
                    </w:rPr>
                    <w:t>/</w:t>
                  </w:r>
                </w:p>
              </w:tc>
              <w:tc>
                <w:tcPr>
                  <w:tcW w:w="1180" w:type="pct"/>
                  <w:tcBorders>
                    <w:tl2br w:val="nil"/>
                    <w:tr2bl w:val="nil"/>
                  </w:tcBorders>
                  <w:shd w:val="clear" w:color="auto" w:fill="auto"/>
                  <w:vAlign w:val="center"/>
                </w:tcPr>
                <w:p w14:paraId="79360B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imes New Roman" w:hAnsi="Times New Roman" w:eastAsia="仿宋" w:cs="Times New Roman"/>
                      <w:i w:val="0"/>
                      <w:iCs w:val="0"/>
                      <w:color w:val="FF0000"/>
                      <w:kern w:val="0"/>
                      <w:sz w:val="21"/>
                      <w:szCs w:val="21"/>
                      <w:highlight w:val="none"/>
                      <w:u w:val="none"/>
                      <w:lang w:val="en-US" w:eastAsia="zh-CN" w:bidi="ar"/>
                    </w:rPr>
                  </w:pPr>
                  <w:r>
                    <w:rPr>
                      <w:rFonts w:hint="eastAsia" w:eastAsia="仿宋" w:cs="Times New Roman"/>
                      <w:i w:val="0"/>
                      <w:iCs w:val="0"/>
                      <w:color w:val="FF0000"/>
                      <w:kern w:val="0"/>
                      <w:sz w:val="21"/>
                      <w:szCs w:val="21"/>
                      <w:highlight w:val="none"/>
                      <w:u w:val="none"/>
                      <w:lang w:val="en-US" w:eastAsia="zh-CN" w:bidi="ar"/>
                    </w:rPr>
                    <w:t>新购</w:t>
                  </w:r>
                </w:p>
              </w:tc>
            </w:tr>
          </w:tbl>
          <w:p w14:paraId="6E35FAD4">
            <w:pPr>
              <w:pStyle w:val="3"/>
              <w:keepNext/>
              <w:keepLines/>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仿宋" w:cs="Times New Roman"/>
                <w:color w:val="auto"/>
                <w:sz w:val="24"/>
                <w:szCs w:val="24"/>
                <w:highlight w:val="none"/>
                <w:lang w:val="en-US" w:eastAsia="zh-CN"/>
              </w:rPr>
            </w:pPr>
            <w:r>
              <w:rPr>
                <w:rFonts w:hint="eastAsia" w:eastAsia="仿宋" w:cs="Times New Roman"/>
                <w:color w:val="auto"/>
                <w:sz w:val="24"/>
                <w:szCs w:val="24"/>
                <w:highlight w:val="none"/>
                <w:lang w:val="en-US" w:eastAsia="zh-CN"/>
              </w:rPr>
              <w:t>13.</w:t>
            </w:r>
            <w:bookmarkStart w:id="31" w:name="_Toc23233522"/>
            <w:r>
              <w:rPr>
                <w:rFonts w:hint="default" w:ascii="Times New Roman" w:hAnsi="Times New Roman" w:eastAsia="仿宋" w:cs="Times New Roman"/>
                <w:color w:val="auto"/>
                <w:sz w:val="24"/>
                <w:szCs w:val="24"/>
                <w:highlight w:val="none"/>
                <w:lang w:val="en-US" w:eastAsia="zh-CN"/>
              </w:rPr>
              <w:t>主要原辅材料消耗</w:t>
            </w:r>
            <w:bookmarkEnd w:id="31"/>
            <w:r>
              <w:rPr>
                <w:rFonts w:hint="eastAsia" w:eastAsia="仿宋" w:cs="Times New Roman"/>
                <w:color w:val="auto"/>
                <w:sz w:val="24"/>
                <w:szCs w:val="24"/>
                <w:highlight w:val="none"/>
                <w:lang w:val="en-US" w:eastAsia="zh-CN"/>
              </w:rPr>
              <w:t>及物料平衡</w:t>
            </w:r>
          </w:p>
          <w:p w14:paraId="3C15743D">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⑴</w:t>
            </w:r>
            <w:r>
              <w:rPr>
                <w:rFonts w:hint="eastAsia" w:eastAsia="仿宋" w:cs="Times New Roman"/>
                <w:color w:val="auto"/>
                <w:sz w:val="24"/>
                <w:highlight w:val="none"/>
                <w:lang w:val="en-US" w:eastAsia="zh-CN"/>
              </w:rPr>
              <w:t>主要原辅材料消耗</w:t>
            </w:r>
          </w:p>
          <w:p w14:paraId="0265736D">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本项目主要原辅材料及能源消耗情况见表</w:t>
            </w:r>
            <w:r>
              <w:rPr>
                <w:rFonts w:hint="eastAsia" w:eastAsia="仿宋" w:cs="Times New Roman"/>
                <w:color w:val="auto"/>
                <w:sz w:val="24"/>
                <w:highlight w:val="none"/>
                <w:lang w:val="en-US" w:eastAsia="zh-CN"/>
              </w:rPr>
              <w:t>14</w:t>
            </w:r>
            <w:r>
              <w:rPr>
                <w:rFonts w:hint="default" w:ascii="Times New Roman" w:hAnsi="Times New Roman" w:eastAsia="仿宋" w:cs="Times New Roman"/>
                <w:color w:val="auto"/>
                <w:sz w:val="24"/>
                <w:highlight w:val="none"/>
              </w:rPr>
              <w:t>。</w:t>
            </w:r>
          </w:p>
          <w:p w14:paraId="0B93526F">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仿宋" w:cs="Times New Roman"/>
                <w:b/>
                <w:color w:val="FF0000"/>
                <w:kern w:val="0"/>
                <w:szCs w:val="21"/>
              </w:rPr>
            </w:pPr>
            <w:bookmarkStart w:id="32" w:name="_Ref20620"/>
            <w:r>
              <w:rPr>
                <w:rFonts w:hint="default" w:ascii="Times New Roman" w:hAnsi="Times New Roman" w:eastAsia="仿宋" w:cs="Times New Roman"/>
                <w:b/>
                <w:color w:val="FF0000"/>
                <w:kern w:val="0"/>
                <w:szCs w:val="21"/>
              </w:rPr>
              <w:t>表</w:t>
            </w:r>
            <w:bookmarkEnd w:id="32"/>
            <w:r>
              <w:rPr>
                <w:rFonts w:hint="eastAsia" w:eastAsia="仿宋" w:cs="Times New Roman"/>
                <w:b/>
                <w:color w:val="FF0000"/>
                <w:kern w:val="0"/>
                <w:szCs w:val="21"/>
                <w:lang w:val="en-US" w:eastAsia="zh-CN"/>
              </w:rPr>
              <w:t>14</w:t>
            </w:r>
            <w:r>
              <w:rPr>
                <w:rFonts w:hint="default" w:ascii="Times New Roman" w:hAnsi="Times New Roman" w:eastAsia="仿宋" w:cs="Times New Roman"/>
                <w:b/>
                <w:color w:val="FF0000"/>
                <w:kern w:val="0"/>
                <w:szCs w:val="21"/>
                <w:lang w:val="en-US" w:eastAsia="zh-CN"/>
              </w:rPr>
              <w:t xml:space="preserve">   </w:t>
            </w:r>
            <w:r>
              <w:rPr>
                <w:rFonts w:hint="default" w:ascii="Times New Roman" w:hAnsi="Times New Roman" w:eastAsia="仿宋" w:cs="Times New Roman"/>
                <w:b/>
                <w:color w:val="FF0000"/>
                <w:kern w:val="0"/>
                <w:szCs w:val="21"/>
              </w:rPr>
              <w:t>主要原辅材料消耗情况一览表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90"/>
              <w:gridCol w:w="2081"/>
              <w:gridCol w:w="1376"/>
              <w:gridCol w:w="3774"/>
            </w:tblGrid>
            <w:tr w14:paraId="22F076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64" w:hRule="atLeast"/>
                <w:jc w:val="center"/>
              </w:trPr>
              <w:tc>
                <w:tcPr>
                  <w:tcW w:w="690" w:type="dxa"/>
                  <w:tcBorders>
                    <w:tl2br w:val="nil"/>
                    <w:tr2bl w:val="nil"/>
                  </w:tcBorders>
                  <w:noWrap w:val="0"/>
                  <w:vAlign w:val="center"/>
                </w:tcPr>
                <w:p w14:paraId="3B0B7FC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仿宋" w:cs="Times New Roman"/>
                      <w:color w:val="FF0000"/>
                      <w:spacing w:val="8"/>
                      <w:sz w:val="21"/>
                      <w:szCs w:val="21"/>
                      <w:highlight w:val="none"/>
                    </w:rPr>
                  </w:pPr>
                  <w:r>
                    <w:rPr>
                      <w:rFonts w:hint="default" w:ascii="Times New Roman" w:hAnsi="Times New Roman" w:eastAsia="仿宋" w:cs="Times New Roman"/>
                      <w:color w:val="FF0000"/>
                      <w:spacing w:val="8"/>
                      <w:sz w:val="21"/>
                      <w:szCs w:val="21"/>
                      <w:highlight w:val="none"/>
                    </w:rPr>
                    <w:t>序号</w:t>
                  </w:r>
                </w:p>
              </w:tc>
              <w:tc>
                <w:tcPr>
                  <w:tcW w:w="2081" w:type="dxa"/>
                  <w:tcBorders>
                    <w:tl2br w:val="nil"/>
                    <w:tr2bl w:val="nil"/>
                  </w:tcBorders>
                  <w:noWrap w:val="0"/>
                  <w:vAlign w:val="center"/>
                </w:tcPr>
                <w:p w14:paraId="6672990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仿宋" w:cs="Times New Roman"/>
                      <w:color w:val="FF0000"/>
                      <w:spacing w:val="8"/>
                      <w:sz w:val="21"/>
                      <w:szCs w:val="21"/>
                      <w:highlight w:val="none"/>
                    </w:rPr>
                  </w:pPr>
                  <w:r>
                    <w:rPr>
                      <w:rFonts w:hint="default" w:ascii="Times New Roman" w:hAnsi="Times New Roman" w:eastAsia="仿宋" w:cs="Times New Roman"/>
                      <w:color w:val="FF0000"/>
                      <w:spacing w:val="8"/>
                      <w:sz w:val="21"/>
                      <w:szCs w:val="21"/>
                      <w:highlight w:val="none"/>
                    </w:rPr>
                    <w:t>名称</w:t>
                  </w:r>
                </w:p>
              </w:tc>
              <w:tc>
                <w:tcPr>
                  <w:tcW w:w="1376" w:type="dxa"/>
                  <w:tcBorders>
                    <w:tl2br w:val="nil"/>
                    <w:tr2bl w:val="nil"/>
                  </w:tcBorders>
                  <w:noWrap w:val="0"/>
                  <w:vAlign w:val="center"/>
                </w:tcPr>
                <w:p w14:paraId="0B32EE3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仿宋" w:cs="Times New Roman"/>
                      <w:color w:val="FF0000"/>
                      <w:spacing w:val="8"/>
                      <w:sz w:val="21"/>
                      <w:szCs w:val="21"/>
                      <w:highlight w:val="none"/>
                    </w:rPr>
                  </w:pPr>
                  <w:r>
                    <w:rPr>
                      <w:rFonts w:hint="default" w:ascii="Times New Roman" w:hAnsi="Times New Roman" w:eastAsia="仿宋" w:cs="Times New Roman"/>
                      <w:color w:val="FF0000"/>
                      <w:spacing w:val="8"/>
                      <w:sz w:val="21"/>
                      <w:szCs w:val="21"/>
                      <w:highlight w:val="none"/>
                    </w:rPr>
                    <w:t>数量</w:t>
                  </w:r>
                </w:p>
              </w:tc>
              <w:tc>
                <w:tcPr>
                  <w:tcW w:w="3774" w:type="dxa"/>
                  <w:tcBorders>
                    <w:tl2br w:val="nil"/>
                    <w:tr2bl w:val="nil"/>
                  </w:tcBorders>
                  <w:noWrap w:val="0"/>
                  <w:vAlign w:val="center"/>
                </w:tcPr>
                <w:p w14:paraId="0926761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仿宋" w:cs="Times New Roman"/>
                      <w:color w:val="FF0000"/>
                      <w:spacing w:val="8"/>
                      <w:sz w:val="21"/>
                      <w:szCs w:val="21"/>
                      <w:highlight w:val="none"/>
                    </w:rPr>
                  </w:pPr>
                  <w:r>
                    <w:rPr>
                      <w:rFonts w:hint="default" w:ascii="Times New Roman" w:hAnsi="Times New Roman" w:eastAsia="仿宋" w:cs="Times New Roman"/>
                      <w:color w:val="FF0000"/>
                      <w:spacing w:val="8"/>
                      <w:sz w:val="21"/>
                      <w:szCs w:val="21"/>
                      <w:highlight w:val="none"/>
                    </w:rPr>
                    <w:t>备注</w:t>
                  </w:r>
                </w:p>
              </w:tc>
            </w:tr>
            <w:tr w14:paraId="0184A7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64" w:hRule="atLeast"/>
                <w:jc w:val="center"/>
              </w:trPr>
              <w:tc>
                <w:tcPr>
                  <w:tcW w:w="690" w:type="dxa"/>
                  <w:tcBorders>
                    <w:tl2br w:val="nil"/>
                    <w:tr2bl w:val="nil"/>
                  </w:tcBorders>
                  <w:noWrap w:val="0"/>
                  <w:vAlign w:val="center"/>
                </w:tcPr>
                <w:p w14:paraId="75A4F90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仿宋" w:cs="Times New Roman"/>
                      <w:color w:val="FF0000"/>
                      <w:spacing w:val="8"/>
                      <w:sz w:val="21"/>
                      <w:szCs w:val="21"/>
                      <w:highlight w:val="none"/>
                    </w:rPr>
                  </w:pPr>
                  <w:r>
                    <w:rPr>
                      <w:rFonts w:hint="default" w:ascii="Times New Roman" w:hAnsi="Times New Roman" w:eastAsia="仿宋" w:cs="Times New Roman"/>
                      <w:color w:val="FF0000"/>
                      <w:spacing w:val="8"/>
                      <w:sz w:val="21"/>
                      <w:szCs w:val="21"/>
                      <w:highlight w:val="none"/>
                    </w:rPr>
                    <w:t>1</w:t>
                  </w:r>
                </w:p>
              </w:tc>
              <w:tc>
                <w:tcPr>
                  <w:tcW w:w="2081" w:type="dxa"/>
                  <w:tcBorders>
                    <w:tl2br w:val="nil"/>
                    <w:tr2bl w:val="nil"/>
                  </w:tcBorders>
                  <w:noWrap w:val="0"/>
                  <w:vAlign w:val="center"/>
                </w:tcPr>
                <w:p w14:paraId="3A3F43A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仿宋" w:cs="Times New Roman"/>
                      <w:color w:val="FF0000"/>
                      <w:spacing w:val="8"/>
                      <w:sz w:val="21"/>
                      <w:szCs w:val="21"/>
                      <w:highlight w:val="none"/>
                    </w:rPr>
                  </w:pPr>
                  <w:r>
                    <w:rPr>
                      <w:rFonts w:hint="default" w:ascii="Times New Roman" w:hAnsi="Times New Roman" w:eastAsia="仿宋" w:cs="Times New Roman"/>
                      <w:color w:val="FF0000"/>
                      <w:spacing w:val="8"/>
                      <w:sz w:val="21"/>
                      <w:szCs w:val="21"/>
                      <w:highlight w:val="none"/>
                      <w:lang w:val="en-US" w:eastAsia="zh-CN"/>
                    </w:rPr>
                    <w:t>冶金用石英岩原矿</w:t>
                  </w:r>
                </w:p>
              </w:tc>
              <w:tc>
                <w:tcPr>
                  <w:tcW w:w="1376" w:type="dxa"/>
                  <w:tcBorders>
                    <w:tl2br w:val="nil"/>
                    <w:tr2bl w:val="nil"/>
                  </w:tcBorders>
                  <w:noWrap w:val="0"/>
                  <w:vAlign w:val="center"/>
                </w:tcPr>
                <w:p w14:paraId="652AFED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仿宋" w:cs="Times New Roman"/>
                      <w:color w:val="FF0000"/>
                      <w:spacing w:val="8"/>
                      <w:sz w:val="21"/>
                      <w:szCs w:val="21"/>
                      <w:highlight w:val="none"/>
                    </w:rPr>
                  </w:pPr>
                  <w:r>
                    <w:rPr>
                      <w:rFonts w:hint="eastAsia" w:eastAsia="仿宋" w:cs="Times New Roman"/>
                      <w:color w:val="FF0000"/>
                      <w:spacing w:val="8"/>
                      <w:sz w:val="21"/>
                      <w:szCs w:val="21"/>
                      <w:highlight w:val="none"/>
                      <w:lang w:val="en-US" w:eastAsia="zh-CN"/>
                    </w:rPr>
                    <w:t>10万t</w:t>
                  </w:r>
                  <w:r>
                    <w:rPr>
                      <w:rFonts w:hint="default" w:ascii="Times New Roman" w:hAnsi="Times New Roman" w:eastAsia="仿宋" w:cs="Times New Roman"/>
                      <w:color w:val="FF0000"/>
                      <w:spacing w:val="8"/>
                      <w:sz w:val="21"/>
                      <w:szCs w:val="21"/>
                      <w:highlight w:val="none"/>
                    </w:rPr>
                    <w:t>/a</w:t>
                  </w:r>
                </w:p>
              </w:tc>
              <w:tc>
                <w:tcPr>
                  <w:tcW w:w="3774" w:type="dxa"/>
                  <w:tcBorders>
                    <w:tl2br w:val="nil"/>
                    <w:tr2bl w:val="nil"/>
                  </w:tcBorders>
                  <w:noWrap w:val="0"/>
                  <w:vAlign w:val="center"/>
                </w:tcPr>
                <w:p w14:paraId="1210A35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仿宋" w:cs="Times New Roman"/>
                      <w:color w:val="FF0000"/>
                      <w:spacing w:val="8"/>
                      <w:sz w:val="21"/>
                      <w:szCs w:val="21"/>
                      <w:highlight w:val="none"/>
                      <w:lang w:eastAsia="zh-CN"/>
                    </w:rPr>
                  </w:pPr>
                  <w:r>
                    <w:rPr>
                      <w:rFonts w:hint="eastAsia" w:eastAsia="仿宋" w:cs="Times New Roman"/>
                      <w:color w:val="FF0000"/>
                      <w:spacing w:val="8"/>
                      <w:sz w:val="21"/>
                      <w:szCs w:val="21"/>
                      <w:highlight w:val="none"/>
                      <w:lang w:val="en-US" w:eastAsia="zh-CN"/>
                    </w:rPr>
                    <w:t>来自本项目</w:t>
                  </w:r>
                  <w:r>
                    <w:rPr>
                      <w:rFonts w:hint="default" w:ascii="Times New Roman" w:hAnsi="Times New Roman" w:eastAsia="仿宋" w:cs="Times New Roman"/>
                      <w:color w:val="FF0000"/>
                      <w:spacing w:val="8"/>
                      <w:sz w:val="21"/>
                      <w:szCs w:val="21"/>
                      <w:highlight w:val="none"/>
                    </w:rPr>
                    <w:t>开采区</w:t>
                  </w:r>
                  <w:r>
                    <w:rPr>
                      <w:rFonts w:hint="eastAsia" w:eastAsia="仿宋" w:cs="Times New Roman"/>
                      <w:color w:val="FF0000"/>
                      <w:spacing w:val="8"/>
                      <w:sz w:val="21"/>
                      <w:szCs w:val="21"/>
                      <w:highlight w:val="none"/>
                      <w:lang w:eastAsia="zh-CN"/>
                    </w:rPr>
                    <w:t>。</w:t>
                  </w:r>
                </w:p>
              </w:tc>
            </w:tr>
            <w:tr w14:paraId="642237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7" w:hRule="atLeast"/>
                <w:jc w:val="center"/>
              </w:trPr>
              <w:tc>
                <w:tcPr>
                  <w:tcW w:w="690" w:type="dxa"/>
                  <w:tcBorders>
                    <w:tl2br w:val="nil"/>
                    <w:tr2bl w:val="nil"/>
                  </w:tcBorders>
                  <w:noWrap w:val="0"/>
                  <w:vAlign w:val="center"/>
                </w:tcPr>
                <w:p w14:paraId="72237B7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仿宋" w:cs="Times New Roman"/>
                      <w:color w:val="FF0000"/>
                      <w:spacing w:val="8"/>
                      <w:sz w:val="21"/>
                      <w:szCs w:val="21"/>
                      <w:highlight w:val="none"/>
                    </w:rPr>
                  </w:pPr>
                  <w:r>
                    <w:rPr>
                      <w:rFonts w:hint="default" w:ascii="Times New Roman" w:hAnsi="Times New Roman" w:eastAsia="仿宋" w:cs="Times New Roman"/>
                      <w:color w:val="FF0000"/>
                      <w:spacing w:val="8"/>
                      <w:sz w:val="21"/>
                      <w:szCs w:val="21"/>
                      <w:highlight w:val="none"/>
                    </w:rPr>
                    <w:t>2</w:t>
                  </w:r>
                </w:p>
              </w:tc>
              <w:tc>
                <w:tcPr>
                  <w:tcW w:w="2081" w:type="dxa"/>
                  <w:tcBorders>
                    <w:tl2br w:val="nil"/>
                    <w:tr2bl w:val="nil"/>
                  </w:tcBorders>
                  <w:noWrap w:val="0"/>
                  <w:vAlign w:val="center"/>
                </w:tcPr>
                <w:p w14:paraId="562CDF3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仿宋" w:cs="Times New Roman"/>
                      <w:color w:val="FF0000"/>
                      <w:spacing w:val="8"/>
                      <w:sz w:val="21"/>
                      <w:szCs w:val="21"/>
                      <w:highlight w:val="none"/>
                    </w:rPr>
                  </w:pPr>
                  <w:r>
                    <w:rPr>
                      <w:rFonts w:hint="eastAsia" w:eastAsia="仿宋" w:cs="Times New Roman"/>
                      <w:color w:val="FF0000"/>
                      <w:spacing w:val="8"/>
                      <w:sz w:val="21"/>
                      <w:szCs w:val="21"/>
                      <w:highlight w:val="none"/>
                      <w:lang w:val="en-US" w:eastAsia="zh-CN"/>
                    </w:rPr>
                    <w:t>新鲜水</w:t>
                  </w:r>
                </w:p>
              </w:tc>
              <w:tc>
                <w:tcPr>
                  <w:tcW w:w="1376" w:type="dxa"/>
                  <w:tcBorders>
                    <w:tl2br w:val="nil"/>
                    <w:tr2bl w:val="nil"/>
                  </w:tcBorders>
                  <w:noWrap w:val="0"/>
                  <w:vAlign w:val="center"/>
                </w:tcPr>
                <w:p w14:paraId="15152DE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仿宋" w:cs="Times New Roman"/>
                      <w:color w:val="FF0000"/>
                      <w:spacing w:val="8"/>
                      <w:sz w:val="21"/>
                      <w:szCs w:val="21"/>
                      <w:highlight w:val="none"/>
                    </w:rPr>
                  </w:pPr>
                  <w:r>
                    <w:rPr>
                      <w:rFonts w:hint="eastAsia" w:eastAsia="仿宋" w:cs="Times New Roman"/>
                      <w:color w:val="FF0000"/>
                      <w:spacing w:val="8"/>
                      <w:sz w:val="21"/>
                      <w:szCs w:val="21"/>
                      <w:highlight w:val="none"/>
                      <w:lang w:val="en-US" w:eastAsia="zh-CN"/>
                    </w:rPr>
                    <w:t>8230</w:t>
                  </w:r>
                  <w:r>
                    <w:rPr>
                      <w:rFonts w:hint="default" w:ascii="Times New Roman" w:hAnsi="Times New Roman" w:eastAsia="仿宋" w:cs="Times New Roman"/>
                      <w:color w:val="FF0000"/>
                      <w:spacing w:val="8"/>
                      <w:sz w:val="21"/>
                      <w:szCs w:val="21"/>
                      <w:highlight w:val="none"/>
                    </w:rPr>
                    <w:t>m</w:t>
                  </w:r>
                  <w:r>
                    <w:rPr>
                      <w:rFonts w:hint="default" w:ascii="Times New Roman" w:hAnsi="Times New Roman" w:eastAsia="仿宋" w:cs="Times New Roman"/>
                      <w:color w:val="FF0000"/>
                      <w:spacing w:val="8"/>
                      <w:sz w:val="21"/>
                      <w:szCs w:val="21"/>
                      <w:highlight w:val="none"/>
                      <w:vertAlign w:val="superscript"/>
                    </w:rPr>
                    <w:t>3</w:t>
                  </w:r>
                  <w:r>
                    <w:rPr>
                      <w:rFonts w:hint="default" w:ascii="Times New Roman" w:hAnsi="Times New Roman" w:eastAsia="仿宋" w:cs="Times New Roman"/>
                      <w:color w:val="FF0000"/>
                      <w:spacing w:val="8"/>
                      <w:sz w:val="21"/>
                      <w:szCs w:val="21"/>
                      <w:highlight w:val="none"/>
                    </w:rPr>
                    <w:t>/a</w:t>
                  </w:r>
                </w:p>
              </w:tc>
              <w:tc>
                <w:tcPr>
                  <w:tcW w:w="3774" w:type="dxa"/>
                  <w:tcBorders>
                    <w:tl2br w:val="nil"/>
                    <w:tr2bl w:val="nil"/>
                  </w:tcBorders>
                  <w:noWrap w:val="0"/>
                  <w:vAlign w:val="center"/>
                </w:tcPr>
                <w:p w14:paraId="4D86F2F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仿宋" w:cs="Times New Roman"/>
                      <w:color w:val="FF0000"/>
                      <w:spacing w:val="8"/>
                      <w:sz w:val="21"/>
                      <w:szCs w:val="21"/>
                      <w:highlight w:val="none"/>
                    </w:rPr>
                  </w:pPr>
                  <w:r>
                    <w:rPr>
                      <w:rFonts w:hint="default" w:ascii="Times New Roman" w:hAnsi="Times New Roman" w:eastAsia="仿宋" w:cs="Times New Roman"/>
                      <w:color w:val="FF0000"/>
                      <w:szCs w:val="21"/>
                      <w:highlight w:val="none"/>
                      <w:lang w:val="en-US" w:eastAsia="zh-CN"/>
                    </w:rPr>
                    <w:t>矿山配备水</w:t>
                  </w:r>
                  <w:r>
                    <w:rPr>
                      <w:rFonts w:hint="eastAsia" w:eastAsia="仿宋" w:cs="Times New Roman"/>
                      <w:color w:val="FF0000"/>
                      <w:szCs w:val="21"/>
                      <w:highlight w:val="none"/>
                      <w:lang w:val="en-US" w:eastAsia="zh-CN"/>
                    </w:rPr>
                    <w:t>罐</w:t>
                  </w:r>
                  <w:r>
                    <w:rPr>
                      <w:rFonts w:hint="default" w:ascii="Times New Roman" w:hAnsi="Times New Roman" w:eastAsia="仿宋" w:cs="Times New Roman"/>
                      <w:color w:val="FF0000"/>
                      <w:szCs w:val="21"/>
                      <w:highlight w:val="none"/>
                      <w:lang w:val="en-US" w:eastAsia="zh-CN"/>
                    </w:rPr>
                    <w:t>车从</w:t>
                  </w:r>
                  <w:r>
                    <w:rPr>
                      <w:rFonts w:hint="eastAsia" w:eastAsia="仿宋" w:cs="Times New Roman"/>
                      <w:color w:val="FF0000"/>
                      <w:szCs w:val="21"/>
                      <w:highlight w:val="none"/>
                      <w:lang w:val="en-US" w:eastAsia="zh-CN"/>
                    </w:rPr>
                    <w:t>周边</w:t>
                  </w:r>
                  <w:r>
                    <w:rPr>
                      <w:rFonts w:hint="default" w:ascii="Times New Roman" w:hAnsi="Times New Roman" w:eastAsia="仿宋" w:cs="Times New Roman"/>
                      <w:color w:val="FF0000"/>
                      <w:szCs w:val="21"/>
                      <w:highlight w:val="none"/>
                      <w:lang w:val="en-US" w:eastAsia="zh-CN"/>
                    </w:rPr>
                    <w:t>拉运至</w:t>
                  </w:r>
                  <w:r>
                    <w:rPr>
                      <w:rFonts w:hint="default" w:ascii="Times New Roman" w:hAnsi="Times New Roman" w:eastAsia="仿宋" w:cs="Times New Roman"/>
                      <w:color w:val="FF0000"/>
                      <w:highlight w:val="none"/>
                      <w:lang w:eastAsia="zh-CN"/>
                    </w:rPr>
                    <w:t>矿区</w:t>
                  </w:r>
                  <w:r>
                    <w:rPr>
                      <w:rFonts w:hint="eastAsia" w:eastAsia="仿宋" w:cs="Times New Roman"/>
                      <w:color w:val="FF0000"/>
                      <w:highlight w:val="none"/>
                      <w:lang w:eastAsia="zh-CN"/>
                    </w:rPr>
                    <w:t>。</w:t>
                  </w:r>
                </w:p>
              </w:tc>
            </w:tr>
            <w:tr w14:paraId="07943A9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7" w:hRule="atLeast"/>
                <w:jc w:val="center"/>
              </w:trPr>
              <w:tc>
                <w:tcPr>
                  <w:tcW w:w="690" w:type="dxa"/>
                  <w:tcBorders>
                    <w:tl2br w:val="nil"/>
                    <w:tr2bl w:val="nil"/>
                  </w:tcBorders>
                  <w:noWrap w:val="0"/>
                  <w:vAlign w:val="center"/>
                </w:tcPr>
                <w:p w14:paraId="5916DAC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仿宋" w:cs="Times New Roman"/>
                      <w:color w:val="FF0000"/>
                      <w:spacing w:val="8"/>
                      <w:sz w:val="21"/>
                      <w:szCs w:val="21"/>
                      <w:highlight w:val="none"/>
                      <w:lang w:val="en-US" w:eastAsia="zh-CN"/>
                    </w:rPr>
                  </w:pPr>
                  <w:r>
                    <w:rPr>
                      <w:rFonts w:hint="eastAsia" w:eastAsia="仿宋" w:cs="Times New Roman"/>
                      <w:color w:val="FF0000"/>
                      <w:spacing w:val="8"/>
                      <w:sz w:val="21"/>
                      <w:szCs w:val="21"/>
                      <w:highlight w:val="none"/>
                      <w:lang w:val="en-US" w:eastAsia="zh-CN"/>
                    </w:rPr>
                    <w:t>3</w:t>
                  </w:r>
                </w:p>
              </w:tc>
              <w:tc>
                <w:tcPr>
                  <w:tcW w:w="2081" w:type="dxa"/>
                  <w:tcBorders>
                    <w:tl2br w:val="nil"/>
                    <w:tr2bl w:val="nil"/>
                  </w:tcBorders>
                  <w:noWrap w:val="0"/>
                  <w:vAlign w:val="center"/>
                </w:tcPr>
                <w:p w14:paraId="756263A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仿宋" w:cs="Times New Roman"/>
                      <w:color w:val="FF0000"/>
                      <w:spacing w:val="8"/>
                      <w:sz w:val="21"/>
                      <w:szCs w:val="21"/>
                      <w:highlight w:val="none"/>
                      <w:lang w:val="en-US" w:eastAsia="zh-CN"/>
                    </w:rPr>
                  </w:pPr>
                  <w:r>
                    <w:rPr>
                      <w:rFonts w:hint="eastAsia" w:eastAsia="仿宋" w:cs="Times New Roman"/>
                      <w:color w:val="FF0000"/>
                      <w:spacing w:val="8"/>
                      <w:sz w:val="21"/>
                      <w:szCs w:val="21"/>
                      <w:highlight w:val="none"/>
                      <w:lang w:val="en-US" w:eastAsia="zh-CN"/>
                    </w:rPr>
                    <w:t>电</w:t>
                  </w:r>
                </w:p>
              </w:tc>
              <w:tc>
                <w:tcPr>
                  <w:tcW w:w="1376" w:type="dxa"/>
                  <w:tcBorders>
                    <w:tl2br w:val="nil"/>
                    <w:tr2bl w:val="nil"/>
                  </w:tcBorders>
                  <w:noWrap w:val="0"/>
                  <w:vAlign w:val="center"/>
                </w:tcPr>
                <w:p w14:paraId="14B1D09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仿宋" w:cs="Times New Roman"/>
                      <w:color w:val="FF0000"/>
                      <w:spacing w:val="8"/>
                      <w:sz w:val="21"/>
                      <w:szCs w:val="21"/>
                      <w:highlight w:val="yellow"/>
                      <w:lang w:val="en-US" w:eastAsia="zh-CN"/>
                    </w:rPr>
                  </w:pPr>
                  <w:r>
                    <w:rPr>
                      <w:rFonts w:hint="eastAsia" w:eastAsia="仿宋" w:cs="Times New Roman"/>
                      <w:b w:val="0"/>
                      <w:bCs/>
                      <w:color w:val="FF0000"/>
                      <w:spacing w:val="0"/>
                      <w:sz w:val="21"/>
                      <w:szCs w:val="21"/>
                      <w:highlight w:val="none"/>
                      <w:lang w:val="en-US" w:eastAsia="zh-CN"/>
                    </w:rPr>
                    <w:t>30000kWh/a</w:t>
                  </w:r>
                </w:p>
              </w:tc>
              <w:tc>
                <w:tcPr>
                  <w:tcW w:w="3774" w:type="dxa"/>
                  <w:tcBorders>
                    <w:tl2br w:val="nil"/>
                    <w:tr2bl w:val="nil"/>
                  </w:tcBorders>
                  <w:noWrap w:val="0"/>
                  <w:vAlign w:val="center"/>
                </w:tcPr>
                <w:p w14:paraId="750B9AE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从附近供电线路接入。</w:t>
                  </w:r>
                </w:p>
              </w:tc>
            </w:tr>
            <w:tr w14:paraId="628CE8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5" w:hRule="atLeast"/>
                <w:jc w:val="center"/>
              </w:trPr>
              <w:tc>
                <w:tcPr>
                  <w:tcW w:w="690" w:type="dxa"/>
                  <w:tcBorders>
                    <w:tl2br w:val="nil"/>
                    <w:tr2bl w:val="nil"/>
                  </w:tcBorders>
                  <w:noWrap w:val="0"/>
                  <w:vAlign w:val="center"/>
                </w:tcPr>
                <w:p w14:paraId="32C6429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仿宋" w:cs="Times New Roman"/>
                      <w:color w:val="FF0000"/>
                      <w:spacing w:val="8"/>
                      <w:sz w:val="21"/>
                      <w:szCs w:val="21"/>
                      <w:highlight w:val="none"/>
                      <w:lang w:eastAsia="zh-CN"/>
                    </w:rPr>
                  </w:pPr>
                  <w:r>
                    <w:rPr>
                      <w:rFonts w:hint="eastAsia" w:eastAsia="仿宋" w:cs="Times New Roman"/>
                      <w:color w:val="FF0000"/>
                      <w:spacing w:val="8"/>
                      <w:sz w:val="21"/>
                      <w:szCs w:val="21"/>
                      <w:highlight w:val="none"/>
                      <w:lang w:val="en-US" w:eastAsia="zh-CN"/>
                    </w:rPr>
                    <w:t>4</w:t>
                  </w:r>
                </w:p>
              </w:tc>
              <w:tc>
                <w:tcPr>
                  <w:tcW w:w="2081" w:type="dxa"/>
                  <w:tcBorders>
                    <w:tl2br w:val="nil"/>
                    <w:tr2bl w:val="nil"/>
                  </w:tcBorders>
                  <w:noWrap w:val="0"/>
                  <w:vAlign w:val="center"/>
                </w:tcPr>
                <w:p w14:paraId="6E334C4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仿宋" w:cs="Times New Roman"/>
                      <w:color w:val="FF0000"/>
                      <w:spacing w:val="8"/>
                      <w:sz w:val="21"/>
                      <w:szCs w:val="21"/>
                      <w:highlight w:val="none"/>
                    </w:rPr>
                  </w:pPr>
                  <w:r>
                    <w:rPr>
                      <w:rFonts w:hint="default" w:ascii="Times New Roman" w:hAnsi="Times New Roman" w:eastAsia="仿宋" w:cs="Times New Roman"/>
                      <w:color w:val="FF0000"/>
                      <w:spacing w:val="8"/>
                      <w:sz w:val="21"/>
                      <w:szCs w:val="21"/>
                      <w:highlight w:val="none"/>
                    </w:rPr>
                    <w:t>柴油</w:t>
                  </w:r>
                </w:p>
              </w:tc>
              <w:tc>
                <w:tcPr>
                  <w:tcW w:w="1376" w:type="dxa"/>
                  <w:tcBorders>
                    <w:tl2br w:val="nil"/>
                    <w:tr2bl w:val="nil"/>
                  </w:tcBorders>
                  <w:noWrap w:val="0"/>
                  <w:vAlign w:val="center"/>
                </w:tcPr>
                <w:p w14:paraId="5ACAB06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仿宋" w:cs="Times New Roman"/>
                      <w:color w:val="FF0000"/>
                      <w:spacing w:val="8"/>
                      <w:sz w:val="21"/>
                      <w:szCs w:val="21"/>
                      <w:highlight w:val="none"/>
                    </w:rPr>
                  </w:pPr>
                  <w:r>
                    <w:rPr>
                      <w:rFonts w:hint="eastAsia" w:eastAsia="仿宋" w:cs="Times New Roman"/>
                      <w:color w:val="FF0000"/>
                      <w:spacing w:val="8"/>
                      <w:sz w:val="21"/>
                      <w:szCs w:val="21"/>
                      <w:highlight w:val="none"/>
                      <w:lang w:val="en-US" w:eastAsia="zh-CN"/>
                    </w:rPr>
                    <w:t>30</w:t>
                  </w:r>
                  <w:r>
                    <w:rPr>
                      <w:rFonts w:hint="default" w:ascii="Times New Roman" w:hAnsi="Times New Roman" w:eastAsia="仿宋" w:cs="Times New Roman"/>
                      <w:color w:val="FF0000"/>
                      <w:spacing w:val="8"/>
                      <w:sz w:val="21"/>
                      <w:szCs w:val="21"/>
                      <w:highlight w:val="none"/>
                    </w:rPr>
                    <w:t>t/a</w:t>
                  </w:r>
                </w:p>
              </w:tc>
              <w:tc>
                <w:tcPr>
                  <w:tcW w:w="3774" w:type="dxa"/>
                  <w:tcBorders>
                    <w:tl2br w:val="nil"/>
                    <w:tr2bl w:val="nil"/>
                  </w:tcBorders>
                  <w:noWrap w:val="0"/>
                  <w:vAlign w:val="center"/>
                </w:tcPr>
                <w:p w14:paraId="4D7E7BC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仿宋" w:cs="Times New Roman"/>
                      <w:color w:val="FF0000"/>
                      <w:spacing w:val="8"/>
                      <w:sz w:val="21"/>
                      <w:szCs w:val="21"/>
                      <w:highlight w:val="none"/>
                      <w:lang w:eastAsia="zh-CN"/>
                    </w:rPr>
                  </w:pPr>
                  <w:r>
                    <w:rPr>
                      <w:rFonts w:hint="default" w:ascii="Times New Roman" w:hAnsi="Times New Roman" w:eastAsia="仿宋" w:cs="Times New Roman"/>
                      <w:color w:val="FF0000"/>
                      <w:spacing w:val="8"/>
                      <w:sz w:val="21"/>
                      <w:szCs w:val="21"/>
                      <w:highlight w:val="none"/>
                      <w:lang w:eastAsia="zh-CN"/>
                    </w:rPr>
                    <w:t>本项目不设置储油设施，由</w:t>
                  </w:r>
                  <w:r>
                    <w:rPr>
                      <w:rFonts w:hint="default" w:ascii="Times New Roman" w:hAnsi="Times New Roman" w:eastAsia="仿宋" w:cs="Times New Roman"/>
                      <w:color w:val="FF0000"/>
                      <w:spacing w:val="8"/>
                      <w:sz w:val="21"/>
                      <w:szCs w:val="21"/>
                      <w:highlight w:val="none"/>
                      <w:lang w:val="en-US" w:eastAsia="zh-CN"/>
                    </w:rPr>
                    <w:t>项目区附近</w:t>
                  </w:r>
                  <w:r>
                    <w:rPr>
                      <w:rFonts w:hint="default" w:ascii="Times New Roman" w:hAnsi="Times New Roman" w:eastAsia="仿宋" w:cs="Times New Roman"/>
                      <w:color w:val="FF0000"/>
                      <w:spacing w:val="8"/>
                      <w:sz w:val="21"/>
                      <w:szCs w:val="21"/>
                      <w:highlight w:val="none"/>
                      <w:lang w:eastAsia="zh-CN"/>
                    </w:rPr>
                    <w:t>中石化、中石油</w:t>
                  </w:r>
                  <w:r>
                    <w:rPr>
                      <w:rFonts w:hint="default" w:ascii="Times New Roman" w:hAnsi="Times New Roman" w:eastAsia="仿宋" w:cs="Times New Roman"/>
                      <w:color w:val="FF0000"/>
                      <w:spacing w:val="8"/>
                      <w:sz w:val="21"/>
                      <w:szCs w:val="21"/>
                      <w:highlight w:val="none"/>
                      <w:lang w:val="en-US" w:eastAsia="zh-CN"/>
                    </w:rPr>
                    <w:t>加油站通过罐车定期</w:t>
                  </w:r>
                  <w:r>
                    <w:rPr>
                      <w:rFonts w:hint="default" w:ascii="Times New Roman" w:hAnsi="Times New Roman" w:eastAsia="仿宋" w:cs="Times New Roman"/>
                      <w:color w:val="FF0000"/>
                      <w:spacing w:val="8"/>
                      <w:sz w:val="21"/>
                      <w:szCs w:val="21"/>
                      <w:highlight w:val="none"/>
                      <w:lang w:eastAsia="zh-CN"/>
                    </w:rPr>
                    <w:t>运送至项目</w:t>
                  </w:r>
                  <w:r>
                    <w:rPr>
                      <w:rFonts w:hint="default" w:ascii="Times New Roman" w:hAnsi="Times New Roman" w:eastAsia="仿宋" w:cs="Times New Roman"/>
                      <w:color w:val="FF0000"/>
                      <w:spacing w:val="8"/>
                      <w:sz w:val="21"/>
                      <w:szCs w:val="21"/>
                      <w:highlight w:val="none"/>
                      <w:lang w:val="en-US" w:eastAsia="zh-CN"/>
                    </w:rPr>
                    <w:t>矿区</w:t>
                  </w:r>
                  <w:r>
                    <w:rPr>
                      <w:rFonts w:hint="default" w:ascii="Times New Roman" w:hAnsi="Times New Roman" w:eastAsia="仿宋" w:cs="Times New Roman"/>
                      <w:color w:val="FF0000"/>
                      <w:spacing w:val="8"/>
                      <w:sz w:val="21"/>
                      <w:szCs w:val="21"/>
                      <w:highlight w:val="none"/>
                      <w:lang w:eastAsia="zh-CN"/>
                    </w:rPr>
                    <w:t>对车辆、机械设备等进行加油</w:t>
                  </w:r>
                  <w:r>
                    <w:rPr>
                      <w:rFonts w:hint="eastAsia" w:eastAsia="仿宋" w:cs="Times New Roman"/>
                      <w:color w:val="FF0000"/>
                      <w:spacing w:val="8"/>
                      <w:sz w:val="21"/>
                      <w:szCs w:val="21"/>
                      <w:highlight w:val="none"/>
                      <w:lang w:eastAsia="zh-CN"/>
                    </w:rPr>
                    <w:t>。</w:t>
                  </w:r>
                </w:p>
              </w:tc>
            </w:tr>
            <w:tr w14:paraId="73AEFD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5" w:hRule="atLeast"/>
                <w:jc w:val="center"/>
              </w:trPr>
              <w:tc>
                <w:tcPr>
                  <w:tcW w:w="690" w:type="dxa"/>
                  <w:tcBorders>
                    <w:tl2br w:val="nil"/>
                    <w:tr2bl w:val="nil"/>
                  </w:tcBorders>
                  <w:noWrap w:val="0"/>
                  <w:vAlign w:val="center"/>
                </w:tcPr>
                <w:p w14:paraId="0C1B34B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eastAsia="仿宋" w:cs="Times New Roman"/>
                      <w:color w:val="FF0000"/>
                      <w:spacing w:val="8"/>
                      <w:sz w:val="21"/>
                      <w:szCs w:val="21"/>
                      <w:highlight w:val="none"/>
                      <w:lang w:val="en-US" w:eastAsia="zh-CN"/>
                    </w:rPr>
                  </w:pPr>
                  <w:r>
                    <w:rPr>
                      <w:rFonts w:hint="eastAsia" w:eastAsia="仿宋" w:cs="Times New Roman"/>
                      <w:color w:val="FF0000"/>
                      <w:spacing w:val="8"/>
                      <w:sz w:val="21"/>
                      <w:szCs w:val="21"/>
                      <w:highlight w:val="none"/>
                      <w:lang w:val="en-US" w:eastAsia="zh-CN"/>
                    </w:rPr>
                    <w:t>5</w:t>
                  </w:r>
                </w:p>
              </w:tc>
              <w:tc>
                <w:tcPr>
                  <w:tcW w:w="2081" w:type="dxa"/>
                  <w:tcBorders>
                    <w:tl2br w:val="nil"/>
                    <w:tr2bl w:val="nil"/>
                  </w:tcBorders>
                  <w:noWrap w:val="0"/>
                  <w:vAlign w:val="center"/>
                </w:tcPr>
                <w:p w14:paraId="6FF36F5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仿宋" w:cs="Times New Roman"/>
                      <w:color w:val="FF0000"/>
                      <w:spacing w:val="8"/>
                      <w:sz w:val="21"/>
                      <w:szCs w:val="21"/>
                      <w:highlight w:val="none"/>
                      <w:lang w:val="en-US" w:eastAsia="zh-CN"/>
                    </w:rPr>
                  </w:pPr>
                  <w:r>
                    <w:rPr>
                      <w:rFonts w:hint="eastAsia" w:eastAsia="仿宋" w:cs="Times New Roman"/>
                      <w:color w:val="FF0000"/>
                      <w:spacing w:val="8"/>
                      <w:sz w:val="21"/>
                      <w:szCs w:val="21"/>
                      <w:highlight w:val="none"/>
                      <w:lang w:val="en-US" w:eastAsia="zh-CN"/>
                    </w:rPr>
                    <w:t>润滑油</w:t>
                  </w:r>
                </w:p>
              </w:tc>
              <w:tc>
                <w:tcPr>
                  <w:tcW w:w="1376" w:type="dxa"/>
                  <w:tcBorders>
                    <w:tl2br w:val="nil"/>
                    <w:tr2bl w:val="nil"/>
                  </w:tcBorders>
                  <w:noWrap w:val="0"/>
                  <w:vAlign w:val="center"/>
                </w:tcPr>
                <w:p w14:paraId="6EDBFB7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eastAsia="仿宋" w:cs="Times New Roman"/>
                      <w:color w:val="FF0000"/>
                      <w:spacing w:val="8"/>
                      <w:sz w:val="21"/>
                      <w:szCs w:val="21"/>
                      <w:highlight w:val="none"/>
                      <w:lang w:val="en-US" w:eastAsia="zh-CN"/>
                    </w:rPr>
                  </w:pPr>
                  <w:r>
                    <w:rPr>
                      <w:rFonts w:hint="eastAsia" w:eastAsia="仿宋" w:cs="Times New Roman"/>
                      <w:color w:val="FF0000"/>
                      <w:spacing w:val="8"/>
                      <w:sz w:val="21"/>
                      <w:szCs w:val="21"/>
                      <w:highlight w:val="none"/>
                      <w:lang w:val="en-US" w:eastAsia="zh-CN"/>
                    </w:rPr>
                    <w:t>0.5t/a</w:t>
                  </w:r>
                </w:p>
              </w:tc>
              <w:tc>
                <w:tcPr>
                  <w:tcW w:w="3774" w:type="dxa"/>
                  <w:tcBorders>
                    <w:tl2br w:val="nil"/>
                    <w:tr2bl w:val="nil"/>
                  </w:tcBorders>
                  <w:noWrap w:val="0"/>
                  <w:vAlign w:val="center"/>
                </w:tcPr>
                <w:p w14:paraId="54793AC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仿宋" w:cs="Times New Roman"/>
                      <w:color w:val="FF0000"/>
                      <w:spacing w:val="8"/>
                      <w:sz w:val="21"/>
                      <w:szCs w:val="21"/>
                      <w:highlight w:val="none"/>
                      <w:lang w:val="en-US" w:eastAsia="zh-CN"/>
                    </w:rPr>
                  </w:pPr>
                  <w:r>
                    <w:rPr>
                      <w:rFonts w:hint="eastAsia" w:eastAsia="仿宋" w:cs="Times New Roman"/>
                      <w:color w:val="FF0000"/>
                      <w:spacing w:val="8"/>
                      <w:sz w:val="21"/>
                      <w:szCs w:val="21"/>
                      <w:highlight w:val="none"/>
                      <w:lang w:val="en-US" w:eastAsia="zh-CN"/>
                    </w:rPr>
                    <w:t>外购，库房暂存。</w:t>
                  </w:r>
                </w:p>
              </w:tc>
            </w:tr>
            <w:tr w14:paraId="76043B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5" w:hRule="atLeast"/>
                <w:jc w:val="center"/>
              </w:trPr>
              <w:tc>
                <w:tcPr>
                  <w:tcW w:w="690" w:type="dxa"/>
                  <w:tcBorders>
                    <w:tl2br w:val="nil"/>
                    <w:tr2bl w:val="nil"/>
                  </w:tcBorders>
                  <w:noWrap w:val="0"/>
                  <w:vAlign w:val="center"/>
                </w:tcPr>
                <w:p w14:paraId="3FEB961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eastAsia="仿宋" w:cs="Times New Roman"/>
                      <w:color w:val="FF0000"/>
                      <w:spacing w:val="8"/>
                      <w:sz w:val="21"/>
                      <w:szCs w:val="21"/>
                      <w:highlight w:val="none"/>
                      <w:lang w:val="en-US" w:eastAsia="zh-CN"/>
                    </w:rPr>
                  </w:pPr>
                  <w:r>
                    <w:rPr>
                      <w:rFonts w:hint="eastAsia" w:eastAsia="仿宋" w:cs="Times New Roman"/>
                      <w:color w:val="FF0000"/>
                      <w:spacing w:val="8"/>
                      <w:sz w:val="21"/>
                      <w:szCs w:val="21"/>
                      <w:highlight w:val="none"/>
                      <w:lang w:val="en-US" w:eastAsia="zh-CN"/>
                    </w:rPr>
                    <w:t>6</w:t>
                  </w:r>
                </w:p>
              </w:tc>
              <w:tc>
                <w:tcPr>
                  <w:tcW w:w="2081" w:type="dxa"/>
                  <w:tcBorders>
                    <w:tl2br w:val="nil"/>
                    <w:tr2bl w:val="nil"/>
                  </w:tcBorders>
                  <w:noWrap w:val="0"/>
                  <w:vAlign w:val="center"/>
                </w:tcPr>
                <w:p w14:paraId="5622E28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eastAsia="仿宋" w:cs="Times New Roman"/>
                      <w:color w:val="FF0000"/>
                      <w:spacing w:val="8"/>
                      <w:sz w:val="21"/>
                      <w:szCs w:val="21"/>
                      <w:highlight w:val="none"/>
                      <w:lang w:val="en-US" w:eastAsia="zh-CN"/>
                    </w:rPr>
                  </w:pPr>
                  <w:r>
                    <w:rPr>
                      <w:rFonts w:hint="eastAsia" w:eastAsia="仿宋" w:cs="Times New Roman"/>
                      <w:color w:val="FF0000"/>
                      <w:spacing w:val="8"/>
                      <w:sz w:val="21"/>
                      <w:szCs w:val="21"/>
                      <w:highlight w:val="none"/>
                      <w:lang w:val="en-US" w:eastAsia="zh-CN"/>
                    </w:rPr>
                    <w:t>炸药</w:t>
                  </w:r>
                </w:p>
              </w:tc>
              <w:tc>
                <w:tcPr>
                  <w:tcW w:w="1376" w:type="dxa"/>
                  <w:tcBorders>
                    <w:tl2br w:val="nil"/>
                    <w:tr2bl w:val="nil"/>
                  </w:tcBorders>
                  <w:noWrap w:val="0"/>
                  <w:vAlign w:val="center"/>
                </w:tcPr>
                <w:p w14:paraId="12D0B58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eastAsia="仿宋" w:cs="Times New Roman"/>
                      <w:color w:val="FF0000"/>
                      <w:spacing w:val="8"/>
                      <w:sz w:val="21"/>
                      <w:szCs w:val="21"/>
                      <w:highlight w:val="none"/>
                      <w:lang w:val="en-US" w:eastAsia="zh-CN"/>
                    </w:rPr>
                  </w:pPr>
                  <w:r>
                    <w:rPr>
                      <w:rFonts w:hint="eastAsia" w:eastAsia="仿宋" w:cs="Times New Roman"/>
                      <w:color w:val="FF0000"/>
                      <w:spacing w:val="8"/>
                      <w:sz w:val="21"/>
                      <w:szCs w:val="21"/>
                      <w:highlight w:val="none"/>
                      <w:lang w:val="en-US" w:eastAsia="zh-CN"/>
                    </w:rPr>
                    <w:t>20t/a</w:t>
                  </w:r>
                </w:p>
              </w:tc>
              <w:tc>
                <w:tcPr>
                  <w:tcW w:w="3774" w:type="dxa"/>
                  <w:vMerge w:val="restart"/>
                  <w:tcBorders>
                    <w:tl2br w:val="nil"/>
                    <w:tr2bl w:val="nil"/>
                  </w:tcBorders>
                  <w:noWrap w:val="0"/>
                  <w:vAlign w:val="center"/>
                </w:tcPr>
                <w:p w14:paraId="668F033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eastAsia="仿宋" w:cs="Times New Roman"/>
                      <w:color w:val="FF0000"/>
                      <w:spacing w:val="8"/>
                      <w:sz w:val="21"/>
                      <w:szCs w:val="21"/>
                      <w:highlight w:val="none"/>
                      <w:lang w:val="en-US" w:eastAsia="zh-CN"/>
                    </w:rPr>
                  </w:pPr>
                  <w:r>
                    <w:rPr>
                      <w:rFonts w:hint="eastAsia" w:ascii="Times New Roman" w:hAnsi="Times New Roman" w:eastAsia="仿宋" w:cs="Times New Roman"/>
                      <w:color w:val="FF0000"/>
                      <w:spacing w:val="8"/>
                      <w:sz w:val="21"/>
                      <w:szCs w:val="21"/>
                      <w:highlight w:val="none"/>
                      <w:lang w:val="en-US" w:eastAsia="zh-CN"/>
                    </w:rPr>
                    <w:t>本项目</w:t>
                  </w:r>
                  <w:r>
                    <w:rPr>
                      <w:rFonts w:hint="default" w:ascii="Times New Roman" w:hAnsi="Times New Roman" w:eastAsia="仿宋" w:cs="Times New Roman"/>
                      <w:color w:val="FF0000"/>
                      <w:spacing w:val="8"/>
                      <w:sz w:val="21"/>
                      <w:szCs w:val="21"/>
                      <w:highlight w:val="none"/>
                      <w:lang w:val="zh-CN" w:eastAsia="zh-CN"/>
                    </w:rPr>
                    <w:t>矿山未设置爆破器材库</w:t>
                  </w:r>
                  <w:r>
                    <w:rPr>
                      <w:rFonts w:hint="eastAsia" w:ascii="Times New Roman" w:hAnsi="Times New Roman" w:eastAsia="仿宋" w:cs="Times New Roman"/>
                      <w:color w:val="FF0000"/>
                      <w:spacing w:val="8"/>
                      <w:sz w:val="21"/>
                      <w:szCs w:val="21"/>
                      <w:highlight w:val="none"/>
                      <w:lang w:val="zh-CN" w:eastAsia="zh-CN"/>
                    </w:rPr>
                    <w:t>，</w:t>
                  </w:r>
                  <w:r>
                    <w:rPr>
                      <w:rFonts w:hint="eastAsia" w:ascii="Times New Roman" w:hAnsi="Times New Roman" w:eastAsia="仿宋" w:cs="Times New Roman"/>
                      <w:color w:val="FF0000"/>
                      <w:spacing w:val="8"/>
                      <w:sz w:val="21"/>
                      <w:szCs w:val="21"/>
                      <w:highlight w:val="none"/>
                      <w:lang w:val="en-US" w:eastAsia="zh-CN"/>
                    </w:rPr>
                    <w:t>不储存炸药和雷管，</w:t>
                  </w:r>
                  <w:r>
                    <w:rPr>
                      <w:rFonts w:hint="default" w:ascii="Times New Roman" w:hAnsi="Times New Roman" w:eastAsia="仿宋" w:cs="Times New Roman"/>
                      <w:color w:val="FF0000"/>
                      <w:spacing w:val="8"/>
                      <w:sz w:val="21"/>
                      <w:szCs w:val="21"/>
                      <w:highlight w:val="none"/>
                      <w:lang w:val="zh-CN" w:eastAsia="zh-CN"/>
                    </w:rPr>
                    <w:t>矿山爆破作业委托有资质民爆公司进行爆破</w:t>
                  </w:r>
                  <w:r>
                    <w:rPr>
                      <w:rFonts w:hint="eastAsia" w:ascii="Times New Roman" w:hAnsi="Times New Roman" w:eastAsia="仿宋" w:cs="Times New Roman"/>
                      <w:color w:val="FF0000"/>
                      <w:spacing w:val="8"/>
                      <w:sz w:val="21"/>
                      <w:szCs w:val="21"/>
                      <w:highlight w:val="none"/>
                      <w:lang w:val="zh-CN" w:eastAsia="zh-CN"/>
                    </w:rPr>
                    <w:t>。</w:t>
                  </w:r>
                </w:p>
              </w:tc>
            </w:tr>
            <w:tr w14:paraId="528921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5" w:hRule="atLeast"/>
                <w:jc w:val="center"/>
              </w:trPr>
              <w:tc>
                <w:tcPr>
                  <w:tcW w:w="690" w:type="dxa"/>
                  <w:tcBorders>
                    <w:tl2br w:val="nil"/>
                    <w:tr2bl w:val="nil"/>
                  </w:tcBorders>
                  <w:noWrap w:val="0"/>
                  <w:vAlign w:val="center"/>
                </w:tcPr>
                <w:p w14:paraId="577E9A5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eastAsia="仿宋" w:cs="Times New Roman"/>
                      <w:color w:val="FF0000"/>
                      <w:spacing w:val="8"/>
                      <w:sz w:val="21"/>
                      <w:szCs w:val="21"/>
                      <w:highlight w:val="none"/>
                      <w:lang w:val="en-US" w:eastAsia="zh-CN"/>
                    </w:rPr>
                  </w:pPr>
                  <w:r>
                    <w:rPr>
                      <w:rFonts w:hint="eastAsia" w:eastAsia="仿宋" w:cs="Times New Roman"/>
                      <w:color w:val="FF0000"/>
                      <w:spacing w:val="8"/>
                      <w:sz w:val="21"/>
                      <w:szCs w:val="21"/>
                      <w:highlight w:val="none"/>
                      <w:lang w:val="en-US" w:eastAsia="zh-CN"/>
                    </w:rPr>
                    <w:t>7</w:t>
                  </w:r>
                </w:p>
              </w:tc>
              <w:tc>
                <w:tcPr>
                  <w:tcW w:w="2081" w:type="dxa"/>
                  <w:tcBorders>
                    <w:tl2br w:val="nil"/>
                    <w:tr2bl w:val="nil"/>
                  </w:tcBorders>
                  <w:noWrap w:val="0"/>
                  <w:vAlign w:val="center"/>
                </w:tcPr>
                <w:p w14:paraId="188EA10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eastAsia="仿宋" w:cs="Times New Roman"/>
                      <w:color w:val="FF0000"/>
                      <w:spacing w:val="8"/>
                      <w:sz w:val="21"/>
                      <w:szCs w:val="21"/>
                      <w:highlight w:val="none"/>
                      <w:lang w:val="en-US" w:eastAsia="zh-CN"/>
                    </w:rPr>
                  </w:pPr>
                  <w:r>
                    <w:rPr>
                      <w:rFonts w:hint="eastAsia" w:eastAsia="仿宋" w:cs="Times New Roman"/>
                      <w:color w:val="FF0000"/>
                      <w:spacing w:val="8"/>
                      <w:sz w:val="21"/>
                      <w:szCs w:val="21"/>
                      <w:highlight w:val="none"/>
                      <w:lang w:val="en-US" w:eastAsia="zh-CN"/>
                    </w:rPr>
                    <w:t>雷管</w:t>
                  </w:r>
                </w:p>
              </w:tc>
              <w:tc>
                <w:tcPr>
                  <w:tcW w:w="1376" w:type="dxa"/>
                  <w:tcBorders>
                    <w:tl2br w:val="nil"/>
                    <w:tr2bl w:val="nil"/>
                  </w:tcBorders>
                  <w:noWrap w:val="0"/>
                  <w:vAlign w:val="center"/>
                </w:tcPr>
                <w:p w14:paraId="445F9E1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eastAsia="仿宋" w:cs="Times New Roman"/>
                      <w:color w:val="FF0000"/>
                      <w:spacing w:val="8"/>
                      <w:sz w:val="21"/>
                      <w:szCs w:val="21"/>
                      <w:highlight w:val="none"/>
                      <w:lang w:val="en-US" w:eastAsia="zh-CN"/>
                    </w:rPr>
                  </w:pPr>
                  <w:r>
                    <w:rPr>
                      <w:rFonts w:hint="eastAsia" w:eastAsia="仿宋" w:cs="Times New Roman"/>
                      <w:color w:val="FF0000"/>
                      <w:spacing w:val="8"/>
                      <w:sz w:val="21"/>
                      <w:szCs w:val="21"/>
                      <w:highlight w:val="none"/>
                      <w:lang w:val="en-US" w:eastAsia="zh-CN"/>
                    </w:rPr>
                    <w:t>4000发</w:t>
                  </w:r>
                </w:p>
              </w:tc>
              <w:tc>
                <w:tcPr>
                  <w:tcW w:w="3774" w:type="dxa"/>
                  <w:vMerge w:val="continue"/>
                  <w:tcBorders>
                    <w:tl2br w:val="nil"/>
                    <w:tr2bl w:val="nil"/>
                  </w:tcBorders>
                  <w:noWrap w:val="0"/>
                  <w:vAlign w:val="center"/>
                </w:tcPr>
                <w:p w14:paraId="660E7C2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eastAsia="仿宋" w:cs="Times New Roman"/>
                      <w:color w:val="FF0000"/>
                      <w:spacing w:val="8"/>
                      <w:sz w:val="21"/>
                      <w:szCs w:val="21"/>
                      <w:highlight w:val="none"/>
                      <w:lang w:val="en-US" w:eastAsia="zh-CN"/>
                    </w:rPr>
                  </w:pPr>
                </w:p>
              </w:tc>
            </w:tr>
          </w:tbl>
          <w:p w14:paraId="0208B384">
            <w:pPr>
              <w:pStyle w:val="3"/>
              <w:keepNext/>
              <w:keepLines/>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eastAsia" w:eastAsia="仿宋"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b w:val="0"/>
                <w:bCs/>
                <w:color w:val="000000" w:themeColor="text1"/>
                <w:sz w:val="24"/>
                <w:highlight w:val="none"/>
                <w14:textFill>
                  <w14:solidFill>
                    <w14:schemeClr w14:val="tx1"/>
                  </w14:solidFill>
                </w14:textFill>
              </w:rPr>
              <w:t>⑵</w:t>
            </w:r>
            <w:r>
              <w:rPr>
                <w:rFonts w:hint="eastAsia" w:eastAsia="仿宋" w:cs="Times New Roman"/>
                <w:b w:val="0"/>
                <w:bCs/>
                <w:color w:val="000000" w:themeColor="text1"/>
                <w:sz w:val="24"/>
                <w:highlight w:val="none"/>
                <w:lang w:val="en-US" w:eastAsia="zh-CN"/>
                <w14:textFill>
                  <w14:solidFill>
                    <w14:schemeClr w14:val="tx1"/>
                  </w14:solidFill>
                </w14:textFill>
              </w:rPr>
              <w:t>物料平衡</w:t>
            </w:r>
          </w:p>
          <w:p w14:paraId="4308AB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仿宋" w:cs="Times New Roman"/>
                <w:color w:val="000000" w:themeColor="text1"/>
                <w:sz w:val="24"/>
                <w:highlight w:val="none"/>
                <w14:textFill>
                  <w14:solidFill>
                    <w14:schemeClr w14:val="tx1"/>
                  </w14:solidFill>
                </w14:textFill>
              </w:rPr>
              <w:t>本项目</w:t>
            </w:r>
            <w:r>
              <w:rPr>
                <w:rFonts w:hint="eastAsia" w:eastAsia="仿宋" w:cs="Times New Roman"/>
                <w:color w:val="000000" w:themeColor="text1"/>
                <w:sz w:val="24"/>
                <w:highlight w:val="none"/>
                <w:lang w:val="en-US" w:eastAsia="zh-CN"/>
                <w14:textFill>
                  <w14:solidFill>
                    <w14:schemeClr w14:val="tx1"/>
                  </w14:solidFill>
                </w14:textFill>
              </w:rPr>
              <w:t>物料平衡</w:t>
            </w:r>
            <w:r>
              <w:rPr>
                <w:rFonts w:hint="default" w:ascii="Times New Roman" w:hAnsi="Times New Roman" w:eastAsia="仿宋" w:cs="Times New Roman"/>
                <w:color w:val="000000" w:themeColor="text1"/>
                <w:sz w:val="24"/>
                <w:highlight w:val="none"/>
                <w14:textFill>
                  <w14:solidFill>
                    <w14:schemeClr w14:val="tx1"/>
                  </w14:solidFill>
                </w14:textFill>
              </w:rPr>
              <w:t>见表</w:t>
            </w:r>
            <w:r>
              <w:rPr>
                <w:rFonts w:hint="eastAsia" w:eastAsia="仿宋" w:cs="Times New Roman"/>
                <w:color w:val="000000" w:themeColor="text1"/>
                <w:sz w:val="24"/>
                <w:highlight w:val="none"/>
                <w:lang w:val="en-US" w:eastAsia="zh-CN"/>
                <w14:textFill>
                  <w14:solidFill>
                    <w14:schemeClr w14:val="tx1"/>
                  </w14:solidFill>
                </w14:textFill>
              </w:rPr>
              <w:t>15</w:t>
            </w:r>
            <w:r>
              <w:rPr>
                <w:rFonts w:hint="default" w:ascii="Times New Roman" w:hAnsi="Times New Roman" w:eastAsia="仿宋" w:cs="Times New Roman"/>
                <w:color w:val="000000" w:themeColor="text1"/>
                <w:sz w:val="24"/>
                <w:highlight w:val="none"/>
                <w14:textFill>
                  <w14:solidFill>
                    <w14:schemeClr w14:val="tx1"/>
                  </w14:solidFill>
                </w14:textFill>
              </w:rPr>
              <w:t>。</w:t>
            </w:r>
          </w:p>
          <w:p w14:paraId="35F081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b/>
                <w:bCs/>
                <w:color w:val="000000" w:themeColor="text1"/>
                <w:kern w:val="0"/>
                <w:highlight w:val="none"/>
                <w:lang w:eastAsia="zh-CN"/>
                <w14:textFill>
                  <w14:solidFill>
                    <w14:schemeClr w14:val="tx1"/>
                  </w14:solidFill>
                </w14:textFill>
              </w:rPr>
            </w:pPr>
            <w:r>
              <w:rPr>
                <w:rFonts w:ascii="Times New Roman" w:hAnsi="Times New Roman" w:eastAsia="仿宋" w:cs="Times New Roman"/>
                <w:b/>
                <w:bCs/>
                <w:color w:val="000000" w:themeColor="text1"/>
                <w:kern w:val="0"/>
                <w:highlight w:val="none"/>
                <w14:textFill>
                  <w14:solidFill>
                    <w14:schemeClr w14:val="tx1"/>
                  </w14:solidFill>
                </w14:textFill>
              </w:rPr>
              <w:t>表</w:t>
            </w:r>
            <w:r>
              <w:rPr>
                <w:rFonts w:hint="eastAsia" w:eastAsia="仿宋" w:cs="Times New Roman"/>
                <w:b/>
                <w:bCs/>
                <w:color w:val="000000" w:themeColor="text1"/>
                <w:kern w:val="0"/>
                <w:highlight w:val="none"/>
                <w:lang w:val="en-US" w:eastAsia="zh-CN"/>
                <w14:textFill>
                  <w14:solidFill>
                    <w14:schemeClr w14:val="tx1"/>
                  </w14:solidFill>
                </w14:textFill>
              </w:rPr>
              <w:t xml:space="preserve">15 </w:t>
            </w:r>
            <w:r>
              <w:rPr>
                <w:rFonts w:ascii="Times New Roman" w:hAnsi="Times New Roman" w:eastAsia="仿宋" w:cs="Times New Roman"/>
                <w:b/>
                <w:bCs/>
                <w:color w:val="000000" w:themeColor="text1"/>
                <w:kern w:val="0"/>
                <w:highlight w:val="none"/>
                <w14:textFill>
                  <w14:solidFill>
                    <w14:schemeClr w14:val="tx1"/>
                  </w14:solidFill>
                </w14:textFill>
              </w:rPr>
              <w:t xml:space="preserve">  物料平衡</w:t>
            </w:r>
            <w:r>
              <w:rPr>
                <w:rFonts w:hint="eastAsia" w:eastAsia="仿宋" w:cs="Times New Roman"/>
                <w:b/>
                <w:bCs/>
                <w:color w:val="000000" w:themeColor="text1"/>
                <w:kern w:val="0"/>
                <w:highlight w:val="none"/>
                <w:lang w:val="en-US" w:eastAsia="zh-CN"/>
                <w14:textFill>
                  <w14:solidFill>
                    <w14:schemeClr w14:val="tx1"/>
                  </w14:solidFill>
                </w14:textFill>
              </w:rPr>
              <w:t>一览</w:t>
            </w:r>
            <w:r>
              <w:rPr>
                <w:rFonts w:ascii="Times New Roman" w:hAnsi="Times New Roman" w:eastAsia="仿宋" w:cs="Times New Roman"/>
                <w:b/>
                <w:bCs/>
                <w:color w:val="000000" w:themeColor="text1"/>
                <w:kern w:val="0"/>
                <w:highlight w:val="none"/>
                <w14:textFill>
                  <w14:solidFill>
                    <w14:schemeClr w14:val="tx1"/>
                  </w14:solidFill>
                </w14:textFill>
              </w:rPr>
              <w:t>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948"/>
              <w:gridCol w:w="1999"/>
              <w:gridCol w:w="1975"/>
              <w:gridCol w:w="1999"/>
            </w:tblGrid>
            <w:tr w14:paraId="15653B6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41" w:hRule="atLeast"/>
                <w:jc w:val="center"/>
              </w:trPr>
              <w:tc>
                <w:tcPr>
                  <w:tcW w:w="3947" w:type="dxa"/>
                  <w:gridSpan w:val="2"/>
                  <w:noWrap w:val="0"/>
                  <w:vAlign w:val="center"/>
                </w:tcPr>
                <w:p w14:paraId="4147D7C2">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r>
                    <w:rPr>
                      <w:rFonts w:eastAsia="仿宋"/>
                      <w:color w:val="000000" w:themeColor="text1"/>
                      <w:highlight w:val="none"/>
                      <w14:textFill>
                        <w14:solidFill>
                          <w14:schemeClr w14:val="tx1"/>
                        </w14:solidFill>
                      </w14:textFill>
                    </w:rPr>
                    <w:t>投入</w:t>
                  </w:r>
                </w:p>
              </w:tc>
              <w:tc>
                <w:tcPr>
                  <w:tcW w:w="3974" w:type="dxa"/>
                  <w:gridSpan w:val="2"/>
                  <w:noWrap w:val="0"/>
                  <w:vAlign w:val="center"/>
                </w:tcPr>
                <w:p w14:paraId="056D63F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r>
                    <w:rPr>
                      <w:rFonts w:eastAsia="仿宋"/>
                      <w:color w:val="000000" w:themeColor="text1"/>
                      <w:highlight w:val="none"/>
                      <w14:textFill>
                        <w14:solidFill>
                          <w14:schemeClr w14:val="tx1"/>
                        </w14:solidFill>
                      </w14:textFill>
                    </w:rPr>
                    <w:t>产出</w:t>
                  </w:r>
                </w:p>
              </w:tc>
            </w:tr>
            <w:tr w14:paraId="47C4FD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948" w:type="dxa"/>
                  <w:noWrap w:val="0"/>
                  <w:vAlign w:val="center"/>
                </w:tcPr>
                <w:p w14:paraId="1E957165">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r>
                    <w:rPr>
                      <w:rFonts w:eastAsia="仿宋"/>
                      <w:color w:val="000000" w:themeColor="text1"/>
                      <w:highlight w:val="none"/>
                      <w14:textFill>
                        <w14:solidFill>
                          <w14:schemeClr w14:val="tx1"/>
                        </w14:solidFill>
                      </w14:textFill>
                    </w:rPr>
                    <w:t>物料名称</w:t>
                  </w:r>
                </w:p>
              </w:tc>
              <w:tc>
                <w:tcPr>
                  <w:tcW w:w="1999" w:type="dxa"/>
                  <w:noWrap w:val="0"/>
                  <w:vAlign w:val="center"/>
                </w:tcPr>
                <w:p w14:paraId="71740EF9">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r>
                    <w:rPr>
                      <w:rFonts w:eastAsia="仿宋"/>
                      <w:color w:val="000000" w:themeColor="text1"/>
                      <w:highlight w:val="none"/>
                      <w14:textFill>
                        <w14:solidFill>
                          <w14:schemeClr w14:val="tx1"/>
                        </w14:solidFill>
                      </w14:textFill>
                    </w:rPr>
                    <w:t>t/a</w:t>
                  </w:r>
                </w:p>
              </w:tc>
              <w:tc>
                <w:tcPr>
                  <w:tcW w:w="1975" w:type="dxa"/>
                  <w:noWrap w:val="0"/>
                  <w:vAlign w:val="center"/>
                </w:tcPr>
                <w:p w14:paraId="346F77F8">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r>
                    <w:rPr>
                      <w:rFonts w:eastAsia="仿宋"/>
                      <w:color w:val="000000" w:themeColor="text1"/>
                      <w:highlight w:val="none"/>
                      <w14:textFill>
                        <w14:solidFill>
                          <w14:schemeClr w14:val="tx1"/>
                        </w14:solidFill>
                      </w14:textFill>
                    </w:rPr>
                    <w:t>产品名称</w:t>
                  </w:r>
                </w:p>
              </w:tc>
              <w:tc>
                <w:tcPr>
                  <w:tcW w:w="1999" w:type="dxa"/>
                  <w:noWrap w:val="0"/>
                  <w:vAlign w:val="center"/>
                </w:tcPr>
                <w:p w14:paraId="409DB825">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r>
                    <w:rPr>
                      <w:rFonts w:eastAsia="仿宋"/>
                      <w:color w:val="000000" w:themeColor="text1"/>
                      <w:highlight w:val="none"/>
                      <w14:textFill>
                        <w14:solidFill>
                          <w14:schemeClr w14:val="tx1"/>
                        </w14:solidFill>
                      </w14:textFill>
                    </w:rPr>
                    <w:t>t/a</w:t>
                  </w:r>
                </w:p>
              </w:tc>
            </w:tr>
            <w:tr w14:paraId="5A2DE3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1948" w:type="dxa"/>
                  <w:noWrap w:val="0"/>
                  <w:vAlign w:val="center"/>
                </w:tcPr>
                <w:p w14:paraId="7F24E16D">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r>
                    <w:rPr>
                      <w:rFonts w:hint="default" w:ascii="Times New Roman" w:hAnsi="Times New Roman" w:eastAsia="仿宋" w:cs="Times New Roman"/>
                      <w:color w:val="auto"/>
                      <w:spacing w:val="8"/>
                      <w:sz w:val="21"/>
                      <w:szCs w:val="21"/>
                      <w:highlight w:val="none"/>
                      <w:lang w:val="en-US" w:eastAsia="zh-CN"/>
                    </w:rPr>
                    <w:t>冶金用石英岩原矿</w:t>
                  </w:r>
                </w:p>
              </w:tc>
              <w:tc>
                <w:tcPr>
                  <w:tcW w:w="1999" w:type="dxa"/>
                  <w:noWrap w:val="0"/>
                  <w:vAlign w:val="center"/>
                </w:tcPr>
                <w:p w14:paraId="219B0B4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100000</w:t>
                  </w:r>
                </w:p>
              </w:tc>
              <w:tc>
                <w:tcPr>
                  <w:tcW w:w="1975" w:type="dxa"/>
                  <w:noWrap w:val="0"/>
                  <w:vAlign w:val="center"/>
                </w:tcPr>
                <w:p w14:paraId="116A42D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000000" w:themeColor="text1"/>
                      <w:highlight w:val="none"/>
                      <w:lang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成品石料</w:t>
                  </w:r>
                </w:p>
              </w:tc>
              <w:tc>
                <w:tcPr>
                  <w:tcW w:w="1999" w:type="dxa"/>
                  <w:noWrap w:val="0"/>
                  <w:vAlign w:val="center"/>
                </w:tcPr>
                <w:p w14:paraId="13F8EEB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99610.31</w:t>
                  </w:r>
                </w:p>
              </w:tc>
            </w:tr>
            <w:tr w14:paraId="70825C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1948" w:type="dxa"/>
                  <w:noWrap w:val="0"/>
                  <w:vAlign w:val="center"/>
                </w:tcPr>
                <w:p w14:paraId="7A637FF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000000" w:themeColor="text1"/>
                      <w:highlight w:val="none"/>
                      <w14:textFill>
                        <w14:solidFill>
                          <w14:schemeClr w14:val="tx1"/>
                        </w14:solidFill>
                      </w14:textFill>
                    </w:rPr>
                  </w:pPr>
                </w:p>
              </w:tc>
              <w:tc>
                <w:tcPr>
                  <w:tcW w:w="1999" w:type="dxa"/>
                  <w:noWrap w:val="0"/>
                  <w:vAlign w:val="center"/>
                </w:tcPr>
                <w:p w14:paraId="5CCCEAF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000000" w:themeColor="text1"/>
                      <w:highlight w:val="none"/>
                      <w:lang w:val="en-US" w:eastAsia="zh-CN"/>
                      <w14:textFill>
                        <w14:solidFill>
                          <w14:schemeClr w14:val="tx1"/>
                        </w14:solidFill>
                      </w14:textFill>
                    </w:rPr>
                  </w:pPr>
                </w:p>
              </w:tc>
              <w:tc>
                <w:tcPr>
                  <w:tcW w:w="1975" w:type="dxa"/>
                  <w:noWrap w:val="0"/>
                  <w:vAlign w:val="center"/>
                </w:tcPr>
                <w:p w14:paraId="42E1DED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剥离粉尘</w:t>
                  </w:r>
                </w:p>
              </w:tc>
              <w:tc>
                <w:tcPr>
                  <w:tcW w:w="1999" w:type="dxa"/>
                  <w:noWrap w:val="0"/>
                  <w:vAlign w:val="center"/>
                </w:tcPr>
                <w:p w14:paraId="7D8FF72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5.4</w:t>
                  </w:r>
                </w:p>
              </w:tc>
            </w:tr>
            <w:tr w14:paraId="644FD9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1948" w:type="dxa"/>
                  <w:noWrap w:val="0"/>
                  <w:vAlign w:val="center"/>
                </w:tcPr>
                <w:p w14:paraId="0E7D5BE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p>
              </w:tc>
              <w:tc>
                <w:tcPr>
                  <w:tcW w:w="1999" w:type="dxa"/>
                  <w:noWrap w:val="0"/>
                  <w:vAlign w:val="center"/>
                </w:tcPr>
                <w:p w14:paraId="1412B94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p>
              </w:tc>
              <w:tc>
                <w:tcPr>
                  <w:tcW w:w="1975" w:type="dxa"/>
                  <w:noWrap w:val="0"/>
                  <w:vAlign w:val="center"/>
                </w:tcPr>
                <w:p w14:paraId="0778ACA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000000" w:themeColor="text1"/>
                      <w:highlight w:val="none"/>
                      <w:lang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穿孔凿岩粉尘</w:t>
                  </w:r>
                </w:p>
              </w:tc>
              <w:tc>
                <w:tcPr>
                  <w:tcW w:w="1999" w:type="dxa"/>
                  <w:noWrap w:val="0"/>
                  <w:vAlign w:val="center"/>
                </w:tcPr>
                <w:p w14:paraId="720EE86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0.06</w:t>
                  </w:r>
                </w:p>
              </w:tc>
            </w:tr>
            <w:tr w14:paraId="49D997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402" w:hRule="atLeast"/>
                <w:jc w:val="center"/>
              </w:trPr>
              <w:tc>
                <w:tcPr>
                  <w:tcW w:w="1948" w:type="dxa"/>
                  <w:noWrap w:val="0"/>
                  <w:vAlign w:val="center"/>
                </w:tcPr>
                <w:p w14:paraId="4DCCCEB2">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p>
              </w:tc>
              <w:tc>
                <w:tcPr>
                  <w:tcW w:w="1999" w:type="dxa"/>
                  <w:noWrap w:val="0"/>
                  <w:vAlign w:val="center"/>
                </w:tcPr>
                <w:p w14:paraId="2D0AD22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p>
              </w:tc>
              <w:tc>
                <w:tcPr>
                  <w:tcW w:w="1975" w:type="dxa"/>
                  <w:noWrap w:val="0"/>
                  <w:vAlign w:val="center"/>
                </w:tcPr>
                <w:p w14:paraId="5C5161F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铲装粉尘</w:t>
                  </w:r>
                </w:p>
              </w:tc>
              <w:tc>
                <w:tcPr>
                  <w:tcW w:w="1999" w:type="dxa"/>
                  <w:noWrap w:val="0"/>
                  <w:vAlign w:val="center"/>
                </w:tcPr>
                <w:p w14:paraId="4C4283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2.6</w:t>
                  </w:r>
                </w:p>
              </w:tc>
            </w:tr>
            <w:tr w14:paraId="35D929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1948" w:type="dxa"/>
                  <w:noWrap w:val="0"/>
                  <w:vAlign w:val="center"/>
                </w:tcPr>
                <w:p w14:paraId="003E5F85">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p>
              </w:tc>
              <w:tc>
                <w:tcPr>
                  <w:tcW w:w="1999" w:type="dxa"/>
                  <w:noWrap w:val="0"/>
                  <w:vAlign w:val="center"/>
                </w:tcPr>
                <w:p w14:paraId="37EA3FA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p>
              </w:tc>
              <w:tc>
                <w:tcPr>
                  <w:tcW w:w="1975" w:type="dxa"/>
                  <w:noWrap w:val="0"/>
                  <w:vAlign w:val="center"/>
                </w:tcPr>
                <w:p w14:paraId="300521C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投料、破碎、筛分粉尘</w:t>
                  </w:r>
                </w:p>
              </w:tc>
              <w:tc>
                <w:tcPr>
                  <w:tcW w:w="1999" w:type="dxa"/>
                  <w:noWrap w:val="0"/>
                  <w:vAlign w:val="center"/>
                </w:tcPr>
                <w:p w14:paraId="535597F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380</w:t>
                  </w:r>
                </w:p>
              </w:tc>
            </w:tr>
            <w:tr w14:paraId="002FD4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1948" w:type="dxa"/>
                  <w:noWrap w:val="0"/>
                  <w:vAlign w:val="center"/>
                </w:tcPr>
                <w:p w14:paraId="7ECA0988">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p>
              </w:tc>
              <w:tc>
                <w:tcPr>
                  <w:tcW w:w="1999" w:type="dxa"/>
                  <w:noWrap w:val="0"/>
                  <w:vAlign w:val="center"/>
                </w:tcPr>
                <w:p w14:paraId="2C4079F4">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p>
              </w:tc>
              <w:tc>
                <w:tcPr>
                  <w:tcW w:w="1975" w:type="dxa"/>
                  <w:noWrap w:val="0"/>
                  <w:vAlign w:val="center"/>
                </w:tcPr>
                <w:p w14:paraId="500659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成品堆场粉尘</w:t>
                  </w:r>
                </w:p>
              </w:tc>
              <w:tc>
                <w:tcPr>
                  <w:tcW w:w="1999" w:type="dxa"/>
                  <w:noWrap w:val="0"/>
                  <w:vAlign w:val="center"/>
                </w:tcPr>
                <w:p w14:paraId="785CF9F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1.36</w:t>
                  </w:r>
                </w:p>
              </w:tc>
            </w:tr>
            <w:tr w14:paraId="28A0E99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1948" w:type="dxa"/>
                  <w:noWrap w:val="0"/>
                  <w:vAlign w:val="center"/>
                </w:tcPr>
                <w:p w14:paraId="7905D39A">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p>
              </w:tc>
              <w:tc>
                <w:tcPr>
                  <w:tcW w:w="1999" w:type="dxa"/>
                  <w:noWrap w:val="0"/>
                  <w:vAlign w:val="center"/>
                </w:tcPr>
                <w:p w14:paraId="0EC567D9">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p>
              </w:tc>
              <w:tc>
                <w:tcPr>
                  <w:tcW w:w="1975" w:type="dxa"/>
                  <w:noWrap w:val="0"/>
                  <w:vAlign w:val="center"/>
                </w:tcPr>
                <w:p w14:paraId="145CE45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排土场粉尘</w:t>
                  </w:r>
                </w:p>
              </w:tc>
              <w:tc>
                <w:tcPr>
                  <w:tcW w:w="1999" w:type="dxa"/>
                  <w:noWrap w:val="0"/>
                  <w:vAlign w:val="center"/>
                </w:tcPr>
                <w:p w14:paraId="3B27751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0.27</w:t>
                  </w:r>
                </w:p>
              </w:tc>
            </w:tr>
            <w:tr w14:paraId="62DB9B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948" w:type="dxa"/>
                  <w:noWrap w:val="0"/>
                  <w:vAlign w:val="center"/>
                </w:tcPr>
                <w:p w14:paraId="2EA1ECF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r>
                    <w:rPr>
                      <w:rFonts w:eastAsia="仿宋"/>
                      <w:color w:val="000000" w:themeColor="text1"/>
                      <w:highlight w:val="none"/>
                      <w14:textFill>
                        <w14:solidFill>
                          <w14:schemeClr w14:val="tx1"/>
                        </w14:solidFill>
                      </w14:textFill>
                    </w:rPr>
                    <w:t>合计</w:t>
                  </w:r>
                </w:p>
              </w:tc>
              <w:tc>
                <w:tcPr>
                  <w:tcW w:w="1999" w:type="dxa"/>
                  <w:noWrap w:val="0"/>
                  <w:vAlign w:val="center"/>
                </w:tcPr>
                <w:p w14:paraId="03A5762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100000</w:t>
                  </w:r>
                </w:p>
              </w:tc>
              <w:tc>
                <w:tcPr>
                  <w:tcW w:w="1975" w:type="dxa"/>
                  <w:noWrap w:val="0"/>
                  <w:vAlign w:val="center"/>
                </w:tcPr>
                <w:p w14:paraId="3CE32697">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highlight w:val="none"/>
                      <w14:textFill>
                        <w14:solidFill>
                          <w14:schemeClr w14:val="tx1"/>
                        </w14:solidFill>
                      </w14:textFill>
                    </w:rPr>
                  </w:pPr>
                  <w:r>
                    <w:rPr>
                      <w:rFonts w:eastAsia="仿宋"/>
                      <w:color w:val="000000" w:themeColor="text1"/>
                      <w:highlight w:val="none"/>
                      <w14:textFill>
                        <w14:solidFill>
                          <w14:schemeClr w14:val="tx1"/>
                        </w14:solidFill>
                      </w14:textFill>
                    </w:rPr>
                    <w:t>合计</w:t>
                  </w:r>
                </w:p>
              </w:tc>
              <w:tc>
                <w:tcPr>
                  <w:tcW w:w="1999" w:type="dxa"/>
                  <w:noWrap w:val="0"/>
                  <w:vAlign w:val="center"/>
                </w:tcPr>
                <w:p w14:paraId="0988CB9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highlight w:val="none"/>
                      <w:lang w:val="en-US" w:eastAsia="zh-CN"/>
                      <w14:textFill>
                        <w14:solidFill>
                          <w14:schemeClr w14:val="tx1"/>
                        </w14:solidFill>
                      </w14:textFill>
                    </w:rPr>
                  </w:pPr>
                  <w:r>
                    <w:rPr>
                      <w:rFonts w:hint="eastAsia" w:eastAsia="仿宋"/>
                      <w:color w:val="000000" w:themeColor="text1"/>
                      <w:highlight w:val="none"/>
                      <w:lang w:val="en-US" w:eastAsia="zh-CN"/>
                      <w14:textFill>
                        <w14:solidFill>
                          <w14:schemeClr w14:val="tx1"/>
                        </w14:solidFill>
                      </w14:textFill>
                    </w:rPr>
                    <w:t>100000</w:t>
                  </w:r>
                </w:p>
              </w:tc>
            </w:tr>
          </w:tbl>
          <w:p w14:paraId="317837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 w:cs="Times New Roman"/>
                <w:b/>
                <w:bCs/>
                <w:color w:val="000000" w:themeColor="text1"/>
                <w:kern w:val="0"/>
                <w:highlight w:val="none"/>
                <w14:textFill>
                  <w14:solidFill>
                    <w14:schemeClr w14:val="tx1"/>
                  </w14:solidFill>
                </w14:textFill>
              </w:rPr>
            </w:pPr>
          </w:p>
          <w:p w14:paraId="0FE73D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 w:cs="Times New Roman"/>
                <w:b/>
                <w:bCs/>
                <w:color w:val="000000" w:themeColor="text1"/>
                <w:kern w:val="0"/>
                <w:highlight w:val="none"/>
                <w14:textFill>
                  <w14:solidFill>
                    <w14:schemeClr w14:val="tx1"/>
                  </w14:solidFill>
                </w14:textFill>
              </w:rPr>
            </w:pPr>
          </w:p>
          <w:p w14:paraId="3029C7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 w:cs="Times New Roman"/>
                <w:b/>
                <w:bCs/>
                <w:color w:val="000000" w:themeColor="text1"/>
                <w:kern w:val="0"/>
                <w:highlight w:val="none"/>
                <w14:textFill>
                  <w14:solidFill>
                    <w14:schemeClr w14:val="tx1"/>
                  </w14:solidFill>
                </w14:textFill>
              </w:rPr>
            </w:pPr>
          </w:p>
          <w:p w14:paraId="1F9FBE9D">
            <w:pPr>
              <w:pStyle w:val="3"/>
              <w:keepNext/>
              <w:keepLines/>
              <w:pageBreakBefore w:val="0"/>
              <w:widowControl w:val="0"/>
              <w:kinsoku/>
              <w:wordWrap/>
              <w:overflowPunct/>
              <w:topLinePunct w:val="0"/>
              <w:autoSpaceDE/>
              <w:autoSpaceDN/>
              <w:bidi w:val="0"/>
              <w:adjustRightInd w:val="0"/>
              <w:snapToGrid w:val="0"/>
              <w:spacing w:before="157" w:beforeLines="50" w:line="360" w:lineRule="auto"/>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object>
                <v:shape id="_x0000_i1025" o:spt="75" type="#_x0000_t75" style="height:268.5pt;width:289.5pt;" o:ole="t" filled="f" o:preferrelative="t" stroked="f" coordsize="21600,21600">
                  <v:path/>
                  <v:fill on="f" focussize="0,0"/>
                  <v:stroke on="f"/>
                  <v:imagedata r:id="rId8" cropbottom="8451f" o:title=""/>
                  <o:lock v:ext="edit" aspectratio="f"/>
                  <w10:wrap type="none"/>
                  <w10:anchorlock/>
                </v:shape>
                <o:OLEObject Type="Embed" ProgID="Visio.Drawing.11" ShapeID="_x0000_i1025" DrawAspect="Content" ObjectID="_1468075725" r:id="rId7">
                  <o:LockedField>false</o:LockedField>
                </o:OLEObject>
              </w:object>
            </w:r>
          </w:p>
          <w:p w14:paraId="06667FC3">
            <w:pPr>
              <w:pStyle w:val="3"/>
              <w:keepNext/>
              <w:keepLines/>
              <w:pageBreakBefore w:val="0"/>
              <w:widowControl w:val="0"/>
              <w:kinsoku/>
              <w:wordWrap/>
              <w:overflowPunct/>
              <w:topLinePunct w:val="0"/>
              <w:autoSpaceDE/>
              <w:autoSpaceDN/>
              <w:bidi w:val="0"/>
              <w:adjustRightInd w:val="0"/>
              <w:snapToGrid w:val="0"/>
              <w:spacing w:before="157" w:beforeLines="50" w:line="360" w:lineRule="auto"/>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图</w:t>
            </w:r>
            <w:r>
              <w:rPr>
                <w:rFonts w:hint="eastAsia" w:eastAsia="仿宋" w:cs="Times New Roman"/>
                <w:b/>
                <w:bCs/>
                <w:color w:val="auto"/>
                <w:sz w:val="24"/>
                <w:szCs w:val="24"/>
                <w:highlight w:val="none"/>
                <w:lang w:val="en-US" w:eastAsia="zh-CN"/>
              </w:rPr>
              <w:t>1</w:t>
            </w:r>
            <w:r>
              <w:rPr>
                <w:rFonts w:hint="default" w:ascii="Times New Roman" w:hAnsi="Times New Roman" w:eastAsia="仿宋" w:cs="Times New Roman"/>
                <w:b/>
                <w:bCs/>
                <w:color w:val="auto"/>
                <w:sz w:val="24"/>
                <w:szCs w:val="24"/>
                <w:highlight w:val="none"/>
                <w:lang w:val="en-US" w:eastAsia="zh-CN"/>
              </w:rPr>
              <w:t xml:space="preserve">   </w:t>
            </w:r>
            <w:r>
              <w:rPr>
                <w:rFonts w:hint="eastAsia" w:eastAsia="仿宋" w:cs="Times New Roman"/>
                <w:b/>
                <w:bCs/>
                <w:color w:val="auto"/>
                <w:sz w:val="24"/>
                <w:szCs w:val="24"/>
                <w:highlight w:val="none"/>
                <w:lang w:val="en-US" w:eastAsia="zh-CN"/>
              </w:rPr>
              <w:t>物料平衡图</w:t>
            </w:r>
            <w:r>
              <w:rPr>
                <w:rFonts w:hint="default" w:ascii="Times New Roman" w:hAnsi="Times New Roman" w:eastAsia="仿宋" w:cs="Times New Roman"/>
                <w:b/>
                <w:bCs/>
                <w:color w:val="auto"/>
                <w:sz w:val="24"/>
                <w:szCs w:val="24"/>
                <w:highlight w:val="none"/>
                <w:lang w:val="en-US" w:eastAsia="zh-CN"/>
              </w:rPr>
              <w:t xml:space="preserve">  单位 </w:t>
            </w:r>
            <w:r>
              <w:rPr>
                <w:rFonts w:hint="eastAsia" w:eastAsia="仿宋" w:cs="Times New Roman"/>
                <w:b/>
                <w:bCs/>
                <w:color w:val="auto"/>
                <w:sz w:val="24"/>
                <w:szCs w:val="24"/>
                <w:highlight w:val="none"/>
                <w:lang w:val="en-US" w:eastAsia="zh-CN"/>
              </w:rPr>
              <w:t>t/a</w:t>
            </w:r>
          </w:p>
          <w:p w14:paraId="6A30AC38">
            <w:pPr>
              <w:pStyle w:val="3"/>
              <w:keepNext/>
              <w:keepLines/>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14.给排水工程</w:t>
            </w:r>
          </w:p>
          <w:p w14:paraId="3AF13142">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⑴供水</w:t>
            </w:r>
          </w:p>
          <w:p w14:paraId="13752FE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本</w:t>
            </w:r>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项目矿区配备2台水罐车，从矿区</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附近村镇</w:t>
            </w:r>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拉运自来水至矿区，</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生活区设置</w:t>
            </w:r>
            <w:r>
              <w:rPr>
                <w:rFonts w:hint="eastAsia" w:eastAsia="仿宋"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个10m</w:t>
            </w:r>
            <w:r>
              <w:rPr>
                <w:rFonts w:hint="eastAsia" w:ascii="Times New Roman" w:hAnsi="Times New Roman" w:eastAsia="仿宋"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储水罐，可</w:t>
            </w:r>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满足项目</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矿区生活</w:t>
            </w:r>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用水需求。</w:t>
            </w:r>
          </w:p>
          <w:p w14:paraId="25B3DF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lang w:val="en-US" w:eastAsia="zh-CN"/>
              </w:rPr>
            </w:pPr>
            <w:r>
              <w:rPr>
                <w:rFonts w:hint="eastAsia" w:ascii="Times New Roman" w:hAnsi="Times New Roman" w:eastAsia="仿宋" w:cs="Times New Roman"/>
                <w:color w:val="FF0000"/>
                <w:sz w:val="24"/>
                <w:szCs w:val="24"/>
                <w:highlight w:val="none"/>
                <w:lang w:val="en-US" w:eastAsia="zh-CN"/>
              </w:rPr>
              <w:t>根据《</w:t>
            </w:r>
            <w:r>
              <w:rPr>
                <w:rFonts w:hint="default" w:ascii="Times New Roman" w:hAnsi="Times New Roman" w:eastAsia="仿宋" w:cs="Times New Roman"/>
                <w:color w:val="FF0000"/>
                <w:sz w:val="24"/>
                <w:szCs w:val="24"/>
                <w:highlight w:val="none"/>
                <w:lang w:val="en-US" w:eastAsia="zh-CN"/>
              </w:rPr>
              <w:t>临泽县金源矿业有限责任公司平川镇羊圈湾冶金用石英岩矿</w:t>
            </w:r>
            <w:r>
              <w:rPr>
                <w:rFonts w:hint="eastAsia" w:ascii="Times New Roman" w:hAnsi="Times New Roman" w:eastAsia="仿宋" w:cs="Times New Roman"/>
                <w:color w:val="FF0000"/>
                <w:sz w:val="24"/>
                <w:szCs w:val="24"/>
                <w:highlight w:val="none"/>
                <w:lang w:val="en-US" w:eastAsia="zh-CN"/>
              </w:rPr>
              <w:t>开采方案</w:t>
            </w:r>
            <w:r>
              <w:rPr>
                <w:rFonts w:hint="default" w:ascii="Times New Roman" w:hAnsi="Times New Roman" w:eastAsia="仿宋" w:cs="Times New Roman"/>
                <w:color w:val="FF0000"/>
                <w:sz w:val="24"/>
                <w:szCs w:val="24"/>
                <w:highlight w:val="none"/>
                <w:lang w:val="en-US" w:eastAsia="zh-CN"/>
              </w:rPr>
              <w:t>与</w:t>
            </w:r>
            <w:r>
              <w:rPr>
                <w:rFonts w:hint="eastAsia" w:ascii="Times New Roman" w:hAnsi="Times New Roman" w:eastAsia="仿宋" w:cs="Times New Roman"/>
                <w:color w:val="FF0000"/>
                <w:sz w:val="24"/>
                <w:szCs w:val="24"/>
                <w:highlight w:val="none"/>
                <w:lang w:val="en-US" w:eastAsia="zh-CN"/>
              </w:rPr>
              <w:t>矿区生态修复</w:t>
            </w:r>
            <w:r>
              <w:rPr>
                <w:rFonts w:hint="default" w:ascii="Times New Roman" w:hAnsi="Times New Roman" w:eastAsia="仿宋" w:cs="Times New Roman"/>
                <w:color w:val="FF0000"/>
                <w:sz w:val="24"/>
                <w:szCs w:val="24"/>
                <w:highlight w:val="none"/>
                <w:lang w:val="en-US" w:eastAsia="zh-CN"/>
              </w:rPr>
              <w:t>方案</w:t>
            </w:r>
            <w:r>
              <w:rPr>
                <w:rFonts w:hint="eastAsia" w:ascii="Times New Roman" w:hAnsi="Times New Roman" w:eastAsia="仿宋" w:cs="Times New Roman"/>
                <w:color w:val="FF0000"/>
                <w:sz w:val="24"/>
                <w:szCs w:val="24"/>
                <w:highlight w:val="none"/>
                <w:lang w:val="en-US" w:eastAsia="zh-CN"/>
              </w:rPr>
              <w:t>》，</w:t>
            </w:r>
            <w:r>
              <w:rPr>
                <w:rFonts w:hint="default" w:ascii="Times New Roman" w:hAnsi="Times New Roman" w:eastAsia="仿宋" w:cs="Times New Roman"/>
                <w:color w:val="FF0000"/>
                <w:sz w:val="24"/>
                <w:szCs w:val="24"/>
                <w:highlight w:val="none"/>
                <w:lang w:val="en-US" w:eastAsia="zh-CN"/>
              </w:rPr>
              <w:t>矿区最低开采标高为1397.00m，矿体最终开采标高位于最低侵蚀基准面以下，开采方式为</w:t>
            </w:r>
            <w:r>
              <w:rPr>
                <w:rFonts w:hint="eastAsia" w:ascii="Times New Roman" w:hAnsi="Times New Roman" w:eastAsia="仿宋" w:cs="Times New Roman"/>
                <w:color w:val="FF0000"/>
                <w:sz w:val="24"/>
                <w:szCs w:val="24"/>
                <w:highlight w:val="none"/>
                <w:lang w:val="en-US" w:eastAsia="zh-CN"/>
              </w:rPr>
              <w:t>凹陷</w:t>
            </w:r>
            <w:r>
              <w:rPr>
                <w:rFonts w:hint="default" w:ascii="Times New Roman" w:hAnsi="Times New Roman" w:eastAsia="仿宋" w:cs="Times New Roman"/>
                <w:color w:val="FF0000"/>
                <w:sz w:val="24"/>
                <w:szCs w:val="24"/>
                <w:highlight w:val="none"/>
                <w:lang w:val="en-US" w:eastAsia="zh-CN"/>
              </w:rPr>
              <w:t>露天开采，大气降水形成的地表径流和降雨直接降入采坑的水是矿床的主要充水水源</w:t>
            </w:r>
            <w:r>
              <w:rPr>
                <w:rFonts w:hint="eastAsia" w:eastAsia="仿宋" w:cs="Times New Roman"/>
                <w:color w:val="FF0000"/>
                <w:sz w:val="24"/>
                <w:szCs w:val="24"/>
                <w:highlight w:val="none"/>
                <w:lang w:val="en-US" w:eastAsia="zh-CN"/>
              </w:rPr>
              <w:t>。根据</w:t>
            </w:r>
            <w:r>
              <w:rPr>
                <w:rFonts w:hint="eastAsia" w:ascii="Times New Roman" w:hAnsi="Times New Roman" w:eastAsia="仿宋" w:cs="Times New Roman"/>
                <w:color w:val="FF0000"/>
                <w:sz w:val="24"/>
                <w:szCs w:val="24"/>
                <w:highlight w:val="none"/>
                <w:lang w:val="en-US" w:eastAsia="zh-CN"/>
              </w:rPr>
              <w:t>预测</w:t>
            </w:r>
            <w:r>
              <w:rPr>
                <w:rFonts w:hint="eastAsia" w:eastAsia="仿宋" w:cs="Times New Roman"/>
                <w:color w:val="FF0000"/>
                <w:sz w:val="24"/>
                <w:szCs w:val="24"/>
                <w:highlight w:val="none"/>
                <w:lang w:val="en-US" w:eastAsia="zh-CN"/>
              </w:rPr>
              <w:t>，采坑最终形成范围内正常降水时</w:t>
            </w:r>
            <w:r>
              <w:rPr>
                <w:rFonts w:hint="eastAsia" w:ascii="Times New Roman" w:hAnsi="Times New Roman" w:eastAsia="仿宋" w:cs="Times New Roman"/>
                <w:color w:val="FF0000"/>
                <w:sz w:val="24"/>
                <w:szCs w:val="24"/>
                <w:highlight w:val="none"/>
                <w:lang w:val="en-US" w:eastAsia="zh-CN"/>
              </w:rPr>
              <w:t>矿坑涌水量为</w:t>
            </w:r>
            <w:r>
              <w:rPr>
                <w:rFonts w:hint="eastAsia" w:eastAsia="仿宋" w:cs="Times New Roman"/>
                <w:color w:val="FF0000"/>
                <w:sz w:val="24"/>
                <w:szCs w:val="24"/>
                <w:highlight w:val="none"/>
                <w:lang w:val="en-US" w:eastAsia="zh-CN"/>
              </w:rPr>
              <w:t>194</w:t>
            </w:r>
            <w:r>
              <w:rPr>
                <w:rFonts w:hint="eastAsia" w:ascii="Times New Roman" w:hAnsi="Times New Roman" w:eastAsia="仿宋" w:cs="Times New Roman"/>
                <w:color w:val="FF0000"/>
                <w:sz w:val="24"/>
                <w:szCs w:val="24"/>
                <w:highlight w:val="none"/>
                <w:lang w:val="en-US" w:eastAsia="zh-CN"/>
              </w:rPr>
              <w:t>m</w:t>
            </w:r>
            <w:r>
              <w:rPr>
                <w:rFonts w:hint="eastAsia" w:ascii="Times New Roman" w:hAnsi="Times New Roman" w:eastAsia="仿宋" w:cs="Times New Roman"/>
                <w:color w:val="FF0000"/>
                <w:sz w:val="24"/>
                <w:szCs w:val="24"/>
                <w:highlight w:val="none"/>
                <w:vertAlign w:val="superscript"/>
                <w:lang w:val="en-US" w:eastAsia="zh-CN"/>
              </w:rPr>
              <w:t>3</w:t>
            </w:r>
            <w:r>
              <w:rPr>
                <w:rFonts w:hint="eastAsia" w:ascii="Times New Roman" w:hAnsi="Times New Roman" w:eastAsia="仿宋" w:cs="Times New Roman"/>
                <w:color w:val="FF0000"/>
                <w:sz w:val="24"/>
                <w:szCs w:val="24"/>
                <w:highlight w:val="none"/>
                <w:lang w:val="en-US" w:eastAsia="zh-CN"/>
              </w:rPr>
              <w:t>/d，</w:t>
            </w:r>
            <w:r>
              <w:rPr>
                <w:rFonts w:hint="eastAsia" w:eastAsia="仿宋" w:cs="Times New Roman"/>
                <w:color w:val="FF0000"/>
                <w:sz w:val="24"/>
                <w:szCs w:val="24"/>
                <w:highlight w:val="none"/>
                <w:lang w:val="en-US" w:eastAsia="zh-CN"/>
              </w:rPr>
              <w:t>矿区设置200m</w:t>
            </w:r>
            <w:r>
              <w:rPr>
                <w:rFonts w:hint="eastAsia" w:eastAsia="仿宋" w:cs="Times New Roman"/>
                <w:color w:val="FF0000"/>
                <w:sz w:val="24"/>
                <w:szCs w:val="24"/>
                <w:highlight w:val="none"/>
                <w:vertAlign w:val="superscript"/>
                <w:lang w:val="en-US" w:eastAsia="zh-CN"/>
              </w:rPr>
              <w:t>3</w:t>
            </w:r>
            <w:r>
              <w:rPr>
                <w:rFonts w:hint="eastAsia" w:eastAsia="仿宋" w:cs="Times New Roman"/>
                <w:color w:val="FF0000"/>
                <w:sz w:val="24"/>
                <w:szCs w:val="24"/>
                <w:highlight w:val="none"/>
                <w:lang w:val="en-US" w:eastAsia="zh-CN"/>
              </w:rPr>
              <w:t>的集水池，通过污水潜水泵将涌水抽至集水池内，用于矿区生产洒水抑尘。</w:t>
            </w:r>
          </w:p>
          <w:p w14:paraId="6797F4A7">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lang w:val="en-US" w:eastAsia="zh-CN"/>
              </w:rPr>
            </w:pPr>
            <w:r>
              <w:rPr>
                <w:rFonts w:hint="eastAsia" w:eastAsia="仿宋" w:cs="Times New Roman"/>
                <w:color w:val="FF0000"/>
                <w:sz w:val="24"/>
                <w:szCs w:val="24"/>
                <w:highlight w:val="none"/>
                <w:lang w:val="en-US" w:eastAsia="zh-CN"/>
              </w:rPr>
              <w:t>根据</w:t>
            </w:r>
            <w:r>
              <w:rPr>
                <w:rFonts w:hint="eastAsia" w:ascii="Times New Roman" w:hAnsi="Times New Roman" w:eastAsia="仿宋" w:cs="Times New Roman"/>
                <w:color w:val="FF0000"/>
                <w:sz w:val="24"/>
                <w:szCs w:val="24"/>
                <w:highlight w:val="none"/>
                <w:lang w:val="en-US" w:eastAsia="zh-CN"/>
              </w:rPr>
              <w:t>《</w:t>
            </w:r>
            <w:r>
              <w:rPr>
                <w:rFonts w:hint="default" w:ascii="Times New Roman" w:hAnsi="Times New Roman" w:eastAsia="仿宋" w:cs="Times New Roman"/>
                <w:color w:val="FF0000"/>
                <w:sz w:val="24"/>
                <w:szCs w:val="24"/>
                <w:highlight w:val="none"/>
                <w:lang w:val="en-US" w:eastAsia="zh-CN"/>
              </w:rPr>
              <w:t>临泽县金源矿业有限责任公司平川镇羊圈湾冶金用石英岩矿</w:t>
            </w:r>
            <w:r>
              <w:rPr>
                <w:rFonts w:hint="eastAsia" w:ascii="Times New Roman" w:hAnsi="Times New Roman" w:eastAsia="仿宋" w:cs="Times New Roman"/>
                <w:color w:val="FF0000"/>
                <w:sz w:val="24"/>
                <w:szCs w:val="24"/>
                <w:highlight w:val="none"/>
                <w:lang w:val="en-US" w:eastAsia="zh-CN"/>
              </w:rPr>
              <w:t>开采方案</w:t>
            </w:r>
            <w:r>
              <w:rPr>
                <w:rFonts w:hint="default" w:ascii="Times New Roman" w:hAnsi="Times New Roman" w:eastAsia="仿宋" w:cs="Times New Roman"/>
                <w:color w:val="FF0000"/>
                <w:sz w:val="24"/>
                <w:szCs w:val="24"/>
                <w:highlight w:val="none"/>
                <w:lang w:val="en-US" w:eastAsia="zh-CN"/>
              </w:rPr>
              <w:t>与</w:t>
            </w:r>
            <w:r>
              <w:rPr>
                <w:rFonts w:hint="eastAsia" w:ascii="Times New Roman" w:hAnsi="Times New Roman" w:eastAsia="仿宋" w:cs="Times New Roman"/>
                <w:color w:val="FF0000"/>
                <w:sz w:val="24"/>
                <w:szCs w:val="24"/>
                <w:highlight w:val="none"/>
                <w:lang w:val="en-US" w:eastAsia="zh-CN"/>
              </w:rPr>
              <w:t>矿区生态修复</w:t>
            </w:r>
            <w:r>
              <w:rPr>
                <w:rFonts w:hint="default" w:ascii="Times New Roman" w:hAnsi="Times New Roman" w:eastAsia="仿宋" w:cs="Times New Roman"/>
                <w:color w:val="FF0000"/>
                <w:sz w:val="24"/>
                <w:szCs w:val="24"/>
                <w:highlight w:val="none"/>
                <w:lang w:val="en-US" w:eastAsia="zh-CN"/>
              </w:rPr>
              <w:t>方案</w:t>
            </w:r>
            <w:r>
              <w:rPr>
                <w:rFonts w:hint="eastAsia" w:ascii="Times New Roman" w:hAnsi="Times New Roman" w:eastAsia="仿宋" w:cs="Times New Roman"/>
                <w:color w:val="FF0000"/>
                <w:sz w:val="24"/>
                <w:szCs w:val="24"/>
                <w:highlight w:val="none"/>
                <w:lang w:val="en-US" w:eastAsia="zh-CN"/>
              </w:rPr>
              <w:t>》</w:t>
            </w:r>
            <w:r>
              <w:rPr>
                <w:rFonts w:hint="eastAsia" w:eastAsia="仿宋" w:cs="Times New Roman"/>
                <w:color w:val="FF0000"/>
                <w:sz w:val="24"/>
                <w:szCs w:val="24"/>
                <w:highlight w:val="none"/>
                <w:lang w:val="en-US" w:eastAsia="zh-CN"/>
              </w:rPr>
              <w:t>，临泽县降雨天数约为30天，则本项目矿坑涌水量为5820m</w:t>
            </w:r>
            <w:r>
              <w:rPr>
                <w:rFonts w:hint="eastAsia" w:eastAsia="仿宋" w:cs="Times New Roman"/>
                <w:color w:val="FF0000"/>
                <w:sz w:val="24"/>
                <w:szCs w:val="24"/>
                <w:highlight w:val="none"/>
                <w:vertAlign w:val="superscript"/>
                <w:lang w:val="en-US" w:eastAsia="zh-CN"/>
              </w:rPr>
              <w:t>3</w:t>
            </w:r>
            <w:r>
              <w:rPr>
                <w:rFonts w:hint="eastAsia" w:eastAsia="仿宋" w:cs="Times New Roman"/>
                <w:color w:val="FF0000"/>
                <w:sz w:val="24"/>
                <w:szCs w:val="24"/>
                <w:highlight w:val="none"/>
                <w:lang w:val="en-US" w:eastAsia="zh-CN"/>
              </w:rPr>
              <w:t>/a。</w:t>
            </w:r>
          </w:p>
          <w:p w14:paraId="052EA646">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lang w:val="en-US" w:eastAsia="zh-CN"/>
              </w:rPr>
            </w:pPr>
            <w:r>
              <w:rPr>
                <w:rFonts w:hint="default" w:ascii="Times New Roman" w:hAnsi="Times New Roman" w:eastAsia="仿宋" w:cs="Times New Roman"/>
                <w:color w:val="FF0000"/>
                <w:sz w:val="24"/>
                <w:szCs w:val="24"/>
                <w:highlight w:val="none"/>
              </w:rPr>
              <w:t>⑵</w:t>
            </w:r>
            <w:r>
              <w:rPr>
                <w:rFonts w:hint="default" w:ascii="Times New Roman" w:hAnsi="Times New Roman" w:eastAsia="仿宋" w:cs="Times New Roman"/>
                <w:color w:val="FF0000"/>
                <w:sz w:val="24"/>
                <w:szCs w:val="24"/>
                <w:highlight w:val="none"/>
                <w:lang w:val="en-US" w:eastAsia="zh-CN"/>
              </w:rPr>
              <w:t>给水工程</w:t>
            </w:r>
          </w:p>
          <w:p w14:paraId="7B5C626E">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rPr>
            </w:pPr>
            <w:r>
              <w:rPr>
                <w:rFonts w:hint="default" w:ascii="Times New Roman" w:hAnsi="Times New Roman" w:eastAsia="仿宋" w:cs="Times New Roman"/>
                <w:color w:val="FF0000"/>
                <w:sz w:val="24"/>
                <w:szCs w:val="24"/>
                <w:highlight w:val="none"/>
              </w:rPr>
              <w:t>①</w:t>
            </w:r>
            <w:r>
              <w:rPr>
                <w:rFonts w:hint="default" w:ascii="Times New Roman" w:hAnsi="Times New Roman" w:eastAsia="仿宋" w:cs="Times New Roman"/>
                <w:color w:val="FF0000"/>
                <w:sz w:val="24"/>
                <w:szCs w:val="24"/>
                <w:highlight w:val="none"/>
                <w:lang w:val="en-US" w:eastAsia="zh-CN"/>
              </w:rPr>
              <w:t>矿区</w:t>
            </w:r>
            <w:r>
              <w:rPr>
                <w:rFonts w:hint="eastAsia" w:eastAsia="仿宋" w:cs="Times New Roman"/>
                <w:color w:val="FF0000"/>
                <w:sz w:val="24"/>
                <w:szCs w:val="24"/>
                <w:highlight w:val="none"/>
                <w:lang w:val="en-US" w:eastAsia="zh-CN"/>
              </w:rPr>
              <w:t>凿岩、爆破</w:t>
            </w:r>
            <w:r>
              <w:rPr>
                <w:rFonts w:hint="default" w:ascii="Times New Roman" w:hAnsi="Times New Roman" w:eastAsia="仿宋" w:cs="Times New Roman"/>
                <w:color w:val="FF0000"/>
                <w:sz w:val="24"/>
                <w:szCs w:val="24"/>
                <w:highlight w:val="none"/>
                <w:lang w:val="en-US" w:eastAsia="zh-CN"/>
              </w:rPr>
              <w:t>抑尘</w:t>
            </w:r>
            <w:r>
              <w:rPr>
                <w:rFonts w:hint="default" w:ascii="Times New Roman" w:hAnsi="Times New Roman" w:eastAsia="仿宋" w:cs="Times New Roman"/>
                <w:color w:val="FF0000"/>
                <w:sz w:val="24"/>
                <w:szCs w:val="24"/>
                <w:highlight w:val="none"/>
              </w:rPr>
              <w:t>用水</w:t>
            </w:r>
          </w:p>
          <w:p w14:paraId="7D186AF0">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lang w:val="en-US" w:eastAsia="zh-CN"/>
              </w:rPr>
            </w:pPr>
            <w:r>
              <w:rPr>
                <w:rFonts w:hint="default" w:ascii="Times New Roman" w:hAnsi="Times New Roman" w:eastAsia="仿宋" w:cs="Times New Roman"/>
                <w:color w:val="FF0000"/>
                <w:sz w:val="24"/>
                <w:szCs w:val="24"/>
                <w:highlight w:val="none"/>
                <w:lang w:val="en-US" w:eastAsia="zh-CN"/>
              </w:rPr>
              <w:t>本项目矿区</w:t>
            </w:r>
            <w:r>
              <w:rPr>
                <w:rFonts w:hint="eastAsia" w:eastAsia="仿宋" w:cs="Times New Roman"/>
                <w:color w:val="FF0000"/>
                <w:sz w:val="24"/>
                <w:szCs w:val="24"/>
                <w:highlight w:val="none"/>
                <w:lang w:val="en-US" w:eastAsia="zh-CN"/>
              </w:rPr>
              <w:t>凿岩、爆破</w:t>
            </w:r>
            <w:r>
              <w:rPr>
                <w:rFonts w:hint="default" w:ascii="Times New Roman" w:hAnsi="Times New Roman" w:eastAsia="仿宋" w:cs="Times New Roman"/>
                <w:color w:val="FF0000"/>
                <w:sz w:val="24"/>
                <w:szCs w:val="24"/>
                <w:highlight w:val="none"/>
                <w:lang w:val="en-US" w:eastAsia="zh-CN"/>
              </w:rPr>
              <w:t>抑尘</w:t>
            </w:r>
            <w:r>
              <w:rPr>
                <w:rFonts w:hint="default" w:ascii="Times New Roman" w:hAnsi="Times New Roman" w:eastAsia="仿宋" w:cs="Times New Roman"/>
                <w:color w:val="FF0000"/>
                <w:sz w:val="24"/>
                <w:szCs w:val="24"/>
                <w:highlight w:val="none"/>
              </w:rPr>
              <w:t>用水</w:t>
            </w:r>
            <w:r>
              <w:rPr>
                <w:rFonts w:hint="default" w:ascii="Times New Roman" w:hAnsi="Times New Roman" w:eastAsia="仿宋" w:cs="Times New Roman"/>
                <w:color w:val="FF0000"/>
                <w:sz w:val="24"/>
                <w:szCs w:val="24"/>
                <w:highlight w:val="none"/>
                <w:lang w:val="en-US" w:eastAsia="zh-CN"/>
              </w:rPr>
              <w:t>量约为</w:t>
            </w:r>
            <w:r>
              <w:rPr>
                <w:rFonts w:hint="eastAsia" w:eastAsia="仿宋" w:cs="Times New Roman"/>
                <w:color w:val="FF0000"/>
                <w:sz w:val="24"/>
                <w:szCs w:val="24"/>
                <w:highlight w:val="none"/>
                <w:lang w:val="en-US" w:eastAsia="zh-CN"/>
              </w:rPr>
              <w:t>7</w:t>
            </w:r>
            <w:r>
              <w:rPr>
                <w:rFonts w:hint="default" w:ascii="Times New Roman" w:hAnsi="Times New Roman" w:eastAsia="仿宋" w:cs="Times New Roman"/>
                <w:color w:val="FF0000"/>
                <w:sz w:val="24"/>
                <w:szCs w:val="24"/>
                <w:highlight w:val="none"/>
                <w:lang w:val="en-US" w:eastAsia="zh-CN"/>
              </w:rPr>
              <w:t>m</w:t>
            </w:r>
            <w:r>
              <w:rPr>
                <w:rFonts w:hint="default" w:ascii="Times New Roman" w:hAnsi="Times New Roman" w:eastAsia="仿宋" w:cs="Times New Roman"/>
                <w:color w:val="FF0000"/>
                <w:sz w:val="24"/>
                <w:szCs w:val="24"/>
                <w:highlight w:val="none"/>
                <w:vertAlign w:val="superscript"/>
                <w:lang w:val="en-US" w:eastAsia="zh-CN"/>
              </w:rPr>
              <w:t>3</w:t>
            </w:r>
            <w:r>
              <w:rPr>
                <w:rFonts w:hint="default" w:ascii="Times New Roman" w:hAnsi="Times New Roman" w:eastAsia="仿宋" w:cs="Times New Roman"/>
                <w:color w:val="FF0000"/>
                <w:sz w:val="24"/>
                <w:szCs w:val="24"/>
                <w:highlight w:val="none"/>
                <w:lang w:val="en-US" w:eastAsia="zh-CN"/>
              </w:rPr>
              <w:t>/d。</w:t>
            </w:r>
          </w:p>
          <w:p w14:paraId="55942A77">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lang w:val="en-US" w:eastAsia="zh-CN"/>
              </w:rPr>
            </w:pPr>
            <w:r>
              <w:rPr>
                <w:rFonts w:hint="default" w:ascii="Times New Roman" w:hAnsi="Times New Roman" w:eastAsia="仿宋" w:cs="Times New Roman"/>
                <w:color w:val="FF0000"/>
                <w:sz w:val="24"/>
                <w:szCs w:val="24"/>
                <w:highlight w:val="none"/>
              </w:rPr>
              <w:t>②</w:t>
            </w:r>
            <w:r>
              <w:rPr>
                <w:rFonts w:hint="eastAsia" w:eastAsia="仿宋" w:cs="Times New Roman"/>
                <w:color w:val="FF0000"/>
                <w:sz w:val="24"/>
                <w:szCs w:val="24"/>
                <w:highlight w:val="none"/>
                <w:lang w:val="en-US" w:eastAsia="zh-CN"/>
              </w:rPr>
              <w:t>矿区开采及装卸抑尘用水</w:t>
            </w:r>
          </w:p>
          <w:p w14:paraId="6D370224">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lang w:val="en-US" w:eastAsia="zh-CN"/>
              </w:rPr>
            </w:pPr>
            <w:r>
              <w:rPr>
                <w:rFonts w:hint="default" w:ascii="Times New Roman" w:hAnsi="Times New Roman" w:eastAsia="仿宋" w:cs="Times New Roman"/>
                <w:color w:val="FF0000"/>
                <w:sz w:val="24"/>
                <w:szCs w:val="24"/>
                <w:highlight w:val="none"/>
                <w:lang w:val="en-US" w:eastAsia="zh-CN"/>
              </w:rPr>
              <w:t>本项目</w:t>
            </w:r>
            <w:r>
              <w:rPr>
                <w:rFonts w:hint="eastAsia" w:eastAsia="仿宋" w:cs="Times New Roman"/>
                <w:color w:val="FF0000"/>
                <w:sz w:val="24"/>
                <w:szCs w:val="24"/>
                <w:highlight w:val="none"/>
                <w:lang w:val="en-US" w:eastAsia="zh-CN"/>
              </w:rPr>
              <w:t>矿区开采及装卸抑尘用水</w:t>
            </w:r>
            <w:r>
              <w:rPr>
                <w:rFonts w:hint="default" w:ascii="Times New Roman" w:hAnsi="Times New Roman" w:eastAsia="仿宋" w:cs="Times New Roman"/>
                <w:color w:val="FF0000"/>
                <w:sz w:val="24"/>
                <w:szCs w:val="24"/>
                <w:highlight w:val="none"/>
                <w:lang w:val="en-US" w:eastAsia="zh-CN"/>
              </w:rPr>
              <w:t>量约为</w:t>
            </w:r>
            <w:r>
              <w:rPr>
                <w:rFonts w:hint="eastAsia" w:eastAsia="仿宋" w:cs="Times New Roman"/>
                <w:color w:val="FF0000"/>
                <w:sz w:val="24"/>
                <w:szCs w:val="24"/>
                <w:highlight w:val="none"/>
                <w:lang w:val="en-US" w:eastAsia="zh-CN"/>
              </w:rPr>
              <w:t>10</w:t>
            </w:r>
            <w:r>
              <w:rPr>
                <w:rFonts w:hint="default" w:ascii="Times New Roman" w:hAnsi="Times New Roman" w:eastAsia="仿宋" w:cs="Times New Roman"/>
                <w:color w:val="FF0000"/>
                <w:sz w:val="24"/>
                <w:szCs w:val="24"/>
                <w:highlight w:val="none"/>
                <w:lang w:val="en-US" w:eastAsia="zh-CN"/>
              </w:rPr>
              <w:t>m</w:t>
            </w:r>
            <w:r>
              <w:rPr>
                <w:rFonts w:hint="default" w:ascii="Times New Roman" w:hAnsi="Times New Roman" w:eastAsia="仿宋" w:cs="Times New Roman"/>
                <w:color w:val="FF0000"/>
                <w:sz w:val="24"/>
                <w:szCs w:val="24"/>
                <w:highlight w:val="none"/>
                <w:vertAlign w:val="superscript"/>
                <w:lang w:val="en-US" w:eastAsia="zh-CN"/>
              </w:rPr>
              <w:t>3</w:t>
            </w:r>
            <w:r>
              <w:rPr>
                <w:rFonts w:hint="default" w:ascii="Times New Roman" w:hAnsi="Times New Roman" w:eastAsia="仿宋" w:cs="Times New Roman"/>
                <w:color w:val="FF0000"/>
                <w:sz w:val="24"/>
                <w:szCs w:val="24"/>
                <w:highlight w:val="none"/>
                <w:lang w:val="en-US" w:eastAsia="zh-CN"/>
              </w:rPr>
              <w:t>/d。</w:t>
            </w:r>
          </w:p>
          <w:p w14:paraId="21A4A9B2">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lang w:val="en-US" w:eastAsia="zh-CN"/>
              </w:rPr>
            </w:pPr>
            <w:r>
              <w:rPr>
                <w:rFonts w:hint="default" w:ascii="Times New Roman" w:hAnsi="Times New Roman" w:eastAsia="仿宋" w:cs="Times New Roman"/>
                <w:b w:val="0"/>
                <w:bCs/>
                <w:color w:val="FF0000"/>
                <w:sz w:val="24"/>
                <w:szCs w:val="24"/>
                <w:lang w:val="en-US" w:eastAsia="zh-CN"/>
              </w:rPr>
              <w:t>③</w:t>
            </w:r>
            <w:r>
              <w:rPr>
                <w:rFonts w:hint="eastAsia" w:ascii="Times New Roman" w:hAnsi="Times New Roman" w:eastAsia="仿宋" w:cs="Times New Roman"/>
                <w:b w:val="0"/>
                <w:bCs/>
                <w:color w:val="FF0000"/>
                <w:sz w:val="24"/>
                <w:szCs w:val="24"/>
                <w:lang w:val="en-US" w:eastAsia="zh-CN"/>
              </w:rPr>
              <w:t>矿区</w:t>
            </w:r>
            <w:r>
              <w:rPr>
                <w:rFonts w:hint="default" w:ascii="Times New Roman" w:hAnsi="Times New Roman" w:eastAsia="仿宋" w:cs="Times New Roman"/>
                <w:b w:val="0"/>
                <w:color w:val="FF0000"/>
                <w:kern w:val="2"/>
                <w:sz w:val="24"/>
                <w:szCs w:val="24"/>
                <w:highlight w:val="none"/>
                <w:lang w:val="en-US" w:eastAsia="zh-CN" w:bidi="ar-SA"/>
              </w:rPr>
              <w:t>挖掘机液压捣锤</w:t>
            </w:r>
            <w:r>
              <w:rPr>
                <w:rFonts w:hint="eastAsia" w:eastAsia="仿宋" w:cs="Times New Roman"/>
                <w:b w:val="0"/>
                <w:color w:val="FF0000"/>
                <w:kern w:val="2"/>
                <w:sz w:val="24"/>
                <w:szCs w:val="24"/>
                <w:highlight w:val="none"/>
                <w:lang w:val="en-US" w:eastAsia="zh-CN" w:bidi="ar-SA"/>
              </w:rPr>
              <w:t>二次</w:t>
            </w:r>
            <w:r>
              <w:rPr>
                <w:rFonts w:hint="default" w:ascii="Times New Roman" w:hAnsi="Times New Roman" w:eastAsia="仿宋" w:cs="Times New Roman"/>
                <w:b w:val="0"/>
                <w:color w:val="FF0000"/>
                <w:kern w:val="2"/>
                <w:sz w:val="24"/>
                <w:szCs w:val="24"/>
                <w:highlight w:val="none"/>
                <w:lang w:val="en-US" w:eastAsia="zh-CN" w:bidi="ar-SA"/>
              </w:rPr>
              <w:t>破碎</w:t>
            </w:r>
            <w:r>
              <w:rPr>
                <w:rFonts w:hint="eastAsia" w:ascii="Times New Roman" w:hAnsi="Times New Roman" w:eastAsia="仿宋" w:cs="Times New Roman"/>
                <w:b w:val="0"/>
                <w:color w:val="FF0000"/>
                <w:kern w:val="2"/>
                <w:sz w:val="24"/>
                <w:szCs w:val="24"/>
                <w:highlight w:val="none"/>
                <w:lang w:val="en-US" w:eastAsia="zh-CN" w:bidi="ar-SA"/>
              </w:rPr>
              <w:t>抑尘用水</w:t>
            </w:r>
          </w:p>
          <w:p w14:paraId="0ED7218D">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lang w:val="en-US" w:eastAsia="zh-CN"/>
              </w:rPr>
            </w:pPr>
            <w:r>
              <w:rPr>
                <w:rFonts w:hint="default" w:ascii="Times New Roman" w:hAnsi="Times New Roman" w:eastAsia="仿宋" w:cs="Times New Roman"/>
                <w:color w:val="FF0000"/>
                <w:sz w:val="24"/>
                <w:szCs w:val="24"/>
                <w:highlight w:val="none"/>
                <w:lang w:val="en-US" w:eastAsia="zh-CN"/>
              </w:rPr>
              <w:t>本项目</w:t>
            </w:r>
            <w:r>
              <w:rPr>
                <w:rFonts w:hint="eastAsia" w:ascii="Times New Roman" w:hAnsi="Times New Roman" w:eastAsia="仿宋" w:cs="Times New Roman"/>
                <w:b w:val="0"/>
                <w:bCs/>
                <w:color w:val="FF0000"/>
                <w:sz w:val="24"/>
                <w:szCs w:val="24"/>
                <w:lang w:val="en-US" w:eastAsia="zh-CN"/>
              </w:rPr>
              <w:t>矿区</w:t>
            </w:r>
            <w:r>
              <w:rPr>
                <w:rFonts w:hint="default" w:ascii="Times New Roman" w:hAnsi="Times New Roman" w:eastAsia="仿宋" w:cs="Times New Roman"/>
                <w:b w:val="0"/>
                <w:color w:val="FF0000"/>
                <w:kern w:val="2"/>
                <w:sz w:val="24"/>
                <w:szCs w:val="24"/>
                <w:highlight w:val="none"/>
                <w:lang w:val="en-US" w:eastAsia="zh-CN" w:bidi="ar-SA"/>
              </w:rPr>
              <w:t>挖掘机液压捣锤</w:t>
            </w:r>
            <w:r>
              <w:rPr>
                <w:rFonts w:hint="eastAsia" w:eastAsia="仿宋" w:cs="Times New Roman"/>
                <w:b w:val="0"/>
                <w:color w:val="FF0000"/>
                <w:kern w:val="2"/>
                <w:sz w:val="24"/>
                <w:szCs w:val="24"/>
                <w:highlight w:val="none"/>
                <w:lang w:val="en-US" w:eastAsia="zh-CN" w:bidi="ar-SA"/>
              </w:rPr>
              <w:t>二次</w:t>
            </w:r>
            <w:r>
              <w:rPr>
                <w:rFonts w:hint="default" w:ascii="Times New Roman" w:hAnsi="Times New Roman" w:eastAsia="仿宋" w:cs="Times New Roman"/>
                <w:b w:val="0"/>
                <w:color w:val="FF0000"/>
                <w:kern w:val="2"/>
                <w:sz w:val="24"/>
                <w:szCs w:val="24"/>
                <w:highlight w:val="none"/>
                <w:lang w:val="en-US" w:eastAsia="zh-CN" w:bidi="ar-SA"/>
              </w:rPr>
              <w:t>破碎</w:t>
            </w:r>
            <w:r>
              <w:rPr>
                <w:rFonts w:hint="eastAsia" w:ascii="Times New Roman" w:hAnsi="Times New Roman" w:eastAsia="仿宋" w:cs="Times New Roman"/>
                <w:b w:val="0"/>
                <w:color w:val="FF0000"/>
                <w:kern w:val="2"/>
                <w:sz w:val="24"/>
                <w:szCs w:val="24"/>
                <w:highlight w:val="none"/>
                <w:lang w:val="en-US" w:eastAsia="zh-CN" w:bidi="ar-SA"/>
              </w:rPr>
              <w:t>抑尘用水</w:t>
            </w:r>
            <w:r>
              <w:rPr>
                <w:rFonts w:hint="default" w:ascii="Times New Roman" w:hAnsi="Times New Roman" w:eastAsia="仿宋" w:cs="Times New Roman"/>
                <w:color w:val="FF0000"/>
                <w:sz w:val="24"/>
                <w:szCs w:val="24"/>
                <w:highlight w:val="none"/>
                <w:lang w:val="en-US" w:eastAsia="zh-CN"/>
              </w:rPr>
              <w:t>量约为</w:t>
            </w:r>
            <w:r>
              <w:rPr>
                <w:rFonts w:hint="eastAsia" w:eastAsia="仿宋" w:cs="Times New Roman"/>
                <w:color w:val="FF0000"/>
                <w:sz w:val="24"/>
                <w:szCs w:val="24"/>
                <w:highlight w:val="none"/>
                <w:lang w:val="en-US" w:eastAsia="zh-CN"/>
              </w:rPr>
              <w:t>8</w:t>
            </w:r>
            <w:r>
              <w:rPr>
                <w:rFonts w:hint="default" w:ascii="Times New Roman" w:hAnsi="Times New Roman" w:eastAsia="仿宋" w:cs="Times New Roman"/>
                <w:color w:val="FF0000"/>
                <w:sz w:val="24"/>
                <w:szCs w:val="24"/>
                <w:highlight w:val="none"/>
                <w:lang w:val="en-US" w:eastAsia="zh-CN"/>
              </w:rPr>
              <w:t>m</w:t>
            </w:r>
            <w:r>
              <w:rPr>
                <w:rFonts w:hint="default" w:ascii="Times New Roman" w:hAnsi="Times New Roman" w:eastAsia="仿宋" w:cs="Times New Roman"/>
                <w:color w:val="FF0000"/>
                <w:sz w:val="24"/>
                <w:szCs w:val="24"/>
                <w:highlight w:val="none"/>
                <w:vertAlign w:val="superscript"/>
                <w:lang w:val="en-US" w:eastAsia="zh-CN"/>
              </w:rPr>
              <w:t>3</w:t>
            </w:r>
            <w:r>
              <w:rPr>
                <w:rFonts w:hint="default" w:ascii="Times New Roman" w:hAnsi="Times New Roman" w:eastAsia="仿宋" w:cs="Times New Roman"/>
                <w:color w:val="FF0000"/>
                <w:sz w:val="24"/>
                <w:szCs w:val="24"/>
                <w:highlight w:val="none"/>
                <w:lang w:val="en-US" w:eastAsia="zh-CN"/>
              </w:rPr>
              <w:t>/d。</w:t>
            </w:r>
          </w:p>
          <w:p w14:paraId="54F43E4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仿宋" w:cs="Times New Roman"/>
                <w:b w:val="0"/>
                <w:bCs/>
                <w:color w:val="FF0000"/>
                <w:sz w:val="24"/>
                <w:szCs w:val="24"/>
                <w:lang w:val="en-US" w:eastAsia="zh-CN"/>
              </w:rPr>
            </w:pPr>
            <w:r>
              <w:rPr>
                <w:rFonts w:hint="default" w:ascii="Times New Roman" w:hAnsi="Times New Roman" w:eastAsia="仿宋" w:cs="Times New Roman"/>
                <w:color w:val="FF0000"/>
                <w:sz w:val="24"/>
                <w:szCs w:val="24"/>
                <w:highlight w:val="none"/>
              </w:rPr>
              <w:t>④</w:t>
            </w:r>
            <w:r>
              <w:rPr>
                <w:rFonts w:hint="default" w:ascii="Times New Roman" w:hAnsi="Times New Roman" w:eastAsia="仿宋" w:cs="Times New Roman"/>
                <w:b w:val="0"/>
                <w:bCs/>
                <w:color w:val="FF0000"/>
                <w:sz w:val="24"/>
                <w:szCs w:val="24"/>
                <w:lang w:val="en-US" w:eastAsia="zh-CN"/>
              </w:rPr>
              <w:t>堆场抑尘用水</w:t>
            </w:r>
          </w:p>
          <w:p w14:paraId="0A65600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lang w:val="en-US" w:eastAsia="zh-CN"/>
              </w:rPr>
            </w:pPr>
            <w:r>
              <w:rPr>
                <w:rFonts w:hint="default" w:ascii="Times New Roman" w:hAnsi="Times New Roman" w:eastAsia="仿宋" w:cs="Times New Roman"/>
                <w:color w:val="FF0000"/>
                <w:sz w:val="24"/>
                <w:szCs w:val="24"/>
                <w:highlight w:val="none"/>
                <w:lang w:val="en-US" w:eastAsia="zh-CN"/>
              </w:rPr>
              <w:t>本项目设置有</w:t>
            </w:r>
            <w:r>
              <w:rPr>
                <w:rFonts w:hint="eastAsia" w:eastAsia="仿宋" w:cs="Times New Roman"/>
                <w:color w:val="FF0000"/>
                <w:sz w:val="24"/>
                <w:szCs w:val="24"/>
                <w:highlight w:val="none"/>
                <w:lang w:val="en-US" w:eastAsia="zh-CN"/>
              </w:rPr>
              <w:t>成品</w:t>
            </w:r>
            <w:r>
              <w:rPr>
                <w:rFonts w:hint="default" w:ascii="Times New Roman" w:hAnsi="Times New Roman" w:eastAsia="仿宋" w:cs="Times New Roman"/>
                <w:color w:val="FF0000"/>
                <w:sz w:val="24"/>
                <w:szCs w:val="24"/>
                <w:highlight w:val="none"/>
                <w:lang w:val="en-US" w:eastAsia="zh-CN"/>
              </w:rPr>
              <w:t>堆场和排土场，堆场抑尘用水量约为</w:t>
            </w:r>
            <w:r>
              <w:rPr>
                <w:rFonts w:hint="eastAsia" w:eastAsia="仿宋" w:cs="Times New Roman"/>
                <w:color w:val="FF0000"/>
                <w:sz w:val="24"/>
                <w:szCs w:val="24"/>
                <w:highlight w:val="none"/>
                <w:lang w:val="en-US" w:eastAsia="zh-CN"/>
              </w:rPr>
              <w:t>20</w:t>
            </w:r>
            <w:r>
              <w:rPr>
                <w:rFonts w:hint="default" w:ascii="Times New Roman" w:hAnsi="Times New Roman" w:eastAsia="仿宋" w:cs="Times New Roman"/>
                <w:color w:val="FF0000"/>
                <w:sz w:val="24"/>
                <w:szCs w:val="24"/>
                <w:highlight w:val="none"/>
                <w:lang w:val="en-US" w:eastAsia="zh-CN"/>
              </w:rPr>
              <w:t>m</w:t>
            </w:r>
            <w:r>
              <w:rPr>
                <w:rFonts w:hint="default" w:ascii="Times New Roman" w:hAnsi="Times New Roman" w:eastAsia="仿宋" w:cs="Times New Roman"/>
                <w:color w:val="FF0000"/>
                <w:sz w:val="24"/>
                <w:szCs w:val="24"/>
                <w:highlight w:val="none"/>
                <w:vertAlign w:val="superscript"/>
                <w:lang w:val="en-US" w:eastAsia="zh-CN"/>
              </w:rPr>
              <w:t>3</w:t>
            </w:r>
            <w:r>
              <w:rPr>
                <w:rFonts w:hint="default" w:ascii="Times New Roman" w:hAnsi="Times New Roman" w:eastAsia="仿宋" w:cs="Times New Roman"/>
                <w:color w:val="FF0000"/>
                <w:sz w:val="24"/>
                <w:szCs w:val="24"/>
                <w:highlight w:val="none"/>
                <w:lang w:val="en-US" w:eastAsia="zh-CN"/>
              </w:rPr>
              <w:t>/d。</w:t>
            </w:r>
          </w:p>
          <w:p w14:paraId="0B4DEF17">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lang w:val="en-US" w:eastAsia="zh-CN"/>
              </w:rPr>
            </w:pPr>
            <w:r>
              <w:rPr>
                <w:rFonts w:hint="default" w:ascii="Times New Roman" w:hAnsi="Times New Roman" w:eastAsia="仿宋" w:cs="Times New Roman"/>
                <w:color w:val="FF0000"/>
                <w:sz w:val="24"/>
                <w:szCs w:val="24"/>
                <w:highlight w:val="none"/>
                <w:lang w:val="en-US" w:eastAsia="zh-CN"/>
              </w:rPr>
              <w:t>⑤道路抑尘用水</w:t>
            </w:r>
          </w:p>
          <w:p w14:paraId="1C1C46D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仿宋" w:cs="Times New Roman"/>
                <w:b w:val="0"/>
                <w:bCs/>
                <w:color w:val="FF0000"/>
                <w:sz w:val="24"/>
                <w:szCs w:val="24"/>
                <w:lang w:val="en-US" w:eastAsia="zh-CN"/>
              </w:rPr>
            </w:pPr>
            <w:r>
              <w:rPr>
                <w:rFonts w:hint="default" w:ascii="Times New Roman" w:hAnsi="Times New Roman" w:eastAsia="仿宋" w:cs="Times New Roman"/>
                <w:b w:val="0"/>
                <w:bCs/>
                <w:color w:val="FF0000"/>
                <w:sz w:val="24"/>
                <w:szCs w:val="24"/>
                <w:lang w:val="en-US" w:eastAsia="zh-CN"/>
              </w:rPr>
              <w:t>本项目运输道路洒水降尘用水量约为</w:t>
            </w:r>
            <w:r>
              <w:rPr>
                <w:rFonts w:hint="eastAsia" w:eastAsia="仿宋" w:cs="Times New Roman"/>
                <w:b w:val="0"/>
                <w:bCs/>
                <w:color w:val="FF0000"/>
                <w:sz w:val="24"/>
                <w:szCs w:val="24"/>
                <w:lang w:val="en-US" w:eastAsia="zh-CN"/>
              </w:rPr>
              <w:t>10</w:t>
            </w:r>
            <w:r>
              <w:rPr>
                <w:rFonts w:hint="default" w:ascii="Times New Roman" w:hAnsi="Times New Roman" w:eastAsia="仿宋" w:cs="Times New Roman"/>
                <w:b w:val="0"/>
                <w:bCs/>
                <w:color w:val="FF0000"/>
                <w:sz w:val="24"/>
                <w:szCs w:val="24"/>
                <w:lang w:val="en-US" w:eastAsia="zh-CN"/>
              </w:rPr>
              <w:t>m</w:t>
            </w:r>
            <w:r>
              <w:rPr>
                <w:rFonts w:hint="default" w:ascii="Times New Roman" w:hAnsi="Times New Roman" w:eastAsia="仿宋" w:cs="Times New Roman"/>
                <w:b w:val="0"/>
                <w:bCs/>
                <w:color w:val="FF0000"/>
                <w:sz w:val="24"/>
                <w:szCs w:val="24"/>
                <w:vertAlign w:val="superscript"/>
                <w:lang w:val="en-US" w:eastAsia="zh-CN"/>
              </w:rPr>
              <w:t>3</w:t>
            </w:r>
            <w:r>
              <w:rPr>
                <w:rFonts w:hint="default" w:ascii="Times New Roman" w:hAnsi="Times New Roman" w:eastAsia="仿宋" w:cs="Times New Roman"/>
                <w:b w:val="0"/>
                <w:bCs/>
                <w:color w:val="FF0000"/>
                <w:sz w:val="24"/>
                <w:szCs w:val="24"/>
                <w:lang w:val="en-US" w:eastAsia="zh-CN"/>
              </w:rPr>
              <w:t>/d。</w:t>
            </w:r>
          </w:p>
          <w:p w14:paraId="1030A1F7">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lang w:val="en-US" w:eastAsia="zh-CN"/>
              </w:rPr>
            </w:pPr>
            <w:r>
              <w:rPr>
                <w:rFonts w:hint="eastAsia" w:eastAsia="仿宋" w:cs="Times New Roman"/>
                <w:color w:val="FF0000"/>
                <w:sz w:val="24"/>
                <w:szCs w:val="24"/>
                <w:highlight w:val="none"/>
                <w:lang w:val="en-US" w:eastAsia="zh-CN"/>
              </w:rPr>
              <w:t>综上所述，本项目抑尘用水量为55m</w:t>
            </w:r>
            <w:r>
              <w:rPr>
                <w:rFonts w:hint="eastAsia" w:eastAsia="仿宋" w:cs="Times New Roman"/>
                <w:color w:val="FF0000"/>
                <w:sz w:val="24"/>
                <w:szCs w:val="24"/>
                <w:highlight w:val="none"/>
                <w:vertAlign w:val="superscript"/>
                <w:lang w:val="en-US" w:eastAsia="zh-CN"/>
              </w:rPr>
              <w:t>3</w:t>
            </w:r>
            <w:r>
              <w:rPr>
                <w:rFonts w:hint="eastAsia" w:eastAsia="仿宋" w:cs="Times New Roman"/>
                <w:color w:val="FF0000"/>
                <w:sz w:val="24"/>
                <w:szCs w:val="24"/>
                <w:highlight w:val="none"/>
                <w:lang w:val="en-US" w:eastAsia="zh-CN"/>
              </w:rPr>
              <w:t>/d（13750m</w:t>
            </w:r>
            <w:r>
              <w:rPr>
                <w:rFonts w:hint="eastAsia" w:eastAsia="仿宋" w:cs="Times New Roman"/>
                <w:color w:val="FF0000"/>
                <w:sz w:val="24"/>
                <w:szCs w:val="24"/>
                <w:highlight w:val="none"/>
                <w:vertAlign w:val="superscript"/>
                <w:lang w:val="en-US" w:eastAsia="zh-CN"/>
              </w:rPr>
              <w:t>3</w:t>
            </w:r>
            <w:r>
              <w:rPr>
                <w:rFonts w:hint="eastAsia" w:eastAsia="仿宋" w:cs="Times New Roman"/>
                <w:color w:val="FF0000"/>
                <w:sz w:val="24"/>
                <w:szCs w:val="24"/>
                <w:highlight w:val="none"/>
                <w:lang w:val="en-US" w:eastAsia="zh-CN"/>
              </w:rPr>
              <w:t>/a），正常降水时</w:t>
            </w:r>
            <w:r>
              <w:rPr>
                <w:rFonts w:hint="eastAsia" w:ascii="Times New Roman" w:hAnsi="Times New Roman" w:eastAsia="仿宋" w:cs="Times New Roman"/>
                <w:color w:val="FF0000"/>
                <w:sz w:val="24"/>
                <w:szCs w:val="24"/>
                <w:highlight w:val="none"/>
                <w:lang w:val="en-US" w:eastAsia="zh-CN"/>
              </w:rPr>
              <w:t>矿坑涌水量为</w:t>
            </w:r>
            <w:r>
              <w:rPr>
                <w:rFonts w:hint="eastAsia" w:eastAsia="仿宋" w:cs="Times New Roman"/>
                <w:color w:val="FF0000"/>
                <w:sz w:val="24"/>
                <w:szCs w:val="24"/>
                <w:highlight w:val="none"/>
                <w:lang w:val="en-US" w:eastAsia="zh-CN"/>
              </w:rPr>
              <w:t>5820</w:t>
            </w:r>
            <w:r>
              <w:rPr>
                <w:rFonts w:hint="eastAsia" w:ascii="Times New Roman" w:hAnsi="Times New Roman" w:eastAsia="仿宋" w:cs="Times New Roman"/>
                <w:color w:val="FF0000"/>
                <w:sz w:val="24"/>
                <w:szCs w:val="24"/>
                <w:highlight w:val="none"/>
                <w:lang w:val="en-US" w:eastAsia="zh-CN"/>
              </w:rPr>
              <w:t>m</w:t>
            </w:r>
            <w:r>
              <w:rPr>
                <w:rFonts w:hint="eastAsia" w:ascii="Times New Roman" w:hAnsi="Times New Roman" w:eastAsia="仿宋" w:cs="Times New Roman"/>
                <w:color w:val="FF0000"/>
                <w:sz w:val="24"/>
                <w:szCs w:val="24"/>
                <w:highlight w:val="none"/>
                <w:vertAlign w:val="superscript"/>
                <w:lang w:val="en-US" w:eastAsia="zh-CN"/>
              </w:rPr>
              <w:t>3</w:t>
            </w:r>
            <w:r>
              <w:rPr>
                <w:rFonts w:hint="eastAsia" w:ascii="Times New Roman" w:hAnsi="Times New Roman" w:eastAsia="仿宋" w:cs="Times New Roman"/>
                <w:color w:val="FF0000"/>
                <w:sz w:val="24"/>
                <w:szCs w:val="24"/>
                <w:highlight w:val="none"/>
                <w:lang w:val="en-US" w:eastAsia="zh-CN"/>
              </w:rPr>
              <w:t>/</w:t>
            </w:r>
            <w:r>
              <w:rPr>
                <w:rFonts w:hint="eastAsia" w:eastAsia="仿宋" w:cs="Times New Roman"/>
                <w:color w:val="FF0000"/>
                <w:sz w:val="24"/>
                <w:szCs w:val="24"/>
                <w:highlight w:val="none"/>
                <w:lang w:val="en-US" w:eastAsia="zh-CN"/>
              </w:rPr>
              <w:t>a，拉运新鲜水量为7930m</w:t>
            </w:r>
            <w:r>
              <w:rPr>
                <w:rFonts w:hint="eastAsia" w:eastAsia="仿宋" w:cs="Times New Roman"/>
                <w:color w:val="FF0000"/>
                <w:sz w:val="24"/>
                <w:szCs w:val="24"/>
                <w:highlight w:val="none"/>
                <w:vertAlign w:val="superscript"/>
                <w:lang w:val="en-US" w:eastAsia="zh-CN"/>
              </w:rPr>
              <w:t>3</w:t>
            </w:r>
            <w:r>
              <w:rPr>
                <w:rFonts w:hint="eastAsia" w:eastAsia="仿宋" w:cs="Times New Roman"/>
                <w:color w:val="FF0000"/>
                <w:sz w:val="24"/>
                <w:szCs w:val="24"/>
                <w:highlight w:val="none"/>
                <w:lang w:val="en-US" w:eastAsia="zh-CN"/>
              </w:rPr>
              <w:t>/a。</w:t>
            </w:r>
          </w:p>
          <w:p w14:paraId="7EC0F1FC">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rPr>
            </w:pPr>
            <w:r>
              <w:rPr>
                <w:rFonts w:hint="default" w:ascii="Times New Roman" w:hAnsi="Times New Roman" w:eastAsia="仿宋" w:cs="Times New Roman"/>
                <w:color w:val="FF0000"/>
                <w:sz w:val="24"/>
                <w:szCs w:val="24"/>
                <w:highlight w:val="none"/>
                <w:lang w:val="en-US" w:eastAsia="zh-CN"/>
              </w:rPr>
              <w:t>⑥</w:t>
            </w:r>
            <w:r>
              <w:rPr>
                <w:rFonts w:hint="default" w:ascii="Times New Roman" w:hAnsi="Times New Roman" w:eastAsia="仿宋" w:cs="Times New Roman"/>
                <w:color w:val="FF0000"/>
                <w:sz w:val="24"/>
                <w:szCs w:val="24"/>
                <w:highlight w:val="none"/>
              </w:rPr>
              <w:t>生活用水</w:t>
            </w:r>
          </w:p>
          <w:p w14:paraId="559BFD5F">
            <w:pPr>
              <w:adjustRightInd w:val="0"/>
              <w:snapToGrid w:val="0"/>
              <w:spacing w:line="360" w:lineRule="auto"/>
              <w:ind w:firstLine="480" w:firstLineChars="200"/>
              <w:rPr>
                <w:rFonts w:eastAsia="仿宋"/>
                <w:bCs/>
                <w:color w:val="FF0000"/>
                <w:sz w:val="24"/>
                <w:szCs w:val="24"/>
              </w:rPr>
            </w:pPr>
            <w:r>
              <w:rPr>
                <w:rFonts w:eastAsia="仿宋"/>
                <w:bCs/>
                <w:color w:val="FF0000"/>
                <w:sz w:val="24"/>
                <w:szCs w:val="24"/>
              </w:rPr>
              <w:t>本项目劳动定员</w:t>
            </w:r>
            <w:r>
              <w:rPr>
                <w:rFonts w:hint="eastAsia" w:eastAsia="仿宋"/>
                <w:bCs/>
                <w:color w:val="FF0000"/>
                <w:sz w:val="24"/>
                <w:szCs w:val="24"/>
                <w:lang w:val="en-US" w:eastAsia="zh-CN"/>
              </w:rPr>
              <w:t>20</w:t>
            </w:r>
            <w:r>
              <w:rPr>
                <w:rFonts w:eastAsia="仿宋"/>
                <w:bCs/>
                <w:color w:val="FF0000"/>
                <w:sz w:val="24"/>
                <w:szCs w:val="24"/>
              </w:rPr>
              <w:t>人，根据《甘肃省行业用水定额（2023版）》，</w:t>
            </w:r>
            <w:r>
              <w:rPr>
                <w:rFonts w:eastAsia="仿宋"/>
                <w:color w:val="FF0000"/>
                <w:sz w:val="24"/>
                <w:szCs w:val="24"/>
              </w:rPr>
              <w:t>职工生活用水量按</w:t>
            </w:r>
            <w:r>
              <w:rPr>
                <w:rFonts w:hint="eastAsia" w:eastAsia="仿宋"/>
                <w:color w:val="FF0000"/>
                <w:sz w:val="24"/>
                <w:szCs w:val="24"/>
                <w:lang w:val="en-US" w:eastAsia="zh-CN"/>
              </w:rPr>
              <w:t>60</w:t>
            </w:r>
            <w:r>
              <w:rPr>
                <w:rFonts w:eastAsia="仿宋"/>
                <w:color w:val="FF0000"/>
                <w:sz w:val="24"/>
                <w:szCs w:val="24"/>
              </w:rPr>
              <w:t>L/人</w:t>
            </w:r>
            <w:r>
              <w:rPr>
                <w:rFonts w:eastAsia="微软雅黑"/>
                <w:color w:val="FF0000"/>
                <w:sz w:val="24"/>
                <w:szCs w:val="24"/>
              </w:rPr>
              <w:t>•</w:t>
            </w:r>
            <w:r>
              <w:rPr>
                <w:rFonts w:eastAsia="仿宋"/>
                <w:color w:val="FF0000"/>
                <w:sz w:val="24"/>
                <w:szCs w:val="24"/>
              </w:rPr>
              <w:t>d计</w:t>
            </w:r>
            <w:r>
              <w:rPr>
                <w:rFonts w:eastAsia="仿宋"/>
                <w:bCs/>
                <w:color w:val="FF0000"/>
                <w:sz w:val="24"/>
                <w:szCs w:val="24"/>
              </w:rPr>
              <w:t>，则本项目生活用水量为</w:t>
            </w:r>
            <w:r>
              <w:rPr>
                <w:rFonts w:hint="eastAsia" w:eastAsia="仿宋"/>
                <w:bCs/>
                <w:color w:val="FF0000"/>
                <w:sz w:val="24"/>
                <w:szCs w:val="24"/>
                <w:lang w:val="en-US" w:eastAsia="zh-CN"/>
              </w:rPr>
              <w:t>1.2</w:t>
            </w:r>
            <w:r>
              <w:rPr>
                <w:rFonts w:eastAsia="仿宋"/>
                <w:bCs/>
                <w:color w:val="FF0000"/>
                <w:sz w:val="24"/>
                <w:szCs w:val="24"/>
              </w:rPr>
              <w:t>m</w:t>
            </w:r>
            <w:r>
              <w:rPr>
                <w:rFonts w:eastAsia="仿宋"/>
                <w:bCs/>
                <w:color w:val="FF0000"/>
                <w:sz w:val="24"/>
                <w:szCs w:val="24"/>
                <w:vertAlign w:val="superscript"/>
              </w:rPr>
              <w:t>3</w:t>
            </w:r>
            <w:r>
              <w:rPr>
                <w:rFonts w:eastAsia="仿宋"/>
                <w:bCs/>
                <w:color w:val="FF0000"/>
                <w:sz w:val="24"/>
                <w:szCs w:val="24"/>
              </w:rPr>
              <w:t>/d</w:t>
            </w:r>
            <w:r>
              <w:rPr>
                <w:rFonts w:hint="eastAsia" w:eastAsia="仿宋"/>
                <w:bCs/>
                <w:color w:val="FF0000"/>
                <w:sz w:val="24"/>
                <w:szCs w:val="24"/>
                <w:lang w:eastAsia="zh-CN"/>
              </w:rPr>
              <w:t>（</w:t>
            </w:r>
            <w:r>
              <w:rPr>
                <w:rFonts w:hint="eastAsia" w:eastAsia="仿宋"/>
                <w:bCs/>
                <w:color w:val="FF0000"/>
                <w:sz w:val="24"/>
                <w:szCs w:val="24"/>
                <w:lang w:val="en-US" w:eastAsia="zh-CN"/>
              </w:rPr>
              <w:t>300m</w:t>
            </w:r>
            <w:r>
              <w:rPr>
                <w:rFonts w:hint="eastAsia" w:eastAsia="仿宋"/>
                <w:bCs/>
                <w:color w:val="FF0000"/>
                <w:sz w:val="24"/>
                <w:szCs w:val="24"/>
                <w:vertAlign w:val="superscript"/>
                <w:lang w:val="en-US" w:eastAsia="zh-CN"/>
              </w:rPr>
              <w:t>3</w:t>
            </w:r>
            <w:r>
              <w:rPr>
                <w:rFonts w:hint="eastAsia" w:eastAsia="仿宋"/>
                <w:bCs/>
                <w:color w:val="FF0000"/>
                <w:sz w:val="24"/>
                <w:szCs w:val="24"/>
                <w:lang w:val="en-US" w:eastAsia="zh-CN"/>
              </w:rPr>
              <w:t>/a</w:t>
            </w:r>
            <w:r>
              <w:rPr>
                <w:rFonts w:hint="eastAsia" w:eastAsia="仿宋"/>
                <w:bCs/>
                <w:color w:val="FF0000"/>
                <w:sz w:val="24"/>
                <w:szCs w:val="24"/>
                <w:lang w:eastAsia="zh-CN"/>
              </w:rPr>
              <w:t>）</w:t>
            </w:r>
            <w:r>
              <w:rPr>
                <w:rFonts w:eastAsia="仿宋"/>
                <w:bCs/>
                <w:color w:val="FF0000"/>
                <w:sz w:val="24"/>
                <w:szCs w:val="24"/>
              </w:rPr>
              <w:t>。</w:t>
            </w:r>
          </w:p>
          <w:p w14:paraId="4132F31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FF0000"/>
                <w:sz w:val="24"/>
                <w:szCs w:val="24"/>
                <w:highlight w:val="none"/>
                <w:lang w:val="en-US" w:eastAsia="zh-CN"/>
              </w:rPr>
            </w:pPr>
            <w:r>
              <w:rPr>
                <w:rFonts w:hint="default" w:ascii="Times New Roman" w:hAnsi="Times New Roman" w:eastAsia="微软雅黑" w:cs="Times New Roman"/>
                <w:color w:val="FF0000"/>
                <w:sz w:val="24"/>
                <w:szCs w:val="24"/>
                <w:highlight w:val="none"/>
              </w:rPr>
              <w:t>⑶</w:t>
            </w:r>
            <w:r>
              <w:rPr>
                <w:rFonts w:hint="default" w:ascii="Times New Roman" w:hAnsi="Times New Roman" w:eastAsia="仿宋" w:cs="Times New Roman"/>
                <w:color w:val="FF0000"/>
                <w:sz w:val="24"/>
                <w:szCs w:val="24"/>
                <w:highlight w:val="none"/>
              </w:rPr>
              <w:t>排水</w:t>
            </w:r>
            <w:r>
              <w:rPr>
                <w:rFonts w:hint="eastAsia" w:ascii="Times New Roman" w:hAnsi="Times New Roman" w:eastAsia="仿宋" w:cs="Times New Roman"/>
                <w:color w:val="FF0000"/>
                <w:sz w:val="24"/>
                <w:szCs w:val="24"/>
                <w:highlight w:val="none"/>
                <w:lang w:val="en-US" w:eastAsia="zh-CN"/>
              </w:rPr>
              <w:t>工程</w:t>
            </w:r>
          </w:p>
          <w:p w14:paraId="28BFC27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lang w:val="en-US" w:eastAsia="zh-CN"/>
              </w:rPr>
            </w:pPr>
            <w:bookmarkStart w:id="33" w:name="_Hlk68704842"/>
            <w:r>
              <w:rPr>
                <w:rFonts w:hint="default" w:ascii="Times New Roman" w:hAnsi="Times New Roman" w:eastAsia="仿宋" w:cs="Times New Roman"/>
                <w:color w:val="FF0000"/>
                <w:sz w:val="24"/>
                <w:szCs w:val="24"/>
                <w:highlight w:val="none"/>
              </w:rPr>
              <w:t>①</w:t>
            </w:r>
            <w:r>
              <w:rPr>
                <w:rFonts w:hint="default" w:ascii="Times New Roman" w:hAnsi="Times New Roman" w:eastAsia="仿宋" w:cs="Times New Roman"/>
                <w:color w:val="FF0000"/>
                <w:sz w:val="24"/>
                <w:szCs w:val="24"/>
                <w:highlight w:val="none"/>
                <w:lang w:val="en-US" w:eastAsia="zh-CN"/>
              </w:rPr>
              <w:t>抑尘用水</w:t>
            </w:r>
          </w:p>
          <w:p w14:paraId="0A79473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sz w:val="24"/>
                <w:szCs w:val="24"/>
                <w:highlight w:val="none"/>
                <w:lang w:val="en-US" w:eastAsia="zh-CN"/>
              </w:rPr>
            </w:pPr>
            <w:r>
              <w:rPr>
                <w:rFonts w:hint="eastAsia" w:ascii="Times New Roman" w:hAnsi="Times New Roman" w:eastAsia="仿宋" w:cs="Times New Roman"/>
                <w:color w:val="FF0000"/>
                <w:sz w:val="24"/>
                <w:szCs w:val="24"/>
                <w:lang w:val="en-US" w:eastAsia="zh-CN"/>
              </w:rPr>
              <w:t>抑尘用水全部蒸发损耗，不产生废水。</w:t>
            </w:r>
          </w:p>
          <w:p w14:paraId="095FB1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FF0000"/>
                <w:sz w:val="24"/>
                <w:szCs w:val="24"/>
                <w:highlight w:val="none"/>
                <w:lang w:val="en-US" w:eastAsia="zh-CN"/>
              </w:rPr>
            </w:pPr>
            <w:r>
              <w:rPr>
                <w:rFonts w:hint="default" w:ascii="Times New Roman" w:hAnsi="Times New Roman" w:eastAsia="仿宋" w:cs="Times New Roman"/>
                <w:color w:val="FF0000"/>
                <w:sz w:val="24"/>
                <w:szCs w:val="24"/>
                <w:highlight w:val="none"/>
              </w:rPr>
              <w:t>②</w:t>
            </w:r>
            <w:r>
              <w:rPr>
                <w:rFonts w:hint="eastAsia" w:ascii="Times New Roman" w:hAnsi="Times New Roman" w:eastAsia="仿宋" w:cs="Times New Roman"/>
                <w:color w:val="FF0000"/>
                <w:sz w:val="24"/>
                <w:szCs w:val="24"/>
                <w:highlight w:val="none"/>
                <w:lang w:val="en-US" w:eastAsia="zh-CN"/>
              </w:rPr>
              <w:t>生活污水</w:t>
            </w:r>
          </w:p>
          <w:p w14:paraId="6DAB1AA0">
            <w:pPr>
              <w:pStyle w:val="32"/>
              <w:spacing w:beforeLines="0" w:afterLines="0" w:line="360" w:lineRule="auto"/>
              <w:ind w:firstLine="480" w:firstLineChars="200"/>
              <w:jc w:val="both"/>
              <w:rPr>
                <w:rFonts w:ascii="Times New Roman" w:eastAsia="仿宋"/>
                <w:color w:val="FF0000"/>
                <w:sz w:val="24"/>
                <w:szCs w:val="24"/>
              </w:rPr>
            </w:pPr>
            <w:r>
              <w:rPr>
                <w:rFonts w:ascii="Times New Roman" w:eastAsia="仿宋"/>
                <w:bCs/>
                <w:color w:val="FF0000"/>
                <w:sz w:val="24"/>
                <w:szCs w:val="24"/>
              </w:rPr>
              <w:t>生活污水产生量按用水量的80%计，本项目生活污水产生量为</w:t>
            </w:r>
            <w:r>
              <w:rPr>
                <w:rFonts w:hint="eastAsia" w:ascii="Times New Roman" w:eastAsia="仿宋"/>
                <w:bCs/>
                <w:color w:val="FF0000"/>
                <w:sz w:val="24"/>
                <w:szCs w:val="24"/>
                <w:lang w:val="en-US" w:eastAsia="zh-CN"/>
              </w:rPr>
              <w:t>0.96</w:t>
            </w:r>
            <w:r>
              <w:rPr>
                <w:rFonts w:ascii="Times New Roman" w:eastAsia="仿宋"/>
                <w:bCs/>
                <w:color w:val="FF0000"/>
                <w:sz w:val="24"/>
                <w:szCs w:val="24"/>
              </w:rPr>
              <w:t>m</w:t>
            </w:r>
            <w:r>
              <w:rPr>
                <w:rFonts w:ascii="Times New Roman" w:eastAsia="仿宋"/>
                <w:bCs/>
                <w:color w:val="FF0000"/>
                <w:sz w:val="24"/>
                <w:szCs w:val="24"/>
                <w:vertAlign w:val="superscript"/>
              </w:rPr>
              <w:t>3</w:t>
            </w:r>
            <w:r>
              <w:rPr>
                <w:rFonts w:ascii="Times New Roman" w:eastAsia="仿宋"/>
                <w:bCs/>
                <w:color w:val="FF0000"/>
                <w:sz w:val="24"/>
                <w:szCs w:val="24"/>
              </w:rPr>
              <w:t>/d</w:t>
            </w:r>
            <w:r>
              <w:rPr>
                <w:rFonts w:hint="eastAsia" w:ascii="Times New Roman" w:eastAsia="仿宋"/>
                <w:bCs/>
                <w:color w:val="FF0000"/>
                <w:sz w:val="24"/>
                <w:szCs w:val="24"/>
                <w:lang w:eastAsia="zh-CN"/>
              </w:rPr>
              <w:t>（</w:t>
            </w:r>
            <w:r>
              <w:rPr>
                <w:rFonts w:hint="eastAsia" w:ascii="Times New Roman" w:eastAsia="仿宋"/>
                <w:bCs/>
                <w:color w:val="FF0000"/>
                <w:sz w:val="24"/>
                <w:szCs w:val="24"/>
                <w:lang w:val="en-US" w:eastAsia="zh-CN"/>
              </w:rPr>
              <w:t>240m</w:t>
            </w:r>
            <w:r>
              <w:rPr>
                <w:rFonts w:hint="eastAsia" w:ascii="Times New Roman" w:eastAsia="仿宋"/>
                <w:bCs/>
                <w:color w:val="FF0000"/>
                <w:sz w:val="24"/>
                <w:szCs w:val="24"/>
                <w:vertAlign w:val="superscript"/>
                <w:lang w:val="en-US" w:eastAsia="zh-CN"/>
              </w:rPr>
              <w:t>3</w:t>
            </w:r>
            <w:r>
              <w:rPr>
                <w:rFonts w:hint="eastAsia" w:ascii="Times New Roman" w:eastAsia="仿宋"/>
                <w:bCs/>
                <w:color w:val="FF0000"/>
                <w:sz w:val="24"/>
                <w:szCs w:val="24"/>
                <w:lang w:val="en-US" w:eastAsia="zh-CN"/>
              </w:rPr>
              <w:t>/a</w:t>
            </w:r>
            <w:r>
              <w:rPr>
                <w:rFonts w:hint="eastAsia" w:ascii="Times New Roman" w:eastAsia="仿宋"/>
                <w:bCs/>
                <w:color w:val="FF0000"/>
                <w:sz w:val="24"/>
                <w:szCs w:val="24"/>
                <w:lang w:eastAsia="zh-CN"/>
              </w:rPr>
              <w:t>）</w:t>
            </w:r>
            <w:r>
              <w:rPr>
                <w:rFonts w:hint="eastAsia" w:ascii="Times New Roman" w:eastAsia="仿宋"/>
                <w:color w:val="FF0000"/>
                <w:sz w:val="24"/>
                <w:szCs w:val="24"/>
              </w:rPr>
              <w:t>，本项目洗漱废水用于厂区泼洒降尘，设置环保型厕所</w:t>
            </w:r>
            <w:r>
              <w:rPr>
                <w:rFonts w:hint="eastAsia" w:ascii="Times New Roman" w:eastAsia="仿宋"/>
                <w:color w:val="FF0000"/>
                <w:sz w:val="24"/>
                <w:szCs w:val="24"/>
                <w:lang w:eastAsia="zh-CN"/>
              </w:rPr>
              <w:t>，</w:t>
            </w:r>
            <w:r>
              <w:rPr>
                <w:rFonts w:hint="eastAsia" w:ascii="Times New Roman" w:eastAsia="仿宋"/>
                <w:color w:val="FF0000"/>
                <w:sz w:val="24"/>
                <w:szCs w:val="24"/>
                <w:lang w:val="en-US" w:eastAsia="zh-CN"/>
              </w:rPr>
              <w:t>粪便定期清掏</w:t>
            </w:r>
            <w:r>
              <w:rPr>
                <w:rFonts w:ascii="Times New Roman" w:eastAsia="仿宋"/>
                <w:color w:val="FF0000"/>
                <w:sz w:val="24"/>
                <w:szCs w:val="24"/>
              </w:rPr>
              <w:t>。</w:t>
            </w:r>
          </w:p>
          <w:bookmarkEnd w:id="33"/>
          <w:p w14:paraId="7D7DA298">
            <w:pPr>
              <w:adjustRightInd w:val="0"/>
              <w:snapToGrid w:val="0"/>
              <w:spacing w:line="360" w:lineRule="auto"/>
              <w:ind w:firstLine="480" w:firstLineChars="200"/>
              <w:rPr>
                <w:rFonts w:eastAsia="仿宋"/>
                <w:bCs/>
                <w:color w:val="FF0000"/>
                <w:sz w:val="24"/>
                <w:szCs w:val="24"/>
              </w:rPr>
            </w:pPr>
            <w:r>
              <w:rPr>
                <w:rFonts w:eastAsia="仿宋"/>
                <w:bCs/>
                <w:color w:val="FF0000"/>
                <w:sz w:val="24"/>
                <w:szCs w:val="24"/>
              </w:rPr>
              <w:t>本项目水平衡表见表</w:t>
            </w:r>
            <w:r>
              <w:rPr>
                <w:rFonts w:hint="eastAsia" w:eastAsia="仿宋"/>
                <w:bCs/>
                <w:color w:val="FF0000"/>
                <w:sz w:val="24"/>
                <w:szCs w:val="24"/>
                <w:lang w:val="en-US" w:eastAsia="zh-CN"/>
              </w:rPr>
              <w:t>16</w:t>
            </w:r>
            <w:r>
              <w:rPr>
                <w:rFonts w:eastAsia="仿宋"/>
                <w:bCs/>
                <w:color w:val="FF0000"/>
                <w:sz w:val="24"/>
                <w:szCs w:val="24"/>
              </w:rPr>
              <w:t>，水平衡图见图</w:t>
            </w:r>
            <w:r>
              <w:rPr>
                <w:rFonts w:hint="eastAsia" w:eastAsia="仿宋"/>
                <w:bCs/>
                <w:color w:val="FF0000"/>
                <w:sz w:val="24"/>
                <w:szCs w:val="24"/>
                <w:lang w:val="en-US" w:eastAsia="zh-CN"/>
              </w:rPr>
              <w:t>2</w:t>
            </w:r>
            <w:r>
              <w:rPr>
                <w:rFonts w:eastAsia="仿宋"/>
                <w:bCs/>
                <w:color w:val="FF0000"/>
                <w:sz w:val="24"/>
                <w:szCs w:val="24"/>
              </w:rPr>
              <w:t>。</w:t>
            </w:r>
          </w:p>
          <w:p w14:paraId="672043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b/>
                <w:bCs/>
                <w:snapToGrid w:val="0"/>
                <w:color w:val="FF0000"/>
                <w:kern w:val="0"/>
                <w:szCs w:val="21"/>
                <w:lang w:val="en-US" w:eastAsia="zh-CN"/>
              </w:rPr>
            </w:pPr>
            <w:r>
              <w:rPr>
                <w:rFonts w:hint="eastAsia" w:ascii="Times New Roman" w:hAnsi="Times New Roman" w:eastAsia="仿宋" w:cs="Times New Roman"/>
                <w:b/>
                <w:bCs/>
                <w:snapToGrid w:val="0"/>
                <w:color w:val="FF0000"/>
                <w:kern w:val="0"/>
                <w:szCs w:val="21"/>
                <w:lang w:val="en-US" w:eastAsia="zh-CN"/>
              </w:rPr>
              <w:t>表</w:t>
            </w:r>
            <w:r>
              <w:rPr>
                <w:rFonts w:hint="eastAsia" w:eastAsia="仿宋" w:cs="Times New Roman"/>
                <w:b/>
                <w:bCs/>
                <w:snapToGrid w:val="0"/>
                <w:color w:val="FF0000"/>
                <w:kern w:val="0"/>
                <w:szCs w:val="21"/>
                <w:lang w:val="en-US" w:eastAsia="zh-CN"/>
              </w:rPr>
              <w:t>16</w:t>
            </w:r>
            <w:r>
              <w:rPr>
                <w:rFonts w:hint="eastAsia" w:ascii="Times New Roman" w:hAnsi="Times New Roman" w:eastAsia="仿宋" w:cs="Times New Roman"/>
                <w:b/>
                <w:bCs/>
                <w:snapToGrid w:val="0"/>
                <w:color w:val="FF0000"/>
                <w:kern w:val="0"/>
                <w:szCs w:val="21"/>
                <w:lang w:val="en-US" w:eastAsia="zh-CN"/>
              </w:rPr>
              <w:t xml:space="preserve">  本项目用水平衡表  单位：m</w:t>
            </w:r>
            <w:r>
              <w:rPr>
                <w:rFonts w:hint="eastAsia" w:ascii="Times New Roman" w:hAnsi="Times New Roman" w:eastAsia="仿宋" w:cs="Times New Roman"/>
                <w:b/>
                <w:bCs/>
                <w:snapToGrid w:val="0"/>
                <w:color w:val="FF0000"/>
                <w:kern w:val="0"/>
                <w:szCs w:val="21"/>
                <w:vertAlign w:val="superscript"/>
                <w:lang w:val="en-US" w:eastAsia="zh-CN"/>
              </w:rPr>
              <w:t>3</w:t>
            </w:r>
            <w:r>
              <w:rPr>
                <w:rFonts w:hint="eastAsia" w:ascii="Times New Roman" w:hAnsi="Times New Roman" w:eastAsia="仿宋" w:cs="Times New Roman"/>
                <w:b/>
                <w:bCs/>
                <w:snapToGrid w:val="0"/>
                <w:color w:val="FF0000"/>
                <w:kern w:val="0"/>
                <w:szCs w:val="21"/>
                <w:lang w:val="en-US" w:eastAsia="zh-CN"/>
              </w:rPr>
              <w:t>/</w:t>
            </w:r>
            <w:r>
              <w:rPr>
                <w:rFonts w:hint="eastAsia" w:eastAsia="仿宋" w:cs="Times New Roman"/>
                <w:b/>
                <w:bCs/>
                <w:snapToGrid w:val="0"/>
                <w:color w:val="FF0000"/>
                <w:kern w:val="0"/>
                <w:szCs w:val="21"/>
                <w:lang w:val="en-US" w:eastAsia="zh-CN"/>
              </w:rPr>
              <w:t>a</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457"/>
              <w:gridCol w:w="2831"/>
              <w:gridCol w:w="1515"/>
              <w:gridCol w:w="1440"/>
              <w:gridCol w:w="1678"/>
            </w:tblGrid>
            <w:tr w14:paraId="30D0A6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629" w:hRule="exact"/>
                <w:jc w:val="center"/>
              </w:trPr>
              <w:tc>
                <w:tcPr>
                  <w:tcW w:w="457" w:type="dxa"/>
                  <w:noWrap w:val="0"/>
                  <w:vAlign w:val="center"/>
                </w:tcPr>
                <w:p w14:paraId="69546582">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Cs w:val="21"/>
                    </w:rPr>
                  </w:pPr>
                  <w:r>
                    <w:rPr>
                      <w:rFonts w:eastAsia="仿宋"/>
                      <w:color w:val="FF0000"/>
                      <w:szCs w:val="21"/>
                    </w:rPr>
                    <w:t>序号</w:t>
                  </w:r>
                </w:p>
              </w:tc>
              <w:tc>
                <w:tcPr>
                  <w:tcW w:w="2831" w:type="dxa"/>
                  <w:noWrap w:val="0"/>
                  <w:vAlign w:val="center"/>
                </w:tcPr>
                <w:p w14:paraId="1A2EE15A">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ascii="Times New Roman" w:hAnsi="Times New Roman" w:eastAsia="仿宋"/>
                      <w:color w:val="FF0000"/>
                      <w:kern w:val="2"/>
                      <w:sz w:val="21"/>
                      <w:szCs w:val="21"/>
                    </w:rPr>
                  </w:pPr>
                  <w:r>
                    <w:rPr>
                      <w:rFonts w:ascii="Times New Roman" w:hAnsi="Times New Roman" w:eastAsia="仿宋"/>
                      <w:color w:val="FF0000"/>
                      <w:kern w:val="2"/>
                      <w:sz w:val="21"/>
                      <w:szCs w:val="21"/>
                    </w:rPr>
                    <w:t>用水类别</w:t>
                  </w:r>
                </w:p>
              </w:tc>
              <w:tc>
                <w:tcPr>
                  <w:tcW w:w="1515" w:type="dxa"/>
                  <w:noWrap w:val="0"/>
                  <w:vAlign w:val="center"/>
                </w:tcPr>
                <w:p w14:paraId="6F2D721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Cs w:val="21"/>
                    </w:rPr>
                  </w:pPr>
                  <w:r>
                    <w:rPr>
                      <w:rFonts w:eastAsia="仿宋"/>
                      <w:color w:val="FF0000"/>
                      <w:szCs w:val="21"/>
                    </w:rPr>
                    <w:t>用水量</w:t>
                  </w:r>
                </w:p>
              </w:tc>
              <w:tc>
                <w:tcPr>
                  <w:tcW w:w="1440" w:type="dxa"/>
                  <w:noWrap w:val="0"/>
                  <w:vAlign w:val="center"/>
                </w:tcPr>
                <w:p w14:paraId="0281446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Cs w:val="21"/>
                    </w:rPr>
                  </w:pPr>
                  <w:r>
                    <w:rPr>
                      <w:rFonts w:eastAsia="仿宋"/>
                      <w:color w:val="FF0000"/>
                      <w:szCs w:val="21"/>
                    </w:rPr>
                    <w:t>损耗量</w:t>
                  </w:r>
                </w:p>
              </w:tc>
              <w:tc>
                <w:tcPr>
                  <w:tcW w:w="1678" w:type="dxa"/>
                  <w:noWrap w:val="0"/>
                  <w:vAlign w:val="center"/>
                </w:tcPr>
                <w:p w14:paraId="3E468A61">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Cs w:val="21"/>
                    </w:rPr>
                  </w:pPr>
                  <w:r>
                    <w:rPr>
                      <w:rFonts w:eastAsia="仿宋"/>
                      <w:color w:val="FF0000"/>
                      <w:szCs w:val="21"/>
                    </w:rPr>
                    <w:t>产生量</w:t>
                  </w:r>
                </w:p>
              </w:tc>
            </w:tr>
            <w:tr w14:paraId="148E4B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57" w:hRule="exact"/>
                <w:jc w:val="center"/>
              </w:trPr>
              <w:tc>
                <w:tcPr>
                  <w:tcW w:w="457" w:type="dxa"/>
                  <w:noWrap w:val="0"/>
                  <w:vAlign w:val="center"/>
                </w:tcPr>
                <w:p w14:paraId="7946276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Cs w:val="21"/>
                      <w:lang w:val="en-US" w:eastAsia="zh-CN"/>
                    </w:rPr>
                  </w:pPr>
                  <w:r>
                    <w:rPr>
                      <w:rFonts w:hint="eastAsia" w:eastAsia="仿宋"/>
                      <w:color w:val="FF0000"/>
                      <w:szCs w:val="21"/>
                      <w:lang w:val="en-US" w:eastAsia="zh-CN"/>
                    </w:rPr>
                    <w:t>1</w:t>
                  </w:r>
                </w:p>
              </w:tc>
              <w:tc>
                <w:tcPr>
                  <w:tcW w:w="2831" w:type="dxa"/>
                  <w:noWrap w:val="0"/>
                  <w:vAlign w:val="center"/>
                </w:tcPr>
                <w:p w14:paraId="0D5316D3">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default" w:ascii="Times New Roman" w:hAnsi="Times New Roman" w:eastAsia="仿宋" w:cs="Times New Roman"/>
                      <w:color w:val="FF0000"/>
                      <w:sz w:val="21"/>
                      <w:szCs w:val="21"/>
                      <w:lang w:val="en-US" w:eastAsia="zh-CN"/>
                    </w:rPr>
                    <w:t>矿区</w:t>
                  </w:r>
                  <w:r>
                    <w:rPr>
                      <w:rFonts w:hint="eastAsia" w:ascii="Times New Roman" w:hAnsi="Times New Roman" w:eastAsia="仿宋" w:cs="Times New Roman"/>
                      <w:color w:val="FF0000"/>
                      <w:sz w:val="21"/>
                      <w:szCs w:val="21"/>
                      <w:lang w:val="en-US" w:eastAsia="zh-CN"/>
                    </w:rPr>
                    <w:t>凿岩、爆破</w:t>
                  </w:r>
                  <w:r>
                    <w:rPr>
                      <w:rFonts w:hint="default" w:ascii="Times New Roman" w:hAnsi="Times New Roman" w:eastAsia="仿宋" w:cs="Times New Roman"/>
                      <w:color w:val="FF0000"/>
                      <w:sz w:val="21"/>
                      <w:szCs w:val="21"/>
                      <w:lang w:val="en-US" w:eastAsia="zh-CN"/>
                    </w:rPr>
                    <w:t>抑尘</w:t>
                  </w:r>
                </w:p>
              </w:tc>
              <w:tc>
                <w:tcPr>
                  <w:tcW w:w="1515" w:type="dxa"/>
                  <w:noWrap w:val="0"/>
                  <w:vAlign w:val="center"/>
                </w:tcPr>
                <w:p w14:paraId="51C42263">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eastAsia" w:ascii="Times New Roman" w:hAnsi="Times New Roman" w:eastAsia="仿宋" w:cs="Times New Roman"/>
                      <w:color w:val="FF0000"/>
                      <w:sz w:val="21"/>
                      <w:szCs w:val="21"/>
                      <w:lang w:val="en-US" w:eastAsia="zh-CN"/>
                    </w:rPr>
                    <w:t>1750</w:t>
                  </w:r>
                </w:p>
              </w:tc>
              <w:tc>
                <w:tcPr>
                  <w:tcW w:w="1440" w:type="dxa"/>
                  <w:noWrap w:val="0"/>
                  <w:vAlign w:val="center"/>
                </w:tcPr>
                <w:p w14:paraId="575E8732">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eastAsia" w:ascii="Times New Roman" w:hAnsi="Times New Roman" w:eastAsia="仿宋" w:cs="Times New Roman"/>
                      <w:color w:val="FF0000"/>
                      <w:sz w:val="21"/>
                      <w:szCs w:val="21"/>
                      <w:lang w:val="en-US" w:eastAsia="zh-CN"/>
                    </w:rPr>
                    <w:t>1750</w:t>
                  </w:r>
                </w:p>
              </w:tc>
              <w:tc>
                <w:tcPr>
                  <w:tcW w:w="1678" w:type="dxa"/>
                  <w:noWrap w:val="0"/>
                  <w:vAlign w:val="center"/>
                </w:tcPr>
                <w:p w14:paraId="1F4E888D">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eastAsia" w:ascii="Times New Roman" w:hAnsi="Times New Roman" w:eastAsia="仿宋" w:cs="Times New Roman"/>
                      <w:color w:val="FF0000"/>
                      <w:sz w:val="21"/>
                      <w:szCs w:val="21"/>
                      <w:lang w:val="en-US" w:eastAsia="zh-CN"/>
                    </w:rPr>
                    <w:t>0</w:t>
                  </w:r>
                </w:p>
              </w:tc>
            </w:tr>
            <w:tr w14:paraId="2F3AF2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82" w:hRule="exact"/>
                <w:jc w:val="center"/>
              </w:trPr>
              <w:tc>
                <w:tcPr>
                  <w:tcW w:w="457" w:type="dxa"/>
                  <w:noWrap w:val="0"/>
                  <w:vAlign w:val="center"/>
                </w:tcPr>
                <w:p w14:paraId="75318F9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Cs w:val="21"/>
                      <w:lang w:val="en-US" w:eastAsia="zh-CN"/>
                    </w:rPr>
                  </w:pPr>
                  <w:r>
                    <w:rPr>
                      <w:rFonts w:hint="eastAsia" w:eastAsia="仿宋"/>
                      <w:color w:val="FF0000"/>
                      <w:szCs w:val="21"/>
                      <w:lang w:val="en-US" w:eastAsia="zh-CN"/>
                    </w:rPr>
                    <w:t>2</w:t>
                  </w:r>
                </w:p>
              </w:tc>
              <w:tc>
                <w:tcPr>
                  <w:tcW w:w="2831" w:type="dxa"/>
                  <w:noWrap w:val="0"/>
                  <w:vAlign w:val="center"/>
                </w:tcPr>
                <w:p w14:paraId="1B0F437B">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eastAsia" w:ascii="Times New Roman" w:hAnsi="Times New Roman" w:eastAsia="仿宋" w:cs="Times New Roman"/>
                      <w:color w:val="FF0000"/>
                      <w:sz w:val="21"/>
                      <w:szCs w:val="21"/>
                      <w:lang w:val="en-US" w:eastAsia="zh-CN"/>
                    </w:rPr>
                    <w:t>矿区开采及装卸抑尘</w:t>
                  </w:r>
                </w:p>
              </w:tc>
              <w:tc>
                <w:tcPr>
                  <w:tcW w:w="1515" w:type="dxa"/>
                  <w:noWrap w:val="0"/>
                  <w:vAlign w:val="center"/>
                </w:tcPr>
                <w:p w14:paraId="080BFAB5">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eastAsia" w:ascii="Times New Roman" w:hAnsi="Times New Roman" w:eastAsia="仿宋" w:cs="Times New Roman"/>
                      <w:color w:val="FF0000"/>
                      <w:sz w:val="21"/>
                      <w:szCs w:val="21"/>
                      <w:lang w:val="en-US" w:eastAsia="zh-CN"/>
                    </w:rPr>
                    <w:t>2500</w:t>
                  </w:r>
                </w:p>
              </w:tc>
              <w:tc>
                <w:tcPr>
                  <w:tcW w:w="1440" w:type="dxa"/>
                  <w:noWrap w:val="0"/>
                  <w:vAlign w:val="center"/>
                </w:tcPr>
                <w:p w14:paraId="7B557E22">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eastAsia" w:ascii="Times New Roman" w:hAnsi="Times New Roman" w:eastAsia="仿宋" w:cs="Times New Roman"/>
                      <w:color w:val="FF0000"/>
                      <w:sz w:val="21"/>
                      <w:szCs w:val="21"/>
                      <w:lang w:val="en-US" w:eastAsia="zh-CN"/>
                    </w:rPr>
                    <w:t>2500</w:t>
                  </w:r>
                </w:p>
              </w:tc>
              <w:tc>
                <w:tcPr>
                  <w:tcW w:w="1678" w:type="dxa"/>
                  <w:noWrap w:val="0"/>
                  <w:vAlign w:val="center"/>
                </w:tcPr>
                <w:p w14:paraId="559F769F">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eastAsia" w:ascii="Times New Roman" w:hAnsi="Times New Roman" w:eastAsia="仿宋" w:cs="Times New Roman"/>
                      <w:color w:val="FF0000"/>
                      <w:sz w:val="21"/>
                      <w:szCs w:val="21"/>
                      <w:lang w:val="en-US" w:eastAsia="zh-CN"/>
                    </w:rPr>
                    <w:t>0</w:t>
                  </w:r>
                </w:p>
              </w:tc>
            </w:tr>
            <w:tr w14:paraId="3E3442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535" w:hRule="exact"/>
                <w:jc w:val="center"/>
              </w:trPr>
              <w:tc>
                <w:tcPr>
                  <w:tcW w:w="457" w:type="dxa"/>
                  <w:noWrap w:val="0"/>
                  <w:vAlign w:val="center"/>
                </w:tcPr>
                <w:p w14:paraId="01E4D4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Cs w:val="21"/>
                      <w:lang w:val="en-US" w:eastAsia="zh-CN"/>
                    </w:rPr>
                  </w:pPr>
                  <w:r>
                    <w:rPr>
                      <w:rFonts w:hint="eastAsia" w:eastAsia="仿宋"/>
                      <w:color w:val="FF0000"/>
                      <w:szCs w:val="21"/>
                      <w:lang w:val="en-US" w:eastAsia="zh-CN"/>
                    </w:rPr>
                    <w:t>3</w:t>
                  </w:r>
                </w:p>
              </w:tc>
              <w:tc>
                <w:tcPr>
                  <w:tcW w:w="2831" w:type="dxa"/>
                  <w:noWrap w:val="0"/>
                  <w:vAlign w:val="center"/>
                </w:tcPr>
                <w:p w14:paraId="6F5E111F">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eastAsia" w:ascii="Times New Roman" w:hAnsi="Times New Roman" w:eastAsia="仿宋" w:cs="Times New Roman"/>
                      <w:color w:val="FF0000"/>
                      <w:sz w:val="21"/>
                      <w:szCs w:val="21"/>
                      <w:lang w:val="en-US" w:eastAsia="zh-CN"/>
                    </w:rPr>
                  </w:pPr>
                  <w:r>
                    <w:rPr>
                      <w:rFonts w:hint="eastAsia" w:ascii="Times New Roman" w:hAnsi="Times New Roman" w:eastAsia="仿宋" w:cs="Times New Roman"/>
                      <w:color w:val="FF0000"/>
                      <w:sz w:val="21"/>
                      <w:szCs w:val="21"/>
                      <w:lang w:val="en-US" w:eastAsia="zh-CN"/>
                    </w:rPr>
                    <w:t>矿区</w:t>
                  </w:r>
                  <w:r>
                    <w:rPr>
                      <w:rFonts w:hint="default" w:ascii="Times New Roman" w:hAnsi="Times New Roman" w:eastAsia="仿宋" w:cs="Times New Roman"/>
                      <w:color w:val="FF0000"/>
                      <w:sz w:val="21"/>
                      <w:szCs w:val="21"/>
                      <w:lang w:val="en-US" w:eastAsia="zh-CN"/>
                    </w:rPr>
                    <w:t>挖掘机液压捣锤</w:t>
                  </w:r>
                  <w:r>
                    <w:rPr>
                      <w:rFonts w:hint="eastAsia" w:ascii="Times New Roman" w:hAnsi="Times New Roman" w:eastAsia="仿宋" w:cs="Times New Roman"/>
                      <w:color w:val="FF0000"/>
                      <w:sz w:val="21"/>
                      <w:szCs w:val="21"/>
                      <w:lang w:val="en-US" w:eastAsia="zh-CN"/>
                    </w:rPr>
                    <w:t>二次</w:t>
                  </w:r>
                  <w:r>
                    <w:rPr>
                      <w:rFonts w:hint="default" w:ascii="Times New Roman" w:hAnsi="Times New Roman" w:eastAsia="仿宋" w:cs="Times New Roman"/>
                      <w:color w:val="FF0000"/>
                      <w:sz w:val="21"/>
                      <w:szCs w:val="21"/>
                      <w:lang w:val="en-US" w:eastAsia="zh-CN"/>
                    </w:rPr>
                    <w:t>破碎</w:t>
                  </w:r>
                  <w:r>
                    <w:rPr>
                      <w:rFonts w:hint="eastAsia" w:ascii="Times New Roman" w:hAnsi="Times New Roman" w:eastAsia="仿宋" w:cs="Times New Roman"/>
                      <w:color w:val="FF0000"/>
                      <w:sz w:val="21"/>
                      <w:szCs w:val="21"/>
                      <w:lang w:val="en-US" w:eastAsia="zh-CN"/>
                    </w:rPr>
                    <w:t>抑尘</w:t>
                  </w:r>
                </w:p>
              </w:tc>
              <w:tc>
                <w:tcPr>
                  <w:tcW w:w="1515" w:type="dxa"/>
                  <w:noWrap w:val="0"/>
                  <w:vAlign w:val="center"/>
                </w:tcPr>
                <w:p w14:paraId="343317B2">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eastAsia" w:ascii="Times New Roman" w:hAnsi="Times New Roman" w:eastAsia="仿宋" w:cs="Times New Roman"/>
                      <w:color w:val="FF0000"/>
                      <w:sz w:val="21"/>
                      <w:szCs w:val="21"/>
                      <w:lang w:val="en-US" w:eastAsia="zh-CN"/>
                    </w:rPr>
                    <w:t>2000</w:t>
                  </w:r>
                </w:p>
              </w:tc>
              <w:tc>
                <w:tcPr>
                  <w:tcW w:w="1440" w:type="dxa"/>
                  <w:noWrap w:val="0"/>
                  <w:vAlign w:val="center"/>
                </w:tcPr>
                <w:p w14:paraId="4A01170E">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eastAsia" w:ascii="Times New Roman" w:hAnsi="Times New Roman" w:eastAsia="仿宋" w:cs="Times New Roman"/>
                      <w:color w:val="FF0000"/>
                      <w:sz w:val="21"/>
                      <w:szCs w:val="21"/>
                      <w:lang w:val="en-US" w:eastAsia="zh-CN"/>
                    </w:rPr>
                    <w:t>2000</w:t>
                  </w:r>
                </w:p>
              </w:tc>
              <w:tc>
                <w:tcPr>
                  <w:tcW w:w="1678" w:type="dxa"/>
                  <w:noWrap w:val="0"/>
                  <w:vAlign w:val="center"/>
                </w:tcPr>
                <w:p w14:paraId="1F4560AB">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eastAsia" w:ascii="Times New Roman" w:hAnsi="Times New Roman" w:eastAsia="仿宋" w:cs="Times New Roman"/>
                      <w:color w:val="FF0000"/>
                      <w:sz w:val="21"/>
                      <w:szCs w:val="21"/>
                      <w:lang w:val="en-US" w:eastAsia="zh-CN"/>
                    </w:rPr>
                    <w:t>0</w:t>
                  </w:r>
                </w:p>
              </w:tc>
            </w:tr>
            <w:tr w14:paraId="2F9643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15" w:hRule="exact"/>
                <w:jc w:val="center"/>
              </w:trPr>
              <w:tc>
                <w:tcPr>
                  <w:tcW w:w="457" w:type="dxa"/>
                  <w:noWrap w:val="0"/>
                  <w:vAlign w:val="center"/>
                </w:tcPr>
                <w:p w14:paraId="107FB62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Cs w:val="21"/>
                      <w:lang w:val="en-US" w:eastAsia="zh-CN"/>
                    </w:rPr>
                  </w:pPr>
                  <w:r>
                    <w:rPr>
                      <w:rFonts w:hint="eastAsia" w:eastAsia="仿宋"/>
                      <w:color w:val="FF0000"/>
                      <w:szCs w:val="21"/>
                      <w:lang w:val="en-US" w:eastAsia="zh-CN"/>
                    </w:rPr>
                    <w:t>4</w:t>
                  </w:r>
                </w:p>
              </w:tc>
              <w:tc>
                <w:tcPr>
                  <w:tcW w:w="2831" w:type="dxa"/>
                  <w:noWrap w:val="0"/>
                  <w:vAlign w:val="center"/>
                </w:tcPr>
                <w:p w14:paraId="09B1F644">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default" w:ascii="Times New Roman" w:hAnsi="Times New Roman" w:eastAsia="仿宋" w:cs="Times New Roman"/>
                      <w:color w:val="FF0000"/>
                      <w:sz w:val="21"/>
                      <w:szCs w:val="21"/>
                      <w:lang w:val="en-US" w:eastAsia="zh-CN"/>
                    </w:rPr>
                    <w:t>堆场抑尘</w:t>
                  </w:r>
                </w:p>
              </w:tc>
              <w:tc>
                <w:tcPr>
                  <w:tcW w:w="1515" w:type="dxa"/>
                  <w:noWrap w:val="0"/>
                  <w:vAlign w:val="center"/>
                </w:tcPr>
                <w:p w14:paraId="3F27133A">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eastAsia" w:ascii="Times New Roman" w:hAnsi="Times New Roman" w:eastAsia="仿宋" w:cs="Times New Roman"/>
                      <w:color w:val="FF0000"/>
                      <w:sz w:val="21"/>
                      <w:szCs w:val="21"/>
                      <w:lang w:val="en-US" w:eastAsia="zh-CN"/>
                    </w:rPr>
                    <w:t>5000</w:t>
                  </w:r>
                </w:p>
              </w:tc>
              <w:tc>
                <w:tcPr>
                  <w:tcW w:w="1440" w:type="dxa"/>
                  <w:noWrap w:val="0"/>
                  <w:vAlign w:val="center"/>
                </w:tcPr>
                <w:p w14:paraId="435E8ADC">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eastAsia" w:ascii="Times New Roman" w:hAnsi="Times New Roman" w:eastAsia="仿宋" w:cs="Times New Roman"/>
                      <w:color w:val="FF0000"/>
                      <w:sz w:val="21"/>
                      <w:szCs w:val="21"/>
                      <w:lang w:val="en-US" w:eastAsia="zh-CN"/>
                    </w:rPr>
                    <w:t>5000</w:t>
                  </w:r>
                </w:p>
              </w:tc>
              <w:tc>
                <w:tcPr>
                  <w:tcW w:w="1678" w:type="dxa"/>
                  <w:noWrap w:val="0"/>
                  <w:vAlign w:val="center"/>
                </w:tcPr>
                <w:p w14:paraId="442C72EC">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sz w:val="21"/>
                      <w:szCs w:val="21"/>
                      <w:lang w:val="en-US" w:eastAsia="zh-CN"/>
                    </w:rPr>
                  </w:pPr>
                  <w:r>
                    <w:rPr>
                      <w:rFonts w:hint="eastAsia" w:ascii="Times New Roman" w:hAnsi="Times New Roman" w:eastAsia="仿宋" w:cs="Times New Roman"/>
                      <w:color w:val="FF0000"/>
                      <w:sz w:val="21"/>
                      <w:szCs w:val="21"/>
                      <w:lang w:val="en-US" w:eastAsia="zh-CN"/>
                    </w:rPr>
                    <w:t>0</w:t>
                  </w:r>
                </w:p>
              </w:tc>
            </w:tr>
            <w:tr w14:paraId="63D569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00" w:hRule="exact"/>
                <w:jc w:val="center"/>
              </w:trPr>
              <w:tc>
                <w:tcPr>
                  <w:tcW w:w="457" w:type="dxa"/>
                  <w:noWrap w:val="0"/>
                  <w:vAlign w:val="center"/>
                </w:tcPr>
                <w:p w14:paraId="395EBEC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Cs w:val="21"/>
                      <w:lang w:val="en-US" w:eastAsia="zh-CN"/>
                    </w:rPr>
                  </w:pPr>
                  <w:r>
                    <w:rPr>
                      <w:rFonts w:hint="eastAsia" w:eastAsia="仿宋"/>
                      <w:color w:val="FF0000"/>
                      <w:szCs w:val="21"/>
                      <w:lang w:val="en-US" w:eastAsia="zh-CN"/>
                    </w:rPr>
                    <w:t>5</w:t>
                  </w:r>
                </w:p>
              </w:tc>
              <w:tc>
                <w:tcPr>
                  <w:tcW w:w="2831" w:type="dxa"/>
                  <w:noWrap w:val="0"/>
                  <w:vAlign w:val="center"/>
                </w:tcPr>
                <w:p w14:paraId="59C74D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FF0000"/>
                      <w:kern w:val="0"/>
                      <w:sz w:val="21"/>
                      <w:szCs w:val="21"/>
                      <w:lang w:val="en-US" w:eastAsia="zh-CN" w:bidi="ar-SA"/>
                    </w:rPr>
                  </w:pPr>
                  <w:r>
                    <w:rPr>
                      <w:rFonts w:hint="default" w:ascii="Times New Roman" w:hAnsi="Times New Roman" w:eastAsia="仿宋" w:cs="Times New Roman"/>
                      <w:color w:val="FF0000"/>
                      <w:kern w:val="0"/>
                      <w:sz w:val="21"/>
                      <w:szCs w:val="21"/>
                      <w:lang w:val="en-US" w:eastAsia="zh-CN" w:bidi="ar-SA"/>
                    </w:rPr>
                    <w:t>道路抑尘</w:t>
                  </w:r>
                </w:p>
              </w:tc>
              <w:tc>
                <w:tcPr>
                  <w:tcW w:w="1515" w:type="dxa"/>
                  <w:noWrap w:val="0"/>
                  <w:vAlign w:val="center"/>
                </w:tcPr>
                <w:p w14:paraId="0ABA3BAD">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kern w:val="0"/>
                      <w:sz w:val="21"/>
                      <w:szCs w:val="21"/>
                      <w:lang w:val="en-US" w:eastAsia="zh-CN" w:bidi="ar-SA"/>
                    </w:rPr>
                  </w:pPr>
                  <w:r>
                    <w:rPr>
                      <w:rFonts w:hint="eastAsia" w:ascii="Times New Roman" w:hAnsi="Times New Roman" w:eastAsia="仿宋" w:cs="Times New Roman"/>
                      <w:color w:val="FF0000"/>
                      <w:kern w:val="0"/>
                      <w:sz w:val="21"/>
                      <w:szCs w:val="21"/>
                      <w:lang w:val="en-US" w:eastAsia="zh-CN" w:bidi="ar-SA"/>
                    </w:rPr>
                    <w:t>2500</w:t>
                  </w:r>
                </w:p>
              </w:tc>
              <w:tc>
                <w:tcPr>
                  <w:tcW w:w="1440" w:type="dxa"/>
                  <w:noWrap w:val="0"/>
                  <w:vAlign w:val="center"/>
                </w:tcPr>
                <w:p w14:paraId="5C994246">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kern w:val="0"/>
                      <w:sz w:val="21"/>
                      <w:szCs w:val="21"/>
                      <w:lang w:val="en-US" w:eastAsia="zh-CN" w:bidi="ar-SA"/>
                    </w:rPr>
                  </w:pPr>
                  <w:r>
                    <w:rPr>
                      <w:rFonts w:hint="eastAsia" w:ascii="Times New Roman" w:hAnsi="Times New Roman" w:eastAsia="仿宋" w:cs="Times New Roman"/>
                      <w:color w:val="FF0000"/>
                      <w:kern w:val="0"/>
                      <w:sz w:val="21"/>
                      <w:szCs w:val="21"/>
                      <w:lang w:val="en-US" w:eastAsia="zh-CN" w:bidi="ar-SA"/>
                    </w:rPr>
                    <w:t>2500</w:t>
                  </w:r>
                </w:p>
              </w:tc>
              <w:tc>
                <w:tcPr>
                  <w:tcW w:w="1678" w:type="dxa"/>
                  <w:noWrap w:val="0"/>
                  <w:vAlign w:val="center"/>
                </w:tcPr>
                <w:p w14:paraId="030D39B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FF0000"/>
                      <w:kern w:val="0"/>
                      <w:sz w:val="21"/>
                      <w:szCs w:val="21"/>
                      <w:lang w:val="en-US" w:eastAsia="zh-CN" w:bidi="ar-SA"/>
                    </w:rPr>
                  </w:pPr>
                  <w:r>
                    <w:rPr>
                      <w:rFonts w:hint="eastAsia" w:eastAsia="仿宋" w:cs="Times New Roman"/>
                      <w:color w:val="FF0000"/>
                      <w:kern w:val="0"/>
                      <w:sz w:val="21"/>
                      <w:szCs w:val="21"/>
                      <w:lang w:val="en-US" w:eastAsia="zh-CN" w:bidi="ar-SA"/>
                    </w:rPr>
                    <w:t>0</w:t>
                  </w:r>
                </w:p>
              </w:tc>
            </w:tr>
            <w:tr w14:paraId="0BE898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25" w:hRule="exact"/>
                <w:jc w:val="center"/>
              </w:trPr>
              <w:tc>
                <w:tcPr>
                  <w:tcW w:w="457" w:type="dxa"/>
                  <w:noWrap w:val="0"/>
                  <w:vAlign w:val="center"/>
                </w:tcPr>
                <w:p w14:paraId="194E72A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Cs w:val="21"/>
                      <w:lang w:val="en-US" w:eastAsia="zh-CN"/>
                    </w:rPr>
                  </w:pPr>
                  <w:r>
                    <w:rPr>
                      <w:rFonts w:hint="eastAsia" w:eastAsia="仿宋"/>
                      <w:color w:val="FF0000"/>
                      <w:szCs w:val="21"/>
                      <w:lang w:val="en-US" w:eastAsia="zh-CN"/>
                    </w:rPr>
                    <w:t>6</w:t>
                  </w:r>
                </w:p>
              </w:tc>
              <w:tc>
                <w:tcPr>
                  <w:tcW w:w="2831" w:type="dxa"/>
                  <w:noWrap w:val="0"/>
                  <w:vAlign w:val="center"/>
                </w:tcPr>
                <w:p w14:paraId="0BFD407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FF0000"/>
                      <w:kern w:val="0"/>
                      <w:sz w:val="21"/>
                      <w:szCs w:val="21"/>
                      <w:lang w:val="en-US" w:eastAsia="zh-CN" w:bidi="ar-SA"/>
                    </w:rPr>
                  </w:pPr>
                  <w:r>
                    <w:rPr>
                      <w:rFonts w:hint="eastAsia" w:ascii="Times New Roman" w:hAnsi="Times New Roman" w:eastAsia="仿宋" w:cs="Times New Roman"/>
                      <w:color w:val="FF0000"/>
                      <w:kern w:val="0"/>
                      <w:sz w:val="21"/>
                      <w:szCs w:val="21"/>
                      <w:lang w:val="en-US" w:eastAsia="zh-CN" w:bidi="ar-SA"/>
                    </w:rPr>
                    <w:t>生活</w:t>
                  </w:r>
                </w:p>
              </w:tc>
              <w:tc>
                <w:tcPr>
                  <w:tcW w:w="1515" w:type="dxa"/>
                  <w:noWrap w:val="0"/>
                  <w:vAlign w:val="center"/>
                </w:tcPr>
                <w:p w14:paraId="7D3DC0FD">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kern w:val="0"/>
                      <w:sz w:val="21"/>
                      <w:szCs w:val="21"/>
                      <w:lang w:val="en-US" w:eastAsia="zh-CN" w:bidi="ar-SA"/>
                    </w:rPr>
                  </w:pPr>
                  <w:r>
                    <w:rPr>
                      <w:rFonts w:hint="eastAsia" w:ascii="Times New Roman" w:hAnsi="Times New Roman" w:eastAsia="仿宋" w:cs="Times New Roman"/>
                      <w:color w:val="FF0000"/>
                      <w:kern w:val="0"/>
                      <w:sz w:val="21"/>
                      <w:szCs w:val="21"/>
                      <w:lang w:val="en-US" w:eastAsia="zh-CN" w:bidi="ar-SA"/>
                    </w:rPr>
                    <w:t>300</w:t>
                  </w:r>
                </w:p>
              </w:tc>
              <w:tc>
                <w:tcPr>
                  <w:tcW w:w="1440" w:type="dxa"/>
                  <w:noWrap w:val="0"/>
                  <w:vAlign w:val="center"/>
                </w:tcPr>
                <w:p w14:paraId="702A43D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FF0000"/>
                      <w:kern w:val="0"/>
                      <w:sz w:val="21"/>
                      <w:szCs w:val="21"/>
                      <w:lang w:val="en-US" w:eastAsia="zh-CN" w:bidi="ar-SA"/>
                    </w:rPr>
                  </w:pPr>
                  <w:r>
                    <w:rPr>
                      <w:rFonts w:hint="eastAsia" w:eastAsia="仿宋" w:cs="Times New Roman"/>
                      <w:color w:val="FF0000"/>
                      <w:kern w:val="0"/>
                      <w:sz w:val="21"/>
                      <w:szCs w:val="21"/>
                      <w:lang w:val="en-US" w:eastAsia="zh-CN" w:bidi="ar-SA"/>
                    </w:rPr>
                    <w:t>60</w:t>
                  </w:r>
                </w:p>
              </w:tc>
              <w:tc>
                <w:tcPr>
                  <w:tcW w:w="1678" w:type="dxa"/>
                  <w:noWrap w:val="0"/>
                  <w:vAlign w:val="center"/>
                </w:tcPr>
                <w:p w14:paraId="028D8C1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FF0000"/>
                      <w:kern w:val="0"/>
                      <w:sz w:val="21"/>
                      <w:szCs w:val="21"/>
                      <w:lang w:val="en-US" w:eastAsia="zh-CN" w:bidi="ar-SA"/>
                    </w:rPr>
                  </w:pPr>
                  <w:r>
                    <w:rPr>
                      <w:rFonts w:hint="eastAsia" w:eastAsia="仿宋" w:cs="Times New Roman"/>
                      <w:color w:val="FF0000"/>
                      <w:kern w:val="0"/>
                      <w:sz w:val="21"/>
                      <w:szCs w:val="21"/>
                      <w:lang w:val="en-US" w:eastAsia="zh-CN" w:bidi="ar-SA"/>
                    </w:rPr>
                    <w:t>240</w:t>
                  </w:r>
                </w:p>
              </w:tc>
            </w:tr>
            <w:tr w14:paraId="10EA11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00" w:hRule="exact"/>
                <w:jc w:val="center"/>
              </w:trPr>
              <w:tc>
                <w:tcPr>
                  <w:tcW w:w="3288" w:type="dxa"/>
                  <w:gridSpan w:val="2"/>
                  <w:noWrap w:val="0"/>
                  <w:vAlign w:val="center"/>
                </w:tcPr>
                <w:p w14:paraId="34BC013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FF0000"/>
                      <w:kern w:val="0"/>
                      <w:sz w:val="21"/>
                      <w:szCs w:val="21"/>
                      <w:lang w:val="en-US" w:eastAsia="zh-CN" w:bidi="ar-SA"/>
                    </w:rPr>
                  </w:pPr>
                  <w:r>
                    <w:rPr>
                      <w:rFonts w:hint="eastAsia" w:ascii="Times New Roman" w:hAnsi="Times New Roman" w:eastAsia="仿宋" w:cs="Times New Roman"/>
                      <w:color w:val="FF0000"/>
                      <w:kern w:val="0"/>
                      <w:sz w:val="21"/>
                      <w:szCs w:val="21"/>
                      <w:lang w:val="en-US" w:eastAsia="zh-CN" w:bidi="ar-SA"/>
                    </w:rPr>
                    <w:t>合计</w:t>
                  </w:r>
                </w:p>
              </w:tc>
              <w:tc>
                <w:tcPr>
                  <w:tcW w:w="1515" w:type="dxa"/>
                  <w:noWrap w:val="0"/>
                  <w:vAlign w:val="center"/>
                </w:tcPr>
                <w:p w14:paraId="2172FCBD">
                  <w:pPr>
                    <w:pStyle w:val="63"/>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textAlignment w:val="auto"/>
                    <w:rPr>
                      <w:rFonts w:hint="default" w:ascii="Times New Roman" w:hAnsi="Times New Roman" w:eastAsia="仿宋" w:cs="Times New Roman"/>
                      <w:color w:val="FF0000"/>
                      <w:kern w:val="0"/>
                      <w:sz w:val="21"/>
                      <w:szCs w:val="21"/>
                      <w:lang w:val="en-US" w:eastAsia="zh-CN" w:bidi="ar-SA"/>
                    </w:rPr>
                  </w:pPr>
                  <w:r>
                    <w:rPr>
                      <w:rFonts w:hint="eastAsia" w:ascii="Times New Roman" w:hAnsi="Times New Roman" w:eastAsia="仿宋" w:cs="Times New Roman"/>
                      <w:color w:val="FF0000"/>
                      <w:kern w:val="0"/>
                      <w:sz w:val="21"/>
                      <w:szCs w:val="21"/>
                      <w:lang w:val="en-US" w:eastAsia="zh-CN" w:bidi="ar-SA"/>
                    </w:rPr>
                    <w:t>14050</w:t>
                  </w:r>
                </w:p>
              </w:tc>
              <w:tc>
                <w:tcPr>
                  <w:tcW w:w="1440" w:type="dxa"/>
                  <w:noWrap w:val="0"/>
                  <w:vAlign w:val="center"/>
                </w:tcPr>
                <w:p w14:paraId="3667062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FF0000"/>
                      <w:kern w:val="0"/>
                      <w:sz w:val="21"/>
                      <w:szCs w:val="21"/>
                      <w:lang w:val="en-US" w:eastAsia="zh-CN" w:bidi="ar-SA"/>
                    </w:rPr>
                  </w:pPr>
                  <w:r>
                    <w:rPr>
                      <w:rFonts w:hint="eastAsia" w:eastAsia="仿宋" w:cs="Times New Roman"/>
                      <w:color w:val="FF0000"/>
                      <w:kern w:val="0"/>
                      <w:sz w:val="21"/>
                      <w:szCs w:val="21"/>
                      <w:lang w:val="en-US" w:eastAsia="zh-CN" w:bidi="ar-SA"/>
                    </w:rPr>
                    <w:t>13810</w:t>
                  </w:r>
                </w:p>
              </w:tc>
              <w:tc>
                <w:tcPr>
                  <w:tcW w:w="1678" w:type="dxa"/>
                  <w:noWrap w:val="0"/>
                  <w:vAlign w:val="center"/>
                </w:tcPr>
                <w:p w14:paraId="61BD0A2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FF0000"/>
                      <w:kern w:val="0"/>
                      <w:sz w:val="21"/>
                      <w:szCs w:val="21"/>
                      <w:lang w:val="en-US" w:eastAsia="zh-CN" w:bidi="ar-SA"/>
                    </w:rPr>
                  </w:pPr>
                  <w:r>
                    <w:rPr>
                      <w:rFonts w:hint="eastAsia" w:eastAsia="仿宋" w:cs="Times New Roman"/>
                      <w:color w:val="FF0000"/>
                      <w:kern w:val="0"/>
                      <w:sz w:val="21"/>
                      <w:szCs w:val="21"/>
                      <w:lang w:val="en-US" w:eastAsia="zh-CN" w:bidi="ar-SA"/>
                    </w:rPr>
                    <w:t>240</w:t>
                  </w:r>
                </w:p>
              </w:tc>
            </w:tr>
          </w:tbl>
          <w:p w14:paraId="3D7E0B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
                <w:bCs/>
                <w:color w:val="FF0000"/>
                <w:sz w:val="24"/>
                <w:szCs w:val="24"/>
                <w:highlight w:val="none"/>
                <w:lang w:val="en-US" w:eastAsia="zh-CN"/>
              </w:rPr>
            </w:pPr>
            <w:r>
              <w:rPr>
                <w:rFonts w:hint="eastAsia" w:ascii="Times New Roman" w:hAnsi="Times New Roman" w:eastAsia="仿宋" w:cs="Times New Roman"/>
                <w:b/>
                <w:bCs/>
                <w:snapToGrid w:val="0"/>
                <w:color w:val="FF0000"/>
                <w:kern w:val="0"/>
                <w:szCs w:val="21"/>
                <w:lang w:val="en-US" w:eastAsia="zh-CN"/>
              </w:rPr>
              <w:object>
                <v:shape id="_x0000_i1026" o:spt="75" type="#_x0000_t75" style="height:385.15pt;width:392.8pt;" o:ole="t" filled="f" o:preferrelative="t" stroked="f" coordsize="21600,21600">
                  <v:path/>
                  <v:fill on="f" focussize="0,0"/>
                  <v:stroke on="f"/>
                  <v:imagedata r:id="rId10" cropbottom="7161f" o:title=""/>
                  <o:lock v:ext="edit" aspectratio="f"/>
                  <w10:wrap type="none"/>
                  <w10:anchorlock/>
                </v:shape>
                <o:OLEObject Type="Embed" ProgID="Visio.Drawing.11" ShapeID="_x0000_i1026" DrawAspect="Content" ObjectID="_1468075726" r:id="rId9">
                  <o:LockedField>false</o:LockedField>
                </o:OLEObject>
              </w:object>
            </w:r>
          </w:p>
          <w:p w14:paraId="0BBCA3A9">
            <w:pPr>
              <w:pStyle w:val="15"/>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bCs/>
                <w:color w:val="FF0000"/>
                <w:sz w:val="24"/>
                <w:szCs w:val="24"/>
                <w:highlight w:val="none"/>
                <w:lang w:val="en-US" w:eastAsia="zh-CN"/>
              </w:rPr>
            </w:pPr>
            <w:r>
              <w:rPr>
                <w:rFonts w:hint="default" w:ascii="Times New Roman" w:hAnsi="Times New Roman" w:eastAsia="仿宋" w:cs="Times New Roman"/>
                <w:b/>
                <w:bCs/>
                <w:color w:val="FF0000"/>
                <w:sz w:val="24"/>
                <w:szCs w:val="24"/>
                <w:highlight w:val="none"/>
                <w:lang w:val="en-US" w:eastAsia="zh-CN"/>
              </w:rPr>
              <w:t>图</w:t>
            </w:r>
            <w:r>
              <w:rPr>
                <w:rFonts w:hint="eastAsia" w:eastAsia="仿宋" w:cs="Times New Roman"/>
                <w:b/>
                <w:bCs/>
                <w:color w:val="FF0000"/>
                <w:sz w:val="24"/>
                <w:szCs w:val="24"/>
                <w:highlight w:val="none"/>
                <w:lang w:val="en-US" w:eastAsia="zh-CN"/>
              </w:rPr>
              <w:t>2</w:t>
            </w:r>
            <w:r>
              <w:rPr>
                <w:rFonts w:hint="default" w:ascii="Times New Roman" w:hAnsi="Times New Roman" w:eastAsia="仿宋" w:cs="Times New Roman"/>
                <w:b/>
                <w:bCs/>
                <w:color w:val="FF0000"/>
                <w:sz w:val="24"/>
                <w:szCs w:val="24"/>
                <w:highlight w:val="none"/>
                <w:lang w:val="en-US" w:eastAsia="zh-CN"/>
              </w:rPr>
              <w:t xml:space="preserve">   项目水平衡图  单位 m</w:t>
            </w:r>
            <w:r>
              <w:rPr>
                <w:rFonts w:hint="default" w:ascii="Times New Roman" w:hAnsi="Times New Roman" w:eastAsia="仿宋" w:cs="Times New Roman"/>
                <w:b/>
                <w:bCs/>
                <w:color w:val="FF0000"/>
                <w:sz w:val="24"/>
                <w:szCs w:val="24"/>
                <w:highlight w:val="none"/>
                <w:vertAlign w:val="superscript"/>
                <w:lang w:val="en-US" w:eastAsia="zh-CN"/>
              </w:rPr>
              <w:t>3</w:t>
            </w:r>
            <w:r>
              <w:rPr>
                <w:rFonts w:hint="default" w:ascii="Times New Roman" w:hAnsi="Times New Roman" w:eastAsia="仿宋" w:cs="Times New Roman"/>
                <w:b/>
                <w:bCs/>
                <w:color w:val="FF0000"/>
                <w:sz w:val="24"/>
                <w:szCs w:val="24"/>
                <w:highlight w:val="none"/>
                <w:lang w:val="en-US" w:eastAsia="zh-CN"/>
              </w:rPr>
              <w:t>/</w:t>
            </w:r>
            <w:r>
              <w:rPr>
                <w:rFonts w:hint="eastAsia" w:eastAsia="仿宋" w:cs="Times New Roman"/>
                <w:b/>
                <w:bCs/>
                <w:color w:val="FF0000"/>
                <w:sz w:val="24"/>
                <w:szCs w:val="24"/>
                <w:highlight w:val="none"/>
                <w:lang w:val="en-US" w:eastAsia="zh-CN"/>
              </w:rPr>
              <w:t>a</w:t>
            </w:r>
          </w:p>
          <w:p w14:paraId="0B7C38D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仿宋" w:cs="Times New Roman"/>
                <w:b/>
                <w:bCs/>
                <w:color w:val="FF0000"/>
                <w:sz w:val="24"/>
                <w:highlight w:val="none"/>
                <w:lang w:val="en-US" w:eastAsia="zh-CN"/>
              </w:rPr>
            </w:pPr>
            <w:r>
              <w:rPr>
                <w:rFonts w:hint="eastAsia" w:eastAsia="仿宋" w:cs="Times New Roman"/>
                <w:b/>
                <w:bCs/>
                <w:color w:val="FF0000"/>
                <w:sz w:val="24"/>
                <w:highlight w:val="none"/>
                <w:lang w:val="en-US" w:eastAsia="zh-CN"/>
              </w:rPr>
              <w:t>15.电力工程</w:t>
            </w:r>
          </w:p>
          <w:p w14:paraId="79816A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eastAsia="仿宋" w:cs="Times New Roman"/>
                <w:color w:val="FF0000"/>
                <w:sz w:val="24"/>
                <w:highlight w:val="none"/>
                <w:lang w:val="en-US" w:eastAsia="zh-CN"/>
              </w:rPr>
            </w:pPr>
            <w:r>
              <w:rPr>
                <w:rFonts w:hint="eastAsia" w:eastAsia="仿宋" w:cs="Times New Roman"/>
                <w:color w:val="FF0000"/>
                <w:sz w:val="24"/>
                <w:highlight w:val="none"/>
                <w:lang w:val="en-US" w:eastAsia="zh-CN"/>
              </w:rPr>
              <w:t>本</w:t>
            </w:r>
            <w:r>
              <w:rPr>
                <w:rFonts w:hint="default" w:ascii="Times New Roman" w:hAnsi="Times New Roman" w:eastAsia="仿宋" w:cs="Times New Roman"/>
                <w:color w:val="FF0000"/>
                <w:sz w:val="24"/>
                <w:highlight w:val="none"/>
                <w:lang w:val="en-US" w:eastAsia="zh-CN"/>
              </w:rPr>
              <w:t>项目</w:t>
            </w:r>
            <w:r>
              <w:rPr>
                <w:rFonts w:hint="eastAsia" w:eastAsia="仿宋" w:cs="Times New Roman"/>
                <w:color w:val="FF0000"/>
                <w:sz w:val="24"/>
                <w:highlight w:val="none"/>
                <w:lang w:val="en-US" w:eastAsia="zh-CN"/>
              </w:rPr>
              <w:t>供电线路接附近10KV的农电，经架空线至厂区变压器后运至配电室，供本项目生产和生活使用，可以满足生产和生活需求。</w:t>
            </w:r>
          </w:p>
          <w:p w14:paraId="4A46371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仿宋" w:cs="Times New Roman"/>
                <w:b/>
                <w:bCs/>
                <w:color w:val="FF0000"/>
                <w:sz w:val="24"/>
                <w:highlight w:val="none"/>
                <w:lang w:val="en-US" w:eastAsia="zh-CN"/>
              </w:rPr>
            </w:pPr>
            <w:r>
              <w:rPr>
                <w:rFonts w:hint="eastAsia" w:eastAsia="仿宋" w:cs="Times New Roman"/>
                <w:b/>
                <w:bCs/>
                <w:color w:val="FF0000"/>
                <w:sz w:val="24"/>
                <w:highlight w:val="none"/>
                <w:lang w:val="en-US" w:eastAsia="zh-CN"/>
              </w:rPr>
              <w:t>16.采暖工程</w:t>
            </w:r>
          </w:p>
          <w:p w14:paraId="2341362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eastAsia="仿宋" w:cs="Times New Roman"/>
                <w:color w:val="auto"/>
                <w:sz w:val="24"/>
                <w:highlight w:val="none"/>
                <w:lang w:val="en-US" w:eastAsia="zh-CN"/>
              </w:rPr>
            </w:pPr>
            <w:r>
              <w:rPr>
                <w:rFonts w:hint="eastAsia" w:eastAsia="仿宋" w:cs="Times New Roman"/>
                <w:color w:val="FF0000"/>
                <w:sz w:val="24"/>
                <w:highlight w:val="none"/>
                <w:lang w:val="en-US" w:eastAsia="zh-CN"/>
              </w:rPr>
              <w:t>本项目采用电采暖。</w:t>
            </w:r>
          </w:p>
        </w:tc>
      </w:tr>
      <w:tr w14:paraId="0E221B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26" w:type="dxa"/>
            <w:tcBorders>
              <w:tl2br w:val="nil"/>
              <w:tr2bl w:val="nil"/>
            </w:tcBorders>
            <w:vAlign w:val="center"/>
          </w:tcPr>
          <w:p w14:paraId="674EFB7C">
            <w:pPr>
              <w:adjustRightInd w:val="0"/>
              <w:snapToGrid w:val="0"/>
              <w:jc w:val="center"/>
              <w:rPr>
                <w:rFonts w:hint="default" w:ascii="Times New Roman" w:hAnsi="Times New Roman" w:eastAsia="仿宋" w:cs="Times New Roman"/>
                <w:color w:val="auto"/>
                <w:kern w:val="0"/>
                <w:szCs w:val="21"/>
                <w:highlight w:val="none"/>
              </w:rPr>
            </w:pPr>
            <w:r>
              <w:rPr>
                <w:rFonts w:hint="default" w:ascii="Times New Roman" w:hAnsi="Times New Roman" w:eastAsia="仿宋" w:cs="Times New Roman"/>
                <w:color w:val="auto"/>
                <w:kern w:val="0"/>
                <w:sz w:val="24"/>
                <w:highlight w:val="none"/>
              </w:rPr>
              <w:t>总平面及现场布置</w:t>
            </w:r>
          </w:p>
        </w:tc>
        <w:tc>
          <w:tcPr>
            <w:tcW w:w="8068" w:type="dxa"/>
            <w:tcBorders>
              <w:tl2br w:val="nil"/>
              <w:tr2bl w:val="nil"/>
            </w:tcBorders>
            <w:vAlign w:val="center"/>
          </w:tcPr>
          <w:p w14:paraId="7FDA5E85">
            <w:pPr>
              <w:widowControl/>
              <w:adjustRightInd w:val="0"/>
              <w:snapToGrid w:val="0"/>
              <w:spacing w:line="360" w:lineRule="auto"/>
              <w:ind w:firstLine="480" w:firstLineChars="200"/>
              <w:jc w:val="both"/>
              <w:rPr>
                <w:rFonts w:hint="default" w:ascii="Times New Roman" w:hAnsi="Times New Roman" w:eastAsia="仿宋" w:cs="Times New Roman"/>
                <w:color w:val="FF0000"/>
                <w:kern w:val="0"/>
                <w:sz w:val="24"/>
                <w:lang w:val="en-US" w:eastAsia="zh-CN" w:bidi="ar"/>
              </w:rPr>
            </w:pPr>
            <w:r>
              <w:rPr>
                <w:rFonts w:hint="default" w:ascii="Times New Roman" w:hAnsi="Times New Roman" w:eastAsia="仿宋" w:cs="Times New Roman"/>
                <w:color w:val="FF0000"/>
                <w:kern w:val="0"/>
                <w:sz w:val="24"/>
                <w:lang w:val="en-US" w:eastAsia="zh-CN" w:bidi="ar"/>
              </w:rPr>
              <w:t>本项目主要由</w:t>
            </w:r>
            <w:r>
              <w:rPr>
                <w:rFonts w:hint="eastAsia" w:ascii="Times New Roman" w:hAnsi="Times New Roman" w:eastAsia="仿宋" w:cs="Times New Roman"/>
                <w:color w:val="FF0000"/>
                <w:kern w:val="0"/>
                <w:sz w:val="24"/>
                <w:lang w:val="en-US" w:eastAsia="zh-CN" w:bidi="ar"/>
              </w:rPr>
              <w:t>采矿区、</w:t>
            </w:r>
            <w:r>
              <w:rPr>
                <w:rFonts w:hint="eastAsia" w:eastAsia="仿宋" w:cs="Times New Roman"/>
                <w:color w:val="FF0000"/>
                <w:kern w:val="0"/>
                <w:sz w:val="24"/>
                <w:lang w:val="en-US" w:eastAsia="zh-CN" w:bidi="ar"/>
              </w:rPr>
              <w:t>破碎场</w:t>
            </w:r>
            <w:r>
              <w:rPr>
                <w:rFonts w:hint="eastAsia" w:ascii="Times New Roman" w:hAnsi="Times New Roman" w:eastAsia="仿宋" w:cs="Times New Roman"/>
                <w:color w:val="FF0000"/>
                <w:kern w:val="0"/>
                <w:sz w:val="24"/>
                <w:lang w:val="en-US" w:eastAsia="zh-CN" w:bidi="ar"/>
              </w:rPr>
              <w:t>、生活区、排土场等主要部分组成</w:t>
            </w:r>
            <w:r>
              <w:rPr>
                <w:rFonts w:hint="default" w:ascii="Times New Roman" w:hAnsi="Times New Roman" w:eastAsia="仿宋" w:cs="Times New Roman"/>
                <w:color w:val="FF0000"/>
                <w:kern w:val="0"/>
                <w:sz w:val="24"/>
                <w:lang w:val="en-US" w:eastAsia="zh-CN" w:bidi="ar"/>
              </w:rPr>
              <w:t>。</w:t>
            </w:r>
            <w:r>
              <w:rPr>
                <w:rFonts w:hint="eastAsia" w:ascii="Times New Roman" w:hAnsi="Times New Roman" w:eastAsia="仿宋" w:cs="Times New Roman"/>
                <w:color w:val="FF0000"/>
                <w:kern w:val="0"/>
                <w:sz w:val="24"/>
                <w:lang w:val="en-US" w:eastAsia="zh-CN" w:bidi="ar"/>
              </w:rPr>
              <w:t>总平面布置图见附图</w:t>
            </w:r>
            <w:r>
              <w:rPr>
                <w:rFonts w:hint="eastAsia" w:eastAsia="仿宋" w:cs="Times New Roman"/>
                <w:color w:val="FF0000"/>
                <w:kern w:val="0"/>
                <w:sz w:val="24"/>
                <w:lang w:val="en-US" w:eastAsia="zh-CN" w:bidi="ar"/>
              </w:rPr>
              <w:t>5</w:t>
            </w:r>
            <w:r>
              <w:rPr>
                <w:rFonts w:hint="eastAsia" w:ascii="Times New Roman" w:hAnsi="Times New Roman" w:eastAsia="仿宋" w:cs="Times New Roman"/>
                <w:color w:val="FF0000"/>
                <w:kern w:val="0"/>
                <w:sz w:val="24"/>
                <w:lang w:val="en-US" w:eastAsia="zh-CN" w:bidi="ar"/>
              </w:rPr>
              <w:t>。</w:t>
            </w:r>
          </w:p>
          <w:p w14:paraId="6F21AD2C">
            <w:pPr>
              <w:widowControl/>
              <w:adjustRightInd w:val="0"/>
              <w:snapToGrid w:val="0"/>
              <w:spacing w:line="360" w:lineRule="auto"/>
              <w:ind w:firstLine="480" w:firstLineChars="200"/>
              <w:jc w:val="both"/>
              <w:rPr>
                <w:rFonts w:hint="eastAsia" w:ascii="Times New Roman" w:hAnsi="Times New Roman" w:eastAsia="仿宋" w:cs="Times New Roman"/>
                <w:color w:val="FF0000"/>
                <w:kern w:val="0"/>
                <w:sz w:val="24"/>
                <w:lang w:val="en-US" w:eastAsia="zh-CN" w:bidi="ar"/>
              </w:rPr>
            </w:pPr>
            <w:r>
              <w:rPr>
                <w:rFonts w:hint="eastAsia" w:ascii="Times New Roman" w:hAnsi="Times New Roman" w:eastAsia="仿宋" w:cs="Times New Roman"/>
                <w:color w:val="FF0000"/>
                <w:kern w:val="0"/>
                <w:sz w:val="24"/>
                <w:lang w:val="en-US" w:eastAsia="zh-CN" w:bidi="ar"/>
              </w:rPr>
              <w:t>破碎场：破碎场位于矿区范围内南侧，占地面积为14868m</w:t>
            </w:r>
            <w:r>
              <w:rPr>
                <w:rFonts w:hint="eastAsia" w:ascii="Times New Roman" w:hAnsi="Times New Roman" w:eastAsia="仿宋" w:cs="Times New Roman"/>
                <w:color w:val="FF0000"/>
                <w:kern w:val="0"/>
                <w:sz w:val="24"/>
                <w:vertAlign w:val="superscript"/>
                <w:lang w:val="en-US" w:eastAsia="zh-CN" w:bidi="ar"/>
              </w:rPr>
              <w:t>2</w:t>
            </w:r>
            <w:r>
              <w:rPr>
                <w:rFonts w:hint="eastAsia" w:ascii="Times New Roman" w:hAnsi="Times New Roman" w:eastAsia="仿宋" w:cs="Times New Roman"/>
                <w:color w:val="FF0000"/>
                <w:kern w:val="0"/>
                <w:sz w:val="24"/>
                <w:lang w:val="en-US" w:eastAsia="zh-CN" w:bidi="ar"/>
              </w:rPr>
              <w:t>，破碎场布置加工区和成品堆场，工艺主要为破碎、筛分等，破碎和筛分设备位于封闭式生产车间内。</w:t>
            </w:r>
          </w:p>
          <w:p w14:paraId="7E04B7A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FF0000"/>
                <w:sz w:val="24"/>
                <w:szCs w:val="24"/>
                <w:highlight w:val="none"/>
                <w:lang w:val="en-US" w:eastAsia="zh-CN"/>
              </w:rPr>
            </w:pPr>
            <w:r>
              <w:rPr>
                <w:rFonts w:hint="eastAsia" w:eastAsia="仿宋" w:cs="Times New Roman"/>
                <w:color w:val="FF0000"/>
                <w:sz w:val="24"/>
                <w:szCs w:val="24"/>
                <w:highlight w:val="none"/>
                <w:lang w:val="en-US" w:eastAsia="zh-CN"/>
              </w:rPr>
              <w:t>排土场：本项目设置2处排土场，1#排土场位于矿区内中部偏南侧，占地面积为25000m</w:t>
            </w:r>
            <w:r>
              <w:rPr>
                <w:rFonts w:hint="eastAsia" w:eastAsia="仿宋" w:cs="Times New Roman"/>
                <w:color w:val="FF0000"/>
                <w:sz w:val="24"/>
                <w:szCs w:val="24"/>
                <w:highlight w:val="none"/>
                <w:vertAlign w:val="superscript"/>
                <w:lang w:val="en-US" w:eastAsia="zh-CN"/>
              </w:rPr>
              <w:t>2</w:t>
            </w:r>
            <w:r>
              <w:rPr>
                <w:rFonts w:hint="eastAsia" w:eastAsia="仿宋" w:cs="Times New Roman"/>
                <w:color w:val="FF0000"/>
                <w:sz w:val="24"/>
                <w:szCs w:val="24"/>
                <w:highlight w:val="none"/>
                <w:lang w:val="en-US" w:eastAsia="zh-CN"/>
              </w:rPr>
              <w:t>，排土场容积为100×10</w:t>
            </w:r>
            <w:r>
              <w:rPr>
                <w:rFonts w:hint="eastAsia" w:eastAsia="仿宋" w:cs="Times New Roman"/>
                <w:color w:val="FF0000"/>
                <w:sz w:val="24"/>
                <w:szCs w:val="24"/>
                <w:highlight w:val="none"/>
                <w:vertAlign w:val="superscript"/>
                <w:lang w:val="en-US" w:eastAsia="zh-CN"/>
              </w:rPr>
              <w:t>4</w:t>
            </w:r>
            <w:r>
              <w:rPr>
                <w:rFonts w:hint="eastAsia" w:eastAsia="仿宋" w:cs="Times New Roman"/>
                <w:color w:val="FF0000"/>
                <w:sz w:val="24"/>
                <w:szCs w:val="24"/>
                <w:highlight w:val="none"/>
                <w:lang w:val="en-US" w:eastAsia="zh-CN"/>
              </w:rPr>
              <w:t>m</w:t>
            </w:r>
            <w:r>
              <w:rPr>
                <w:rFonts w:hint="eastAsia" w:eastAsia="仿宋" w:cs="Times New Roman"/>
                <w:color w:val="FF0000"/>
                <w:sz w:val="24"/>
                <w:szCs w:val="24"/>
                <w:highlight w:val="none"/>
                <w:vertAlign w:val="superscript"/>
                <w:lang w:val="en-US" w:eastAsia="zh-CN"/>
              </w:rPr>
              <w:t>3</w:t>
            </w:r>
            <w:r>
              <w:rPr>
                <w:rFonts w:hint="eastAsia" w:eastAsia="仿宋" w:cs="Times New Roman"/>
                <w:color w:val="FF0000"/>
                <w:sz w:val="24"/>
                <w:szCs w:val="24"/>
                <w:highlight w:val="none"/>
                <w:lang w:val="en-US" w:eastAsia="zh-CN"/>
              </w:rPr>
              <w:t>，2#排土场位于矿区内东北侧，占地面积为30000m</w:t>
            </w:r>
            <w:r>
              <w:rPr>
                <w:rFonts w:hint="eastAsia" w:eastAsia="仿宋" w:cs="Times New Roman"/>
                <w:color w:val="FF0000"/>
                <w:sz w:val="24"/>
                <w:szCs w:val="24"/>
                <w:highlight w:val="none"/>
                <w:vertAlign w:val="superscript"/>
                <w:lang w:val="en-US" w:eastAsia="zh-CN"/>
              </w:rPr>
              <w:t>2</w:t>
            </w:r>
            <w:r>
              <w:rPr>
                <w:rFonts w:hint="eastAsia" w:eastAsia="仿宋" w:cs="Times New Roman"/>
                <w:color w:val="FF0000"/>
                <w:sz w:val="24"/>
                <w:szCs w:val="24"/>
                <w:highlight w:val="none"/>
                <w:lang w:val="en-US" w:eastAsia="zh-CN"/>
              </w:rPr>
              <w:t>，排土场容积150×10</w:t>
            </w:r>
            <w:r>
              <w:rPr>
                <w:rFonts w:hint="eastAsia" w:eastAsia="仿宋" w:cs="Times New Roman"/>
                <w:color w:val="FF0000"/>
                <w:sz w:val="24"/>
                <w:szCs w:val="24"/>
                <w:highlight w:val="none"/>
                <w:vertAlign w:val="superscript"/>
                <w:lang w:val="en-US" w:eastAsia="zh-CN"/>
              </w:rPr>
              <w:t>4</w:t>
            </w:r>
            <w:r>
              <w:rPr>
                <w:rFonts w:hint="eastAsia" w:eastAsia="仿宋" w:cs="Times New Roman"/>
                <w:color w:val="FF0000"/>
                <w:sz w:val="24"/>
                <w:szCs w:val="24"/>
                <w:highlight w:val="none"/>
                <w:lang w:val="en-US" w:eastAsia="zh-CN"/>
              </w:rPr>
              <w:t>m</w:t>
            </w:r>
            <w:r>
              <w:rPr>
                <w:rFonts w:hint="eastAsia" w:eastAsia="仿宋" w:cs="Times New Roman"/>
                <w:color w:val="FF0000"/>
                <w:sz w:val="24"/>
                <w:szCs w:val="24"/>
                <w:highlight w:val="none"/>
                <w:vertAlign w:val="superscript"/>
                <w:lang w:val="en-US" w:eastAsia="zh-CN"/>
              </w:rPr>
              <w:t>3</w:t>
            </w:r>
            <w:r>
              <w:rPr>
                <w:rFonts w:hint="eastAsia" w:eastAsia="仿宋" w:cs="Times New Roman"/>
                <w:color w:val="FF0000"/>
                <w:sz w:val="24"/>
                <w:szCs w:val="24"/>
                <w:highlight w:val="none"/>
                <w:lang w:val="en-US" w:eastAsia="zh-CN"/>
              </w:rPr>
              <w:t>，排土场周边设置截排水沟和挡土墙。</w:t>
            </w:r>
          </w:p>
          <w:p w14:paraId="2FD5FD4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FF0000"/>
                <w:sz w:val="24"/>
                <w:szCs w:val="24"/>
                <w:highlight w:val="none"/>
                <w:lang w:val="en-US" w:eastAsia="zh-CN"/>
              </w:rPr>
            </w:pPr>
            <w:r>
              <w:rPr>
                <w:rFonts w:hint="eastAsia" w:eastAsia="仿宋" w:cs="Times New Roman"/>
                <w:color w:val="FF0000"/>
                <w:sz w:val="24"/>
                <w:szCs w:val="24"/>
                <w:highlight w:val="none"/>
                <w:lang w:val="en-US" w:eastAsia="zh-CN"/>
              </w:rPr>
              <w:t>矿区道路：矿区道路采用碎石路面，全长约1500m，路基宽度约10m，路面宽度约8m，占地面积约15000m</w:t>
            </w:r>
            <w:r>
              <w:rPr>
                <w:rFonts w:hint="eastAsia" w:eastAsia="仿宋" w:cs="Times New Roman"/>
                <w:color w:val="FF0000"/>
                <w:sz w:val="24"/>
                <w:szCs w:val="24"/>
                <w:highlight w:val="none"/>
                <w:vertAlign w:val="superscript"/>
                <w:lang w:val="en-US" w:eastAsia="zh-CN"/>
              </w:rPr>
              <w:t>2</w:t>
            </w:r>
            <w:r>
              <w:rPr>
                <w:rFonts w:hint="eastAsia" w:eastAsia="仿宋" w:cs="Times New Roman"/>
                <w:color w:val="FF0000"/>
                <w:sz w:val="24"/>
                <w:szCs w:val="24"/>
                <w:highlight w:val="none"/>
                <w:lang w:val="en-US" w:eastAsia="zh-CN"/>
              </w:rPr>
              <w:t>，负责矿石的运输及负责设备、材料的运输。</w:t>
            </w:r>
          </w:p>
          <w:p w14:paraId="28268E8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eastAsia="仿宋" w:cs="Times New Roman"/>
                <w:color w:val="FF0000"/>
                <w:sz w:val="24"/>
                <w:szCs w:val="24"/>
                <w:highlight w:val="none"/>
                <w:lang w:val="en-US" w:eastAsia="zh-CN"/>
              </w:rPr>
            </w:pPr>
            <w:r>
              <w:rPr>
                <w:rFonts w:hint="eastAsia" w:eastAsia="仿宋" w:cs="Times New Roman"/>
                <w:color w:val="FF0000"/>
                <w:sz w:val="24"/>
                <w:szCs w:val="24"/>
                <w:highlight w:val="none"/>
                <w:lang w:val="en-US" w:eastAsia="zh-CN"/>
              </w:rPr>
              <w:t>办公生活区：办公生活区位于矿区范围内西侧，占地面积792m</w:t>
            </w:r>
            <w:r>
              <w:rPr>
                <w:rFonts w:hint="eastAsia" w:eastAsia="仿宋" w:cs="Times New Roman"/>
                <w:color w:val="FF0000"/>
                <w:sz w:val="24"/>
                <w:szCs w:val="24"/>
                <w:highlight w:val="none"/>
                <w:vertAlign w:val="superscript"/>
                <w:lang w:val="en-US" w:eastAsia="zh-CN"/>
              </w:rPr>
              <w:t>2</w:t>
            </w:r>
            <w:r>
              <w:rPr>
                <w:rFonts w:hint="eastAsia" w:eastAsia="仿宋" w:cs="Times New Roman"/>
                <w:color w:val="FF0000"/>
                <w:sz w:val="24"/>
                <w:szCs w:val="24"/>
                <w:highlight w:val="none"/>
                <w:lang w:val="en-US" w:eastAsia="zh-CN"/>
              </w:rPr>
              <w:t>，用于职工日常办公和生活。</w:t>
            </w:r>
          </w:p>
        </w:tc>
      </w:tr>
      <w:tr w14:paraId="6FBB56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26" w:type="dxa"/>
            <w:tcBorders>
              <w:tl2br w:val="nil"/>
              <w:tr2bl w:val="nil"/>
            </w:tcBorders>
            <w:vAlign w:val="center"/>
          </w:tcPr>
          <w:p w14:paraId="1772E5E0">
            <w:pPr>
              <w:adjustRightInd w:val="0"/>
              <w:snapToGrid w:val="0"/>
              <w:jc w:val="center"/>
              <w:rPr>
                <w:rFonts w:hint="default" w:ascii="Times New Roman" w:hAnsi="Times New Roman" w:eastAsia="仿宋" w:cs="Times New Roman"/>
                <w:color w:val="auto"/>
                <w:kern w:val="0"/>
                <w:sz w:val="24"/>
                <w:highlight w:val="none"/>
              </w:rPr>
            </w:pPr>
            <w:r>
              <w:rPr>
                <w:rFonts w:hint="default" w:ascii="Times New Roman" w:hAnsi="Times New Roman" w:eastAsia="仿宋" w:cs="Times New Roman"/>
                <w:color w:val="auto"/>
                <w:kern w:val="0"/>
                <w:sz w:val="24"/>
                <w:highlight w:val="none"/>
              </w:rPr>
              <w:t>施工方案</w:t>
            </w:r>
          </w:p>
        </w:tc>
        <w:tc>
          <w:tcPr>
            <w:tcW w:w="8068" w:type="dxa"/>
            <w:tcBorders>
              <w:tl2br w:val="nil"/>
              <w:tr2bl w:val="nil"/>
            </w:tcBorders>
            <w:vAlign w:val="center"/>
          </w:tcPr>
          <w:p w14:paraId="5D9BFEC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仿宋" w:cs="Times New Roman"/>
                <w:b/>
                <w:bCs/>
                <w:color w:val="auto"/>
                <w:sz w:val="24"/>
                <w:highlight w:val="none"/>
                <w:lang w:val="en-US" w:eastAsia="zh-CN"/>
              </w:rPr>
            </w:pPr>
            <w:r>
              <w:rPr>
                <w:rFonts w:hint="eastAsia" w:eastAsia="仿宋" w:cs="Times New Roman"/>
                <w:b/>
                <w:bCs/>
                <w:color w:val="auto"/>
                <w:sz w:val="24"/>
                <w:highlight w:val="none"/>
                <w:lang w:val="en-US" w:eastAsia="zh-CN"/>
              </w:rPr>
              <w:t>1.施工方案</w:t>
            </w:r>
          </w:p>
          <w:p w14:paraId="6C2EA97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eastAsia="仿宋" w:cs="Times New Roman"/>
                <w:color w:val="000000" w:themeColor="text1"/>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本项目施工期由于道路施工建设、基建剥离表土、生产区设备安装等建设会产生扬尘污染，施工机械及运输车辆排放的废气，且大型机械作业时会产生噪声，基建剥离表土过程中产生一定量的土石方，并会产生少量建筑垃圾及施工人员生活垃圾，建设期施工人员少量生活用水成分简单可直接泼洒降尘；由于工程占地及施工，会造成水土流失及生态破坏。</w:t>
            </w:r>
          </w:p>
          <w:p w14:paraId="16EF19B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微软雅黑" w:cs="Times New Roman"/>
                <w:color w:val="auto"/>
                <w:sz w:val="24"/>
                <w:highlight w:val="none"/>
                <w:lang w:val="en-US" w:eastAsia="zh-CN"/>
              </w:rPr>
              <w:t>⑴</w:t>
            </w:r>
            <w:r>
              <w:rPr>
                <w:rFonts w:hint="default" w:ascii="Times New Roman" w:hAnsi="Times New Roman" w:eastAsia="仿宋" w:cs="Times New Roman"/>
                <w:color w:val="auto"/>
                <w:sz w:val="24"/>
                <w:highlight w:val="none"/>
                <w:lang w:val="en-US" w:eastAsia="zh-CN"/>
              </w:rPr>
              <w:t>施工工艺</w:t>
            </w:r>
          </w:p>
          <w:p w14:paraId="38A9CE6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仿宋"/>
                <w:b/>
                <w:color w:val="000000"/>
                <w:sz w:val="24"/>
              </w:rPr>
            </w:pPr>
            <w:r>
              <w:rPr>
                <w:rFonts w:eastAsia="仿宋"/>
                <w:b/>
                <w:color w:val="000000"/>
                <w:sz w:val="24"/>
              </w:rPr>
              <w:object>
                <v:shape id="_x0000_i1027" o:spt="75" type="#_x0000_t75" style="height:76.4pt;width:395.4pt;" o:ole="t" filled="f" o:preferrelative="t" stroked="f" coordsize="21600,21600">
                  <v:path/>
                  <v:fill on="f" focussize="0,0"/>
                  <v:stroke on="f"/>
                  <v:imagedata r:id="rId12" o:title=""/>
                  <o:lock v:ext="edit" aspectratio="f"/>
                  <w10:wrap type="none"/>
                  <w10:anchorlock/>
                </v:shape>
                <o:OLEObject Type="Embed" ProgID="Visio.Drawing.11" ShapeID="_x0000_i1027" DrawAspect="Content" ObjectID="_1468075727" r:id="rId11">
                  <o:LockedField>false</o:LockedField>
                </o:OLEObject>
              </w:object>
            </w:r>
          </w:p>
          <w:p w14:paraId="6EC6377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eastAsia="仿宋" w:cs="Times New Roman"/>
                <w:b/>
                <w:bCs/>
                <w:color w:val="auto"/>
                <w:sz w:val="24"/>
                <w:highlight w:val="none"/>
                <w:lang w:val="en-US" w:eastAsia="zh-CN"/>
              </w:rPr>
            </w:pPr>
            <w:r>
              <w:rPr>
                <w:rFonts w:hint="default" w:ascii="Times New Roman" w:hAnsi="Times New Roman" w:eastAsia="仿宋" w:cs="Times New Roman"/>
                <w:b/>
                <w:bCs/>
                <w:color w:val="auto"/>
                <w:sz w:val="24"/>
                <w:szCs w:val="24"/>
                <w:highlight w:val="none"/>
                <w:lang w:val="en-US" w:eastAsia="zh-CN"/>
              </w:rPr>
              <w:t>图</w:t>
            </w:r>
            <w:r>
              <w:rPr>
                <w:rFonts w:hint="eastAsia" w:eastAsia="仿宋" w:cs="Times New Roman"/>
                <w:b/>
                <w:bCs/>
                <w:color w:val="auto"/>
                <w:sz w:val="24"/>
                <w:szCs w:val="24"/>
                <w:highlight w:val="none"/>
                <w:lang w:val="en-US" w:eastAsia="zh-CN"/>
              </w:rPr>
              <w:t>3</w:t>
            </w:r>
            <w:r>
              <w:rPr>
                <w:rFonts w:hint="default" w:ascii="Times New Roman" w:hAnsi="Times New Roman" w:eastAsia="仿宋" w:cs="Times New Roman"/>
                <w:b/>
                <w:bCs/>
                <w:color w:val="auto"/>
                <w:sz w:val="24"/>
                <w:szCs w:val="24"/>
                <w:highlight w:val="none"/>
                <w:lang w:val="en-US" w:eastAsia="zh-CN"/>
              </w:rPr>
              <w:t xml:space="preserve">   </w:t>
            </w:r>
            <w:r>
              <w:rPr>
                <w:rFonts w:hint="eastAsia" w:ascii="Times New Roman" w:hAnsi="Times New Roman" w:eastAsia="仿宋" w:cs="Times New Roman"/>
                <w:b/>
                <w:bCs/>
                <w:color w:val="auto"/>
                <w:sz w:val="24"/>
                <w:szCs w:val="24"/>
                <w:highlight w:val="none"/>
                <w:lang w:val="en-US" w:eastAsia="zh-CN"/>
              </w:rPr>
              <w:t>施工期工艺流程图及产排污节点图</w:t>
            </w:r>
          </w:p>
          <w:p w14:paraId="59A1D6F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⑵施工材料</w:t>
            </w:r>
          </w:p>
          <w:p w14:paraId="6CC4B9D7">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2"/>
              <w:textAlignment w:val="auto"/>
              <w:rPr>
                <w:rFonts w:eastAsia="仿宋"/>
                <w:color w:val="000000"/>
                <w:sz w:val="24"/>
              </w:rPr>
            </w:pPr>
            <w:r>
              <w:rPr>
                <w:rFonts w:eastAsia="仿宋"/>
                <w:color w:val="000000"/>
                <w:sz w:val="24"/>
              </w:rPr>
              <w:t>本项目砂、石</w:t>
            </w:r>
            <w:r>
              <w:rPr>
                <w:rFonts w:hint="eastAsia" w:eastAsia="仿宋"/>
                <w:color w:val="000000"/>
                <w:sz w:val="24"/>
                <w:lang w:eastAsia="zh-CN"/>
              </w:rPr>
              <w:t>、</w:t>
            </w:r>
            <w:r>
              <w:rPr>
                <w:rFonts w:hint="eastAsia" w:eastAsia="仿宋"/>
                <w:color w:val="000000"/>
                <w:sz w:val="24"/>
                <w:lang w:val="en-US" w:eastAsia="zh-CN"/>
              </w:rPr>
              <w:t>水泥等</w:t>
            </w:r>
            <w:r>
              <w:rPr>
                <w:rFonts w:eastAsia="仿宋"/>
                <w:color w:val="000000"/>
                <w:sz w:val="24"/>
              </w:rPr>
              <w:t>均外购，材料质量符合建材标准要求。本项目主要原材料用量见表</w:t>
            </w:r>
            <w:r>
              <w:rPr>
                <w:rFonts w:hint="eastAsia" w:eastAsia="仿宋"/>
                <w:color w:val="000000"/>
                <w:sz w:val="24"/>
                <w:lang w:val="en-US" w:eastAsia="zh-CN"/>
              </w:rPr>
              <w:t>17</w:t>
            </w:r>
            <w:r>
              <w:rPr>
                <w:rFonts w:eastAsia="仿宋"/>
                <w:color w:val="000000"/>
                <w:sz w:val="24"/>
              </w:rPr>
              <w:t>。</w:t>
            </w:r>
          </w:p>
          <w:p w14:paraId="6CD91F7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eastAsia="仿宋"/>
                <w:b/>
                <w:color w:val="000000"/>
                <w:kern w:val="0"/>
                <w:szCs w:val="21"/>
              </w:rPr>
            </w:pPr>
            <w:r>
              <w:rPr>
                <w:rFonts w:eastAsia="仿宋"/>
                <w:b/>
                <w:color w:val="000000"/>
                <w:kern w:val="0"/>
                <w:szCs w:val="21"/>
              </w:rPr>
              <w:t>表</w:t>
            </w:r>
            <w:r>
              <w:rPr>
                <w:rFonts w:hint="eastAsia" w:eastAsia="仿宋"/>
                <w:b/>
                <w:color w:val="000000"/>
                <w:kern w:val="0"/>
                <w:szCs w:val="21"/>
                <w:lang w:val="en-US" w:eastAsia="zh-CN"/>
              </w:rPr>
              <w:t>17</w:t>
            </w:r>
            <w:r>
              <w:rPr>
                <w:rFonts w:eastAsia="仿宋"/>
                <w:b/>
                <w:color w:val="000000"/>
                <w:kern w:val="0"/>
                <w:szCs w:val="21"/>
              </w:rPr>
              <w:t xml:space="preserve">  主要原材料用量</w:t>
            </w:r>
          </w:p>
          <w:tbl>
            <w:tblPr>
              <w:tblStyle w:val="23"/>
              <w:tblW w:w="4998"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2472"/>
              <w:gridCol w:w="1223"/>
              <w:gridCol w:w="2259"/>
              <w:gridCol w:w="1964"/>
            </w:tblGrid>
            <w:tr w14:paraId="5A94280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1561" w:type="pct"/>
                  <w:noWrap w:val="0"/>
                  <w:vAlign w:val="center"/>
                </w:tcPr>
                <w:p w14:paraId="7651A3F6">
                  <w:pPr>
                    <w:jc w:val="center"/>
                    <w:rPr>
                      <w:rFonts w:eastAsia="仿宋"/>
                      <w:color w:val="000000"/>
                      <w:szCs w:val="21"/>
                    </w:rPr>
                  </w:pPr>
                  <w:r>
                    <w:rPr>
                      <w:rFonts w:eastAsia="仿宋"/>
                      <w:color w:val="000000"/>
                      <w:szCs w:val="21"/>
                    </w:rPr>
                    <w:t>名称</w:t>
                  </w:r>
                </w:p>
              </w:tc>
              <w:tc>
                <w:tcPr>
                  <w:tcW w:w="772" w:type="pct"/>
                  <w:noWrap w:val="0"/>
                  <w:vAlign w:val="center"/>
                </w:tcPr>
                <w:p w14:paraId="3D19375A">
                  <w:pPr>
                    <w:jc w:val="center"/>
                    <w:rPr>
                      <w:rFonts w:eastAsia="仿宋"/>
                      <w:color w:val="000000"/>
                      <w:szCs w:val="21"/>
                    </w:rPr>
                  </w:pPr>
                  <w:r>
                    <w:rPr>
                      <w:rFonts w:eastAsia="仿宋"/>
                      <w:color w:val="000000"/>
                      <w:szCs w:val="21"/>
                    </w:rPr>
                    <w:t>单位</w:t>
                  </w:r>
                </w:p>
              </w:tc>
              <w:tc>
                <w:tcPr>
                  <w:tcW w:w="1426" w:type="pct"/>
                  <w:noWrap w:val="0"/>
                  <w:vAlign w:val="center"/>
                </w:tcPr>
                <w:p w14:paraId="5A72A4BA">
                  <w:pPr>
                    <w:jc w:val="center"/>
                    <w:rPr>
                      <w:rFonts w:eastAsia="仿宋"/>
                      <w:color w:val="000000"/>
                      <w:szCs w:val="21"/>
                    </w:rPr>
                  </w:pPr>
                  <w:r>
                    <w:rPr>
                      <w:rFonts w:eastAsia="仿宋"/>
                      <w:color w:val="000000"/>
                      <w:szCs w:val="21"/>
                    </w:rPr>
                    <w:t>数量</w:t>
                  </w:r>
                </w:p>
              </w:tc>
              <w:tc>
                <w:tcPr>
                  <w:tcW w:w="1240" w:type="pct"/>
                  <w:noWrap w:val="0"/>
                  <w:vAlign w:val="center"/>
                </w:tcPr>
                <w:p w14:paraId="7F2C9969">
                  <w:pPr>
                    <w:jc w:val="center"/>
                    <w:rPr>
                      <w:rFonts w:eastAsia="仿宋"/>
                      <w:color w:val="000000"/>
                      <w:szCs w:val="21"/>
                    </w:rPr>
                  </w:pPr>
                  <w:r>
                    <w:rPr>
                      <w:rFonts w:eastAsia="仿宋"/>
                      <w:color w:val="000000"/>
                      <w:szCs w:val="21"/>
                    </w:rPr>
                    <w:t>备注</w:t>
                  </w:r>
                </w:p>
              </w:tc>
            </w:tr>
            <w:tr w14:paraId="243C7F3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1561" w:type="pct"/>
                  <w:noWrap w:val="0"/>
                  <w:vAlign w:val="center"/>
                </w:tcPr>
                <w:p w14:paraId="45FB5853">
                  <w:pPr>
                    <w:jc w:val="center"/>
                    <w:rPr>
                      <w:rFonts w:eastAsia="仿宋"/>
                      <w:color w:val="000000"/>
                      <w:szCs w:val="21"/>
                    </w:rPr>
                  </w:pPr>
                  <w:r>
                    <w:rPr>
                      <w:rFonts w:eastAsia="仿宋"/>
                      <w:color w:val="000000"/>
                      <w:szCs w:val="21"/>
                    </w:rPr>
                    <w:t>碎石</w:t>
                  </w:r>
                </w:p>
              </w:tc>
              <w:tc>
                <w:tcPr>
                  <w:tcW w:w="772" w:type="pct"/>
                  <w:noWrap w:val="0"/>
                  <w:vAlign w:val="center"/>
                </w:tcPr>
                <w:p w14:paraId="55B401D3">
                  <w:pPr>
                    <w:jc w:val="center"/>
                    <w:rPr>
                      <w:rFonts w:eastAsia="仿宋"/>
                      <w:color w:val="000000"/>
                      <w:szCs w:val="21"/>
                    </w:rPr>
                  </w:pPr>
                  <w:r>
                    <w:rPr>
                      <w:rFonts w:eastAsia="仿宋"/>
                      <w:color w:val="000000"/>
                      <w:szCs w:val="21"/>
                    </w:rPr>
                    <w:t>m</w:t>
                  </w:r>
                  <w:r>
                    <w:rPr>
                      <w:rFonts w:eastAsia="仿宋"/>
                      <w:color w:val="000000"/>
                      <w:szCs w:val="21"/>
                      <w:vertAlign w:val="superscript"/>
                    </w:rPr>
                    <w:t>3</w:t>
                  </w:r>
                </w:p>
              </w:tc>
              <w:tc>
                <w:tcPr>
                  <w:tcW w:w="1426" w:type="pct"/>
                  <w:noWrap w:val="0"/>
                  <w:vAlign w:val="center"/>
                </w:tcPr>
                <w:p w14:paraId="065C3E08">
                  <w:pPr>
                    <w:jc w:val="center"/>
                    <w:rPr>
                      <w:rFonts w:hint="default" w:eastAsia="仿宋"/>
                      <w:color w:val="000000"/>
                      <w:szCs w:val="21"/>
                      <w:lang w:val="en-US" w:eastAsia="zh-CN"/>
                    </w:rPr>
                  </w:pPr>
                  <w:r>
                    <w:rPr>
                      <w:rFonts w:hint="eastAsia" w:eastAsia="仿宋"/>
                      <w:color w:val="000000"/>
                      <w:szCs w:val="21"/>
                      <w:lang w:val="en-US" w:eastAsia="zh-CN"/>
                    </w:rPr>
                    <w:t>750</w:t>
                  </w:r>
                </w:p>
              </w:tc>
              <w:tc>
                <w:tcPr>
                  <w:tcW w:w="1240" w:type="pct"/>
                  <w:noWrap w:val="0"/>
                  <w:vAlign w:val="center"/>
                </w:tcPr>
                <w:p w14:paraId="51AFAA84">
                  <w:pPr>
                    <w:jc w:val="center"/>
                    <w:rPr>
                      <w:rFonts w:eastAsia="仿宋"/>
                      <w:color w:val="000000"/>
                      <w:szCs w:val="21"/>
                    </w:rPr>
                  </w:pPr>
                  <w:r>
                    <w:rPr>
                      <w:rFonts w:eastAsia="仿宋"/>
                      <w:color w:val="000000"/>
                      <w:szCs w:val="21"/>
                    </w:rPr>
                    <w:t>外购</w:t>
                  </w:r>
                </w:p>
              </w:tc>
            </w:tr>
            <w:tr w14:paraId="544C6A9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1561" w:type="pct"/>
                  <w:noWrap w:val="0"/>
                  <w:vAlign w:val="center"/>
                </w:tcPr>
                <w:p w14:paraId="18FD0A6E">
                  <w:pPr>
                    <w:jc w:val="center"/>
                    <w:rPr>
                      <w:rFonts w:eastAsia="仿宋"/>
                      <w:color w:val="000000"/>
                      <w:szCs w:val="21"/>
                    </w:rPr>
                  </w:pPr>
                  <w:r>
                    <w:rPr>
                      <w:rFonts w:eastAsia="仿宋"/>
                      <w:color w:val="000000"/>
                      <w:szCs w:val="21"/>
                    </w:rPr>
                    <w:t>块石</w:t>
                  </w:r>
                </w:p>
              </w:tc>
              <w:tc>
                <w:tcPr>
                  <w:tcW w:w="772" w:type="pct"/>
                  <w:noWrap w:val="0"/>
                  <w:vAlign w:val="center"/>
                </w:tcPr>
                <w:p w14:paraId="465D8388">
                  <w:pPr>
                    <w:jc w:val="center"/>
                    <w:rPr>
                      <w:rFonts w:eastAsia="仿宋"/>
                      <w:color w:val="000000"/>
                      <w:szCs w:val="21"/>
                    </w:rPr>
                  </w:pPr>
                  <w:r>
                    <w:rPr>
                      <w:rFonts w:eastAsia="仿宋"/>
                      <w:color w:val="000000"/>
                      <w:szCs w:val="21"/>
                    </w:rPr>
                    <w:t>m</w:t>
                  </w:r>
                  <w:r>
                    <w:rPr>
                      <w:rFonts w:eastAsia="仿宋"/>
                      <w:color w:val="000000"/>
                      <w:szCs w:val="21"/>
                      <w:vertAlign w:val="superscript"/>
                    </w:rPr>
                    <w:t>3</w:t>
                  </w:r>
                </w:p>
              </w:tc>
              <w:tc>
                <w:tcPr>
                  <w:tcW w:w="1426" w:type="pct"/>
                  <w:noWrap w:val="0"/>
                  <w:vAlign w:val="center"/>
                </w:tcPr>
                <w:p w14:paraId="0297DC98">
                  <w:pPr>
                    <w:jc w:val="center"/>
                    <w:rPr>
                      <w:rFonts w:hint="default" w:eastAsia="仿宋"/>
                      <w:color w:val="000000"/>
                      <w:szCs w:val="21"/>
                      <w:lang w:val="en-US" w:eastAsia="zh-CN"/>
                    </w:rPr>
                  </w:pPr>
                  <w:r>
                    <w:rPr>
                      <w:rFonts w:hint="eastAsia" w:eastAsia="仿宋"/>
                      <w:color w:val="000000"/>
                      <w:szCs w:val="21"/>
                      <w:lang w:val="en-US" w:eastAsia="zh-CN"/>
                    </w:rPr>
                    <w:t>500</w:t>
                  </w:r>
                </w:p>
              </w:tc>
              <w:tc>
                <w:tcPr>
                  <w:tcW w:w="1240" w:type="pct"/>
                  <w:noWrap w:val="0"/>
                  <w:vAlign w:val="center"/>
                </w:tcPr>
                <w:p w14:paraId="3CD55051">
                  <w:pPr>
                    <w:jc w:val="center"/>
                    <w:rPr>
                      <w:rFonts w:eastAsia="仿宋"/>
                      <w:color w:val="000000"/>
                      <w:szCs w:val="21"/>
                    </w:rPr>
                  </w:pPr>
                  <w:r>
                    <w:rPr>
                      <w:rFonts w:eastAsia="仿宋"/>
                      <w:color w:val="000000"/>
                      <w:szCs w:val="21"/>
                    </w:rPr>
                    <w:t>外购</w:t>
                  </w:r>
                </w:p>
              </w:tc>
            </w:tr>
            <w:tr w14:paraId="0965AFA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1561" w:type="pct"/>
                  <w:noWrap w:val="0"/>
                  <w:vAlign w:val="center"/>
                </w:tcPr>
                <w:p w14:paraId="0AAF1ABE">
                  <w:pPr>
                    <w:jc w:val="center"/>
                    <w:rPr>
                      <w:rFonts w:eastAsia="仿宋"/>
                      <w:color w:val="000000"/>
                      <w:szCs w:val="21"/>
                    </w:rPr>
                  </w:pPr>
                  <w:r>
                    <w:rPr>
                      <w:rFonts w:eastAsia="仿宋"/>
                      <w:color w:val="000000"/>
                      <w:szCs w:val="21"/>
                    </w:rPr>
                    <w:t>水泥</w:t>
                  </w:r>
                </w:p>
              </w:tc>
              <w:tc>
                <w:tcPr>
                  <w:tcW w:w="772" w:type="pct"/>
                  <w:noWrap w:val="0"/>
                  <w:vAlign w:val="center"/>
                </w:tcPr>
                <w:p w14:paraId="35D2B83E">
                  <w:pPr>
                    <w:jc w:val="center"/>
                    <w:rPr>
                      <w:rFonts w:eastAsia="仿宋"/>
                      <w:color w:val="000000"/>
                      <w:szCs w:val="21"/>
                    </w:rPr>
                  </w:pPr>
                  <w:r>
                    <w:rPr>
                      <w:rFonts w:eastAsia="仿宋"/>
                      <w:color w:val="000000"/>
                      <w:szCs w:val="21"/>
                    </w:rPr>
                    <w:t>t</w:t>
                  </w:r>
                </w:p>
              </w:tc>
              <w:tc>
                <w:tcPr>
                  <w:tcW w:w="1426" w:type="pct"/>
                  <w:noWrap w:val="0"/>
                  <w:vAlign w:val="center"/>
                </w:tcPr>
                <w:p w14:paraId="13D5DBFC">
                  <w:pPr>
                    <w:jc w:val="center"/>
                    <w:rPr>
                      <w:rFonts w:hint="default" w:eastAsia="仿宋"/>
                      <w:color w:val="000000"/>
                      <w:szCs w:val="21"/>
                      <w:lang w:val="en-US"/>
                    </w:rPr>
                  </w:pPr>
                  <w:r>
                    <w:rPr>
                      <w:rFonts w:hint="eastAsia" w:eastAsia="仿宋"/>
                      <w:color w:val="000000"/>
                      <w:szCs w:val="21"/>
                      <w:lang w:val="en-US" w:eastAsia="zh-CN"/>
                    </w:rPr>
                    <w:t>28</w:t>
                  </w:r>
                </w:p>
              </w:tc>
              <w:tc>
                <w:tcPr>
                  <w:tcW w:w="1240" w:type="pct"/>
                  <w:noWrap w:val="0"/>
                  <w:vAlign w:val="center"/>
                </w:tcPr>
                <w:p w14:paraId="4123F1F6">
                  <w:pPr>
                    <w:jc w:val="center"/>
                    <w:rPr>
                      <w:rFonts w:eastAsia="仿宋"/>
                      <w:color w:val="000000"/>
                      <w:szCs w:val="21"/>
                    </w:rPr>
                  </w:pPr>
                  <w:r>
                    <w:rPr>
                      <w:rFonts w:eastAsia="仿宋"/>
                      <w:color w:val="000000"/>
                      <w:szCs w:val="21"/>
                    </w:rPr>
                    <w:t>外购</w:t>
                  </w:r>
                </w:p>
              </w:tc>
            </w:tr>
            <w:tr w14:paraId="6F3BD57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trPr>
              <w:tc>
                <w:tcPr>
                  <w:tcW w:w="1561" w:type="pct"/>
                  <w:noWrap w:val="0"/>
                  <w:vAlign w:val="center"/>
                </w:tcPr>
                <w:p w14:paraId="722F565B">
                  <w:pPr>
                    <w:jc w:val="center"/>
                    <w:rPr>
                      <w:rFonts w:hint="eastAsia" w:eastAsia="仿宋"/>
                      <w:color w:val="000000"/>
                      <w:szCs w:val="21"/>
                      <w:lang w:val="en-US" w:eastAsia="zh-CN"/>
                    </w:rPr>
                  </w:pPr>
                  <w:r>
                    <w:rPr>
                      <w:rFonts w:hint="eastAsia" w:eastAsia="仿宋"/>
                      <w:color w:val="000000"/>
                      <w:szCs w:val="21"/>
                      <w:lang w:val="en-US" w:eastAsia="zh-CN"/>
                    </w:rPr>
                    <w:t>钢筋</w:t>
                  </w:r>
                </w:p>
              </w:tc>
              <w:tc>
                <w:tcPr>
                  <w:tcW w:w="772" w:type="pct"/>
                  <w:noWrap w:val="0"/>
                  <w:vAlign w:val="center"/>
                </w:tcPr>
                <w:p w14:paraId="4BAB4265">
                  <w:pPr>
                    <w:jc w:val="center"/>
                    <w:rPr>
                      <w:rFonts w:hint="eastAsia" w:eastAsia="仿宋"/>
                      <w:color w:val="000000"/>
                      <w:szCs w:val="21"/>
                      <w:lang w:val="en-US" w:eastAsia="zh-CN"/>
                    </w:rPr>
                  </w:pPr>
                  <w:r>
                    <w:rPr>
                      <w:rFonts w:hint="eastAsia" w:eastAsia="仿宋"/>
                      <w:color w:val="000000"/>
                      <w:szCs w:val="21"/>
                      <w:lang w:val="en-US" w:eastAsia="zh-CN"/>
                    </w:rPr>
                    <w:t>t</w:t>
                  </w:r>
                </w:p>
              </w:tc>
              <w:tc>
                <w:tcPr>
                  <w:tcW w:w="1426" w:type="pct"/>
                  <w:noWrap w:val="0"/>
                  <w:vAlign w:val="center"/>
                </w:tcPr>
                <w:p w14:paraId="19B1DFDC">
                  <w:pPr>
                    <w:jc w:val="center"/>
                    <w:rPr>
                      <w:rFonts w:hint="default" w:eastAsia="仿宋"/>
                      <w:color w:val="000000"/>
                      <w:szCs w:val="21"/>
                      <w:lang w:val="en-US" w:eastAsia="zh-CN"/>
                    </w:rPr>
                  </w:pPr>
                  <w:r>
                    <w:rPr>
                      <w:rFonts w:hint="eastAsia" w:eastAsia="仿宋"/>
                      <w:color w:val="000000"/>
                      <w:szCs w:val="21"/>
                      <w:lang w:val="en-US" w:eastAsia="zh-CN"/>
                    </w:rPr>
                    <w:t>80</w:t>
                  </w:r>
                </w:p>
              </w:tc>
              <w:tc>
                <w:tcPr>
                  <w:tcW w:w="1240" w:type="pct"/>
                  <w:noWrap w:val="0"/>
                  <w:vAlign w:val="center"/>
                </w:tcPr>
                <w:p w14:paraId="295BCFC8">
                  <w:pPr>
                    <w:jc w:val="center"/>
                    <w:rPr>
                      <w:rFonts w:eastAsia="仿宋"/>
                      <w:color w:val="000000"/>
                      <w:szCs w:val="21"/>
                    </w:rPr>
                  </w:pPr>
                  <w:r>
                    <w:rPr>
                      <w:rFonts w:eastAsia="仿宋"/>
                      <w:color w:val="000000"/>
                      <w:szCs w:val="21"/>
                    </w:rPr>
                    <w:t>外购</w:t>
                  </w:r>
                </w:p>
              </w:tc>
            </w:tr>
          </w:tbl>
          <w:p w14:paraId="4FD3BC45">
            <w:pPr>
              <w:keepNext w:val="0"/>
              <w:keepLines w:val="0"/>
              <w:pageBreakBefore w:val="0"/>
              <w:widowControl/>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微软雅黑" w:cs="Times New Roman"/>
                <w:color w:val="auto"/>
                <w:sz w:val="24"/>
                <w:highlight w:val="none"/>
                <w:lang w:val="en-US" w:eastAsia="zh-CN"/>
              </w:rPr>
              <w:t>⑶</w:t>
            </w:r>
            <w:r>
              <w:rPr>
                <w:rFonts w:hint="default" w:ascii="Times New Roman" w:hAnsi="Times New Roman" w:eastAsia="仿宋" w:cs="Times New Roman"/>
                <w:color w:val="auto"/>
                <w:sz w:val="24"/>
                <w:highlight w:val="none"/>
                <w:lang w:val="en-US" w:eastAsia="zh-CN"/>
              </w:rPr>
              <w:t>施工主要机械设备</w:t>
            </w:r>
          </w:p>
          <w:p w14:paraId="7E5EC3E8">
            <w:pPr>
              <w:autoSpaceDE w:val="0"/>
              <w:autoSpaceDN w:val="0"/>
              <w:adjustRightInd w:val="0"/>
              <w:snapToGrid w:val="0"/>
              <w:spacing w:line="360" w:lineRule="auto"/>
              <w:ind w:firstLine="480" w:firstLineChars="200"/>
              <w:jc w:val="left"/>
              <w:rPr>
                <w:rFonts w:eastAsia="仿宋"/>
                <w:color w:val="000000"/>
                <w:sz w:val="24"/>
              </w:rPr>
            </w:pPr>
            <w:r>
              <w:rPr>
                <w:rFonts w:eastAsia="仿宋"/>
                <w:color w:val="000000"/>
                <w:sz w:val="24"/>
              </w:rPr>
              <w:t>本项目施工期所需的设备主要包括推土机、装载机、挖掘机等机械设备，施工主要机械设备见表</w:t>
            </w:r>
            <w:r>
              <w:rPr>
                <w:rFonts w:hint="eastAsia" w:eastAsia="仿宋"/>
                <w:color w:val="000000"/>
                <w:sz w:val="24"/>
                <w:lang w:val="en-US" w:eastAsia="zh-CN"/>
              </w:rPr>
              <w:t>18</w:t>
            </w:r>
            <w:r>
              <w:rPr>
                <w:rFonts w:eastAsia="仿宋"/>
                <w:color w:val="000000"/>
                <w:sz w:val="24"/>
              </w:rPr>
              <w:t>。</w:t>
            </w:r>
          </w:p>
          <w:p w14:paraId="0E11364A">
            <w:pPr>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hAnsi="Times New Roman" w:eastAsia="仿宋" w:cs="Times New Roman"/>
                <w:b/>
                <w:color w:val="000000"/>
                <w:kern w:val="0"/>
                <w:szCs w:val="21"/>
              </w:rPr>
            </w:pPr>
          </w:p>
          <w:p w14:paraId="09928B68">
            <w:pPr>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hAnsi="Times New Roman" w:eastAsia="仿宋" w:cs="Times New Roman"/>
                <w:b/>
                <w:color w:val="000000"/>
                <w:kern w:val="0"/>
                <w:szCs w:val="21"/>
              </w:rPr>
            </w:pPr>
            <w:r>
              <w:rPr>
                <w:rFonts w:ascii="Times New Roman" w:hAnsi="Times New Roman" w:eastAsia="仿宋" w:cs="Times New Roman"/>
                <w:b/>
                <w:color w:val="000000"/>
                <w:kern w:val="0"/>
                <w:szCs w:val="21"/>
              </w:rPr>
              <w:t>表</w:t>
            </w:r>
            <w:r>
              <w:rPr>
                <w:rFonts w:hint="eastAsia" w:eastAsia="仿宋" w:cs="Times New Roman"/>
                <w:b/>
                <w:color w:val="000000"/>
                <w:kern w:val="0"/>
                <w:szCs w:val="21"/>
                <w:lang w:val="en-US" w:eastAsia="zh-CN"/>
              </w:rPr>
              <w:t>18</w:t>
            </w:r>
            <w:r>
              <w:rPr>
                <w:rFonts w:ascii="Times New Roman" w:hAnsi="Times New Roman" w:eastAsia="仿宋" w:cs="Times New Roman"/>
                <w:b/>
                <w:color w:val="000000"/>
                <w:kern w:val="0"/>
                <w:szCs w:val="21"/>
              </w:rPr>
              <w:t xml:space="preserve">  施工主要机械设备一览表</w:t>
            </w:r>
          </w:p>
          <w:tbl>
            <w:tblPr>
              <w:tblStyle w:val="23"/>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87"/>
              <w:gridCol w:w="2160"/>
              <w:gridCol w:w="1949"/>
              <w:gridCol w:w="1601"/>
              <w:gridCol w:w="1521"/>
            </w:tblGrid>
            <w:tr w14:paraId="198EA1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33" w:type="pct"/>
                  <w:noWrap w:val="0"/>
                  <w:vAlign w:val="center"/>
                </w:tcPr>
                <w:p w14:paraId="18BAEA38">
                  <w:pPr>
                    <w:tabs>
                      <w:tab w:val="left" w:pos="2010"/>
                    </w:tabs>
                    <w:jc w:val="center"/>
                    <w:rPr>
                      <w:rFonts w:eastAsia="仿宋"/>
                      <w:color w:val="000000"/>
                      <w:szCs w:val="21"/>
                    </w:rPr>
                  </w:pPr>
                  <w:r>
                    <w:rPr>
                      <w:rFonts w:eastAsia="仿宋"/>
                      <w:color w:val="000000"/>
                      <w:szCs w:val="21"/>
                    </w:rPr>
                    <w:t>序号</w:t>
                  </w:r>
                </w:p>
              </w:tc>
              <w:tc>
                <w:tcPr>
                  <w:tcW w:w="1363" w:type="pct"/>
                  <w:noWrap w:val="0"/>
                  <w:vAlign w:val="center"/>
                </w:tcPr>
                <w:p w14:paraId="3B52560A">
                  <w:pPr>
                    <w:tabs>
                      <w:tab w:val="left" w:pos="2010"/>
                    </w:tabs>
                    <w:jc w:val="center"/>
                    <w:rPr>
                      <w:rFonts w:eastAsia="仿宋"/>
                      <w:color w:val="000000"/>
                      <w:szCs w:val="21"/>
                    </w:rPr>
                  </w:pPr>
                  <w:r>
                    <w:rPr>
                      <w:rFonts w:eastAsia="仿宋"/>
                      <w:color w:val="000000"/>
                      <w:szCs w:val="21"/>
                    </w:rPr>
                    <w:t>项目</w:t>
                  </w:r>
                </w:p>
              </w:tc>
              <w:tc>
                <w:tcPr>
                  <w:tcW w:w="1230" w:type="pct"/>
                  <w:noWrap w:val="0"/>
                  <w:vAlign w:val="center"/>
                </w:tcPr>
                <w:p w14:paraId="0725FEAE">
                  <w:pPr>
                    <w:tabs>
                      <w:tab w:val="left" w:pos="2010"/>
                    </w:tabs>
                    <w:jc w:val="center"/>
                    <w:rPr>
                      <w:rFonts w:eastAsia="仿宋"/>
                      <w:color w:val="000000"/>
                      <w:szCs w:val="21"/>
                    </w:rPr>
                  </w:pPr>
                  <w:r>
                    <w:rPr>
                      <w:rFonts w:eastAsia="仿宋"/>
                      <w:color w:val="000000"/>
                      <w:szCs w:val="21"/>
                    </w:rPr>
                    <w:t>规格及型号</w:t>
                  </w:r>
                </w:p>
              </w:tc>
              <w:tc>
                <w:tcPr>
                  <w:tcW w:w="1010" w:type="pct"/>
                  <w:noWrap w:val="0"/>
                  <w:vAlign w:val="center"/>
                </w:tcPr>
                <w:p w14:paraId="153281E1">
                  <w:pPr>
                    <w:tabs>
                      <w:tab w:val="left" w:pos="2010"/>
                    </w:tabs>
                    <w:jc w:val="center"/>
                    <w:rPr>
                      <w:rFonts w:eastAsia="仿宋"/>
                      <w:color w:val="000000"/>
                      <w:szCs w:val="21"/>
                    </w:rPr>
                  </w:pPr>
                  <w:r>
                    <w:rPr>
                      <w:rFonts w:eastAsia="仿宋"/>
                      <w:color w:val="000000"/>
                      <w:szCs w:val="21"/>
                    </w:rPr>
                    <w:t>单位</w:t>
                  </w:r>
                </w:p>
              </w:tc>
              <w:tc>
                <w:tcPr>
                  <w:tcW w:w="960" w:type="pct"/>
                  <w:noWrap w:val="0"/>
                  <w:vAlign w:val="center"/>
                </w:tcPr>
                <w:p w14:paraId="21945D43">
                  <w:pPr>
                    <w:tabs>
                      <w:tab w:val="left" w:pos="2010"/>
                    </w:tabs>
                    <w:jc w:val="center"/>
                    <w:rPr>
                      <w:rFonts w:eastAsia="仿宋"/>
                      <w:color w:val="000000"/>
                      <w:szCs w:val="21"/>
                    </w:rPr>
                  </w:pPr>
                  <w:r>
                    <w:rPr>
                      <w:rFonts w:eastAsia="仿宋"/>
                      <w:color w:val="000000"/>
                      <w:szCs w:val="21"/>
                    </w:rPr>
                    <w:t>数量</w:t>
                  </w:r>
                </w:p>
              </w:tc>
            </w:tr>
            <w:tr w14:paraId="788F95D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33" w:type="pct"/>
                  <w:noWrap w:val="0"/>
                  <w:vAlign w:val="center"/>
                </w:tcPr>
                <w:p w14:paraId="4CC3630C">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1</w:t>
                  </w:r>
                </w:p>
              </w:tc>
              <w:tc>
                <w:tcPr>
                  <w:tcW w:w="1363" w:type="pct"/>
                  <w:noWrap w:val="0"/>
                  <w:vAlign w:val="center"/>
                </w:tcPr>
                <w:p w14:paraId="75FA8DDC">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装载机</w:t>
                  </w:r>
                </w:p>
              </w:tc>
              <w:tc>
                <w:tcPr>
                  <w:tcW w:w="1230" w:type="pct"/>
                  <w:noWrap w:val="0"/>
                  <w:vAlign w:val="center"/>
                </w:tcPr>
                <w:p w14:paraId="53BA5648">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w:t>
                  </w:r>
                </w:p>
              </w:tc>
              <w:tc>
                <w:tcPr>
                  <w:tcW w:w="1010" w:type="pct"/>
                  <w:noWrap w:val="0"/>
                  <w:vAlign w:val="center"/>
                </w:tcPr>
                <w:p w14:paraId="0EB3AFA5">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辆</w:t>
                  </w:r>
                </w:p>
              </w:tc>
              <w:tc>
                <w:tcPr>
                  <w:tcW w:w="960" w:type="pct"/>
                  <w:noWrap w:val="0"/>
                  <w:vAlign w:val="center"/>
                </w:tcPr>
                <w:p w14:paraId="53419635">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2</w:t>
                  </w:r>
                </w:p>
              </w:tc>
            </w:tr>
            <w:tr w14:paraId="042E64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33" w:type="pct"/>
                  <w:noWrap w:val="0"/>
                  <w:vAlign w:val="center"/>
                </w:tcPr>
                <w:p w14:paraId="5D40972D">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2</w:t>
                  </w:r>
                </w:p>
              </w:tc>
              <w:tc>
                <w:tcPr>
                  <w:tcW w:w="1363" w:type="pct"/>
                  <w:noWrap w:val="0"/>
                  <w:vAlign w:val="center"/>
                </w:tcPr>
                <w:p w14:paraId="4DA9CA51">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推土机</w:t>
                  </w:r>
                </w:p>
              </w:tc>
              <w:tc>
                <w:tcPr>
                  <w:tcW w:w="1230" w:type="pct"/>
                  <w:noWrap w:val="0"/>
                  <w:vAlign w:val="center"/>
                </w:tcPr>
                <w:p w14:paraId="75CB24A7">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w:t>
                  </w:r>
                </w:p>
              </w:tc>
              <w:tc>
                <w:tcPr>
                  <w:tcW w:w="1010" w:type="pct"/>
                  <w:noWrap w:val="0"/>
                  <w:vAlign w:val="center"/>
                </w:tcPr>
                <w:p w14:paraId="6A34247F">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辆</w:t>
                  </w:r>
                </w:p>
              </w:tc>
              <w:tc>
                <w:tcPr>
                  <w:tcW w:w="960" w:type="pct"/>
                  <w:noWrap w:val="0"/>
                  <w:vAlign w:val="center"/>
                </w:tcPr>
                <w:p w14:paraId="6BEAF728">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2</w:t>
                  </w:r>
                </w:p>
              </w:tc>
            </w:tr>
            <w:tr w14:paraId="47B6AD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433" w:type="pct"/>
                  <w:noWrap w:val="0"/>
                  <w:vAlign w:val="center"/>
                </w:tcPr>
                <w:p w14:paraId="4F829410">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3</w:t>
                  </w:r>
                </w:p>
              </w:tc>
              <w:tc>
                <w:tcPr>
                  <w:tcW w:w="1363" w:type="pct"/>
                  <w:noWrap w:val="0"/>
                  <w:vAlign w:val="center"/>
                </w:tcPr>
                <w:p w14:paraId="7681398B">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挖掘机</w:t>
                  </w:r>
                </w:p>
              </w:tc>
              <w:tc>
                <w:tcPr>
                  <w:tcW w:w="1230" w:type="pct"/>
                  <w:noWrap w:val="0"/>
                  <w:vAlign w:val="center"/>
                </w:tcPr>
                <w:p w14:paraId="270E6A84">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w:t>
                  </w:r>
                </w:p>
              </w:tc>
              <w:tc>
                <w:tcPr>
                  <w:tcW w:w="1010" w:type="pct"/>
                  <w:noWrap w:val="0"/>
                  <w:vAlign w:val="top"/>
                </w:tcPr>
                <w:p w14:paraId="75AE3BFA">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台</w:t>
                  </w:r>
                </w:p>
              </w:tc>
              <w:tc>
                <w:tcPr>
                  <w:tcW w:w="960" w:type="pct"/>
                  <w:noWrap w:val="0"/>
                  <w:vAlign w:val="center"/>
                </w:tcPr>
                <w:p w14:paraId="75AB982D">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4</w:t>
                  </w:r>
                </w:p>
              </w:tc>
            </w:tr>
            <w:tr w14:paraId="2C01651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33" w:type="pct"/>
                  <w:noWrap w:val="0"/>
                  <w:vAlign w:val="center"/>
                </w:tcPr>
                <w:p w14:paraId="5C8BD668">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4</w:t>
                  </w:r>
                </w:p>
              </w:tc>
              <w:tc>
                <w:tcPr>
                  <w:tcW w:w="1363" w:type="pct"/>
                  <w:noWrap w:val="0"/>
                  <w:vAlign w:val="center"/>
                </w:tcPr>
                <w:p w14:paraId="45F1AE74">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运输车</w:t>
                  </w:r>
                </w:p>
              </w:tc>
              <w:tc>
                <w:tcPr>
                  <w:tcW w:w="1230" w:type="pct"/>
                  <w:noWrap w:val="0"/>
                  <w:vAlign w:val="center"/>
                </w:tcPr>
                <w:p w14:paraId="25656173">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w:t>
                  </w:r>
                </w:p>
              </w:tc>
              <w:tc>
                <w:tcPr>
                  <w:tcW w:w="1010" w:type="pct"/>
                  <w:noWrap w:val="0"/>
                  <w:vAlign w:val="top"/>
                </w:tcPr>
                <w:p w14:paraId="78D57559">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台</w:t>
                  </w:r>
                </w:p>
              </w:tc>
              <w:tc>
                <w:tcPr>
                  <w:tcW w:w="960" w:type="pct"/>
                  <w:noWrap w:val="0"/>
                  <w:vAlign w:val="center"/>
                </w:tcPr>
                <w:p w14:paraId="3AF14676">
                  <w:pPr>
                    <w:jc w:val="center"/>
                    <w:rPr>
                      <w:rFonts w:hint="eastAsia"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1</w:t>
                  </w:r>
                </w:p>
              </w:tc>
            </w:tr>
          </w:tbl>
          <w:p w14:paraId="350FD232">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⑷</w:t>
            </w:r>
            <w:r>
              <w:rPr>
                <w:rFonts w:hint="eastAsia" w:ascii="Times New Roman" w:hAnsi="Times New Roman" w:eastAsia="仿宋" w:cs="Times New Roman"/>
                <w:color w:val="000000"/>
                <w:sz w:val="24"/>
                <w:lang w:val="en-US" w:eastAsia="zh-CN"/>
              </w:rPr>
              <w:t>主要产排污环节</w:t>
            </w:r>
          </w:p>
          <w:p w14:paraId="0BB5E19D">
            <w:pPr>
              <w:adjustRightInd w:val="0"/>
              <w:snapToGrid w:val="0"/>
              <w:spacing w:line="360" w:lineRule="auto"/>
              <w:ind w:firstLine="480" w:firstLineChars="200"/>
              <w:jc w:val="both"/>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lang w:val="en-US" w:eastAsia="zh-CN"/>
              </w:rPr>
              <w:t xml:space="preserve">⑴废气 </w:t>
            </w:r>
          </w:p>
          <w:p w14:paraId="2934CE27">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lang w:val="en-US" w:eastAsia="zh-CN"/>
              </w:rPr>
              <w:t xml:space="preserve">施工期废气主要为土石方开挖、施工建材运输及施工过程中产生的施工扬尘和施工机械尾气。 </w:t>
            </w:r>
          </w:p>
          <w:p w14:paraId="5171373A">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lang w:val="en-US" w:eastAsia="zh-CN"/>
              </w:rPr>
              <w:t xml:space="preserve">⑵废水 </w:t>
            </w:r>
          </w:p>
          <w:p w14:paraId="0292F0D0">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lang w:val="en-US" w:eastAsia="zh-CN"/>
              </w:rPr>
              <w:t xml:space="preserve">施工期废水主要为建筑施工废水和施工人员产生的生活污水。 </w:t>
            </w:r>
          </w:p>
          <w:p w14:paraId="728EC243">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lang w:val="en-US" w:eastAsia="zh-CN"/>
              </w:rPr>
              <w:t xml:space="preserve">⑶噪声 </w:t>
            </w:r>
          </w:p>
          <w:p w14:paraId="0C74CD7C">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lang w:val="en-US" w:eastAsia="zh-CN"/>
              </w:rPr>
              <w:t xml:space="preserve">施工期噪声主要来源于施工机械噪声和施工运输车辆产生的交通噪声。 </w:t>
            </w:r>
          </w:p>
          <w:p w14:paraId="4E35755D">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lang w:val="en-US" w:eastAsia="zh-CN"/>
              </w:rPr>
              <w:t xml:space="preserve">⑷固体废物 </w:t>
            </w:r>
          </w:p>
          <w:p w14:paraId="3E781480">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lang w:val="en-US" w:eastAsia="zh-CN"/>
              </w:rPr>
              <w:t>施工期固体废物主要为施工人员产生的生活垃圾和建筑垃圾，建筑垃圾包括废建材、土石方及废包装材料。</w:t>
            </w:r>
          </w:p>
          <w:p w14:paraId="1391481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eastAsia" w:eastAsia="仿宋"/>
                <w:b/>
                <w:color w:val="000000" w:themeColor="text1"/>
                <w:sz w:val="24"/>
                <w:lang w:eastAsia="zh-CN"/>
                <w14:textFill>
                  <w14:solidFill>
                    <w14:schemeClr w14:val="tx1"/>
                  </w14:solidFill>
                </w14:textFill>
              </w:rPr>
            </w:pPr>
            <w:r>
              <w:rPr>
                <w:rFonts w:hint="eastAsia" w:eastAsia="仿宋" w:cs="Times New Roman"/>
                <w:b/>
                <w:color w:val="000000" w:themeColor="text1"/>
                <w:kern w:val="2"/>
                <w:sz w:val="24"/>
                <w:szCs w:val="24"/>
                <w:lang w:val="en-US" w:eastAsia="zh-CN" w:bidi="ar-SA"/>
                <w14:textFill>
                  <w14:solidFill>
                    <w14:schemeClr w14:val="tx1"/>
                  </w14:solidFill>
                </w14:textFill>
              </w:rPr>
              <w:t>2.</w:t>
            </w:r>
            <w:r>
              <w:rPr>
                <w:rFonts w:eastAsia="仿宋"/>
                <w:b/>
                <w:color w:val="000000" w:themeColor="text1"/>
                <w:sz w:val="24"/>
                <w14:textFill>
                  <w14:solidFill>
                    <w14:schemeClr w14:val="tx1"/>
                  </w14:solidFill>
                </w14:textFill>
              </w:rPr>
              <w:t>运营期工艺流程</w:t>
            </w:r>
          </w:p>
          <w:p w14:paraId="719F527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lang w:val="en-US" w:eastAsia="zh-CN"/>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⑴矿区开采</w:t>
            </w:r>
          </w:p>
          <w:p w14:paraId="5EFC8BBF">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剥离→穿孔→装药→爆破→液压捣锤</w:t>
            </w:r>
            <w:r>
              <w:rPr>
                <w:rFonts w:hint="eastAsia" w:eastAsia="仿宋" w:cs="Times New Roman"/>
                <w:color w:val="000000"/>
                <w:sz w:val="24"/>
                <w:lang w:val="en-US" w:eastAsia="zh-CN"/>
              </w:rPr>
              <w:t>二次</w:t>
            </w:r>
            <w:r>
              <w:rPr>
                <w:rFonts w:hint="default" w:ascii="Times New Roman" w:hAnsi="Times New Roman" w:eastAsia="仿宋" w:cs="Times New Roman"/>
                <w:color w:val="000000"/>
                <w:sz w:val="24"/>
                <w:lang w:val="en-US" w:eastAsia="zh-CN"/>
              </w:rPr>
              <w:t>破碎→机械倒运和铲装→汽车公路运输。</w:t>
            </w:r>
          </w:p>
          <w:p w14:paraId="6B086A96">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①剥离</w:t>
            </w:r>
            <w:r>
              <w:rPr>
                <w:rFonts w:hint="eastAsia" w:eastAsia="仿宋" w:cs="Times New Roman"/>
                <w:color w:val="000000"/>
                <w:sz w:val="24"/>
                <w:lang w:val="en-US" w:eastAsia="zh-CN"/>
              </w:rPr>
              <w:t>清表</w:t>
            </w:r>
          </w:p>
          <w:p w14:paraId="06F6183A">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eastAsia" w:eastAsia="仿宋" w:cs="Times New Roman"/>
                <w:color w:val="000000"/>
                <w:sz w:val="24"/>
                <w:lang w:val="en-US" w:eastAsia="zh-CN"/>
              </w:rPr>
              <w:t>矿山开采前使用挖掘机进行表土剥离和剥离矿体上下盘形成的废石，剥离的表土和废石通过运输车辆转运至排土场，后期用于矿山生态恢复。</w:t>
            </w:r>
          </w:p>
          <w:p w14:paraId="01342F5D">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②穿孔爆破</w:t>
            </w:r>
            <w:r>
              <w:rPr>
                <w:rFonts w:hint="eastAsia" w:ascii="Times New Roman" w:hAnsi="Times New Roman" w:eastAsia="仿宋" w:cs="Times New Roman"/>
                <w:color w:val="000000"/>
                <w:sz w:val="24"/>
                <w:lang w:val="en-US" w:eastAsia="zh-CN"/>
              </w:rPr>
              <w:t>及</w:t>
            </w:r>
            <w:r>
              <w:rPr>
                <w:rFonts w:hint="default" w:ascii="Times New Roman" w:hAnsi="Times New Roman" w:eastAsia="仿宋" w:cs="Times New Roman"/>
                <w:color w:val="000000"/>
                <w:sz w:val="24"/>
                <w:lang w:val="en-US" w:eastAsia="zh-CN"/>
              </w:rPr>
              <w:t>液压捣锤破碎</w:t>
            </w:r>
          </w:p>
          <w:p w14:paraId="47366B16">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本矿山委托当地民爆公司承担爆破作业，矿山不建设爆破器材库。为降低大块产出率，改善爆破质量，爆破采用深孔爆破。大块矿石采用</w:t>
            </w:r>
            <w:r>
              <w:rPr>
                <w:rFonts w:hint="eastAsia" w:eastAsia="仿宋" w:cs="Times New Roman"/>
                <w:color w:val="000000"/>
                <w:sz w:val="24"/>
                <w:lang w:val="en-US" w:eastAsia="zh-CN"/>
              </w:rPr>
              <w:t>挖掘机</w:t>
            </w:r>
            <w:r>
              <w:rPr>
                <w:rFonts w:hint="default" w:ascii="Times New Roman" w:hAnsi="Times New Roman" w:eastAsia="仿宋" w:cs="Times New Roman"/>
                <w:color w:val="000000"/>
                <w:sz w:val="24"/>
                <w:lang w:val="en-US" w:eastAsia="zh-CN"/>
              </w:rPr>
              <w:t>液压锤破碎法进行</w:t>
            </w:r>
            <w:r>
              <w:rPr>
                <w:rFonts w:hint="eastAsia" w:eastAsia="仿宋" w:cs="Times New Roman"/>
                <w:color w:val="000000"/>
                <w:sz w:val="24"/>
                <w:lang w:val="en-US" w:eastAsia="zh-CN"/>
              </w:rPr>
              <w:t>二次</w:t>
            </w:r>
            <w:r>
              <w:rPr>
                <w:rFonts w:hint="default" w:ascii="Times New Roman" w:hAnsi="Times New Roman" w:eastAsia="仿宋" w:cs="Times New Roman"/>
                <w:color w:val="000000"/>
                <w:sz w:val="24"/>
                <w:lang w:val="en-US" w:eastAsia="zh-CN"/>
              </w:rPr>
              <w:t>破碎，</w:t>
            </w:r>
            <w:r>
              <w:rPr>
                <w:rFonts w:hint="eastAsia" w:eastAsia="仿宋" w:cs="Times New Roman"/>
                <w:color w:val="000000"/>
                <w:sz w:val="24"/>
                <w:lang w:val="en-US" w:eastAsia="zh-CN"/>
              </w:rPr>
              <w:t>破碎成约粒径20-50cm的石料，</w:t>
            </w:r>
            <w:r>
              <w:rPr>
                <w:rFonts w:hint="default" w:ascii="Times New Roman" w:hAnsi="Times New Roman" w:eastAsia="仿宋" w:cs="Times New Roman"/>
                <w:color w:val="000000"/>
                <w:sz w:val="24"/>
                <w:lang w:val="en-US" w:eastAsia="zh-CN"/>
              </w:rPr>
              <w:t>不再进行二次爆破。</w:t>
            </w:r>
          </w:p>
          <w:p w14:paraId="17A8F10F">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③机械倒运和铲装</w:t>
            </w:r>
          </w:p>
          <w:p w14:paraId="1A3AF761">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本矿山采装工作的主要设备是装载机械。选用挖掘机、装载机等进行采装。</w:t>
            </w:r>
          </w:p>
          <w:p w14:paraId="4D7A8C5C">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④开拓运输</w:t>
            </w:r>
          </w:p>
          <w:p w14:paraId="435E3DEF">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采场内矿石由装载机铲装后，采用汽车</w:t>
            </w:r>
            <w:r>
              <w:rPr>
                <w:rFonts w:hint="eastAsia" w:eastAsia="仿宋" w:cs="Times New Roman"/>
                <w:color w:val="000000"/>
                <w:sz w:val="24"/>
                <w:lang w:val="en-US" w:eastAsia="zh-CN"/>
              </w:rPr>
              <w:t>运输至破碎场</w:t>
            </w:r>
            <w:r>
              <w:rPr>
                <w:rFonts w:hint="default" w:ascii="Times New Roman" w:hAnsi="Times New Roman" w:eastAsia="仿宋" w:cs="Times New Roman"/>
                <w:color w:val="000000"/>
                <w:sz w:val="24"/>
                <w:lang w:val="en-US" w:eastAsia="zh-CN"/>
              </w:rPr>
              <w:t>。</w:t>
            </w:r>
          </w:p>
          <w:p w14:paraId="7ADF79B8">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本项目采场范围内不设置石料堆场，开采出来的石料直接拉运至破碎场进行加工。</w:t>
            </w:r>
          </w:p>
          <w:p w14:paraId="4695F56C">
            <w:pPr>
              <w:autoSpaceDE w:val="0"/>
              <w:autoSpaceDN w:val="0"/>
              <w:adjustRightInd w:val="0"/>
              <w:snapToGrid w:val="0"/>
              <w:spacing w:line="360" w:lineRule="auto"/>
              <w:ind w:firstLine="480" w:firstLineChars="200"/>
              <w:jc w:val="both"/>
              <w:rPr>
                <w:rFonts w:hint="default" w:ascii="Times New Roman" w:hAnsi="Times New Roman" w:eastAsia="仿宋" w:cs="Times New Roman"/>
                <w:color w:val="000000" w:themeColor="text1"/>
                <w:sz w:val="24"/>
                <w:lang w:val="en-US" w:eastAsia="zh-CN"/>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⑵</w:t>
            </w:r>
            <w:r>
              <w:rPr>
                <w:rFonts w:hint="eastAsia" w:ascii="Times New Roman" w:hAnsi="Times New Roman" w:eastAsia="仿宋" w:cs="Times New Roman"/>
                <w:color w:val="000000" w:themeColor="text1"/>
                <w:sz w:val="24"/>
                <w:lang w:val="en-US" w:eastAsia="zh-CN"/>
                <w14:textFill>
                  <w14:solidFill>
                    <w14:schemeClr w14:val="tx1"/>
                  </w14:solidFill>
                </w14:textFill>
              </w:rPr>
              <w:t>破碎场</w:t>
            </w:r>
            <w:r>
              <w:rPr>
                <w:rFonts w:hint="default" w:ascii="Times New Roman" w:hAnsi="Times New Roman" w:eastAsia="仿宋" w:cs="Times New Roman"/>
                <w:color w:val="000000" w:themeColor="text1"/>
                <w:sz w:val="24"/>
                <w:lang w:val="en-US" w:eastAsia="zh-CN"/>
                <w14:textFill>
                  <w14:solidFill>
                    <w14:schemeClr w14:val="tx1"/>
                  </w14:solidFill>
                </w14:textFill>
              </w:rPr>
              <w:t>石料加工</w:t>
            </w:r>
          </w:p>
          <w:p w14:paraId="0E4C28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000000" w:themeColor="text1"/>
                <w:sz w:val="24"/>
                <w:lang w:val="en-US" w:eastAsia="zh-CN"/>
                <w14:textFill>
                  <w14:solidFill>
                    <w14:schemeClr w14:val="tx1"/>
                  </w14:solidFill>
                </w14:textFill>
              </w:rPr>
            </w:pPr>
            <w:r>
              <w:rPr>
                <w:rFonts w:hint="eastAsia" w:eastAsia="仿宋" w:cs="Times New Roman"/>
                <w:color w:val="000000" w:themeColor="text1"/>
                <w:sz w:val="24"/>
                <w:lang w:val="en-US" w:eastAsia="zh-CN"/>
                <w14:textFill>
                  <w14:solidFill>
                    <w14:schemeClr w14:val="tx1"/>
                  </w14:solidFill>
                </w14:textFill>
              </w:rPr>
              <w:t>将矿区开采的石料运至破碎场后</w:t>
            </w:r>
            <w:r>
              <w:rPr>
                <w:rFonts w:hint="default" w:ascii="Times New Roman" w:hAnsi="Times New Roman" w:eastAsia="仿宋" w:cs="Times New Roman"/>
                <w:color w:val="000000" w:themeColor="text1"/>
                <w:sz w:val="24"/>
                <w:lang w:val="en-US" w:eastAsia="zh-CN"/>
                <w14:textFill>
                  <w14:solidFill>
                    <w14:schemeClr w14:val="tx1"/>
                  </w14:solidFill>
                </w14:textFill>
              </w:rPr>
              <w:t>直接</w:t>
            </w:r>
            <w:r>
              <w:rPr>
                <w:rFonts w:hint="eastAsia" w:ascii="Times New Roman" w:hAnsi="Times New Roman" w:eastAsia="仿宋" w:cs="Times New Roman"/>
                <w:color w:val="000000" w:themeColor="text1"/>
                <w:sz w:val="24"/>
                <w:lang w:val="en-US" w:eastAsia="zh-CN"/>
                <w14:textFill>
                  <w14:solidFill>
                    <w14:schemeClr w14:val="tx1"/>
                  </w14:solidFill>
                </w14:textFill>
              </w:rPr>
              <w:t>送至料斗然后经</w:t>
            </w:r>
            <w:r>
              <w:rPr>
                <w:rFonts w:hint="eastAsia" w:eastAsia="仿宋" w:cs="Times New Roman"/>
                <w:color w:val="000000" w:themeColor="text1"/>
                <w:sz w:val="24"/>
                <w:lang w:val="en-US" w:eastAsia="zh-CN"/>
                <w14:textFill>
                  <w14:solidFill>
                    <w14:schemeClr w14:val="tx1"/>
                  </w14:solidFill>
                </w14:textFill>
              </w:rPr>
              <w:t>给料机送至破碎工序，因此，破碎场不设置原料堆场，石料先进入颚式破碎机进行破碎，然后经1#振动筛筛分，粒径＜5mm的粉料通过皮带输送机运至成品堆场，粒径＞5mm的物料再通过皮带输送机送至圆锥破碎机进行二次破碎，然后经2#振动筛筛分，粒径＜5mm的粉料通过皮带输送机运至成品堆场，粒径＞5mm的物料再通过皮带输送机送至立式冲击破碎机进行三次破碎，然后经3#振动筛筛分，粒径＜5mm的粉料通过皮带输送机运至成品堆场，粒径5—10mm的物料通过皮带输送机运至成品堆场，粒径10—20mm的物料通过皮带输送机运至成品堆场，粒径20—31.5mm的物料通过皮带输送机运至成品堆场，粒径＞40mm的物料通过皮带输送机运至成品堆场，粒径31.5mm—40mm之间的返回到立式冲击破碎机再次进行破碎，形成闭环。</w:t>
            </w:r>
          </w:p>
          <w:p w14:paraId="00D350A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000000" w:themeColor="text1"/>
                <w:sz w:val="24"/>
                <w:lang w:val="en-US" w:eastAsia="zh-CN"/>
                <w14:textFill>
                  <w14:solidFill>
                    <w14:schemeClr w14:val="tx1"/>
                  </w14:solidFill>
                </w14:textFill>
              </w:rPr>
            </w:pPr>
          </w:p>
          <w:p w14:paraId="45C3FBB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000000" w:themeColor="text1"/>
                <w:sz w:val="24"/>
                <w:lang w:val="en-US" w:eastAsia="zh-CN"/>
                <w14:textFill>
                  <w14:solidFill>
                    <w14:schemeClr w14:val="tx1"/>
                  </w14:solidFill>
                </w14:textFill>
              </w:rPr>
            </w:pPr>
          </w:p>
          <w:p w14:paraId="04D98A3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000000" w:themeColor="text1"/>
                <w:sz w:val="24"/>
                <w:lang w:val="en-US" w:eastAsia="zh-CN"/>
                <w14:textFill>
                  <w14:solidFill>
                    <w14:schemeClr w14:val="tx1"/>
                  </w14:solidFill>
                </w14:textFill>
              </w:rPr>
            </w:pPr>
          </w:p>
          <w:p w14:paraId="3F78CA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000000" w:themeColor="text1"/>
                <w:sz w:val="24"/>
                <w:lang w:val="en-US" w:eastAsia="zh-CN"/>
                <w14:textFill>
                  <w14:solidFill>
                    <w14:schemeClr w14:val="tx1"/>
                  </w14:solidFill>
                </w14:textFill>
              </w:rPr>
            </w:pPr>
          </w:p>
          <w:p w14:paraId="7ACC6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000000" w:themeColor="text1"/>
                <w:sz w:val="24"/>
                <w:lang w:val="en-US" w:eastAsia="zh-CN"/>
                <w14:textFill>
                  <w14:solidFill>
                    <w14:schemeClr w14:val="tx1"/>
                  </w14:solidFill>
                </w14:textFill>
              </w:rPr>
            </w:pPr>
          </w:p>
          <w:p w14:paraId="519EDE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000000" w:themeColor="text1"/>
                <w:sz w:val="24"/>
                <w:lang w:val="en-US" w:eastAsia="zh-CN"/>
                <w14:textFill>
                  <w14:solidFill>
                    <w14:schemeClr w14:val="tx1"/>
                  </w14:solidFill>
                </w14:textFill>
              </w:rPr>
            </w:pPr>
          </w:p>
          <w:p w14:paraId="12BE4D5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000000" w:themeColor="text1"/>
                <w:sz w:val="24"/>
                <w:lang w:val="en-US" w:eastAsia="zh-CN"/>
                <w14:textFill>
                  <w14:solidFill>
                    <w14:schemeClr w14:val="tx1"/>
                  </w14:solidFill>
                </w14:textFill>
              </w:rPr>
            </w:pPr>
          </w:p>
          <w:p w14:paraId="3B3B25D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000000" w:themeColor="text1"/>
                <w:sz w:val="24"/>
                <w:lang w:val="en-US" w:eastAsia="zh-CN"/>
                <w14:textFill>
                  <w14:solidFill>
                    <w14:schemeClr w14:val="tx1"/>
                  </w14:solidFill>
                </w14:textFill>
              </w:rPr>
            </w:pPr>
          </w:p>
          <w:p w14:paraId="086A259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000000" w:themeColor="text1"/>
                <w:sz w:val="24"/>
                <w:lang w:val="en-US" w:eastAsia="zh-CN"/>
                <w14:textFill>
                  <w14:solidFill>
                    <w14:schemeClr w14:val="tx1"/>
                  </w14:solidFill>
                </w14:textFill>
              </w:rPr>
            </w:pPr>
          </w:p>
          <w:p w14:paraId="2B51D2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eastAsia="仿宋" w:cs="Times New Roman"/>
                <w:color w:val="000000" w:themeColor="text1"/>
                <w:sz w:val="24"/>
                <w:lang w:val="en-US" w:eastAsia="zh-CN"/>
                <w14:textFill>
                  <w14:solidFill>
                    <w14:schemeClr w14:val="tx1"/>
                  </w14:solidFill>
                </w14:textFill>
              </w:rPr>
            </w:pPr>
          </w:p>
          <w:p w14:paraId="1352D9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p>
          <w:p w14:paraId="29F8D12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p>
          <w:p w14:paraId="34F7DE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p>
          <w:p w14:paraId="53923D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p>
          <w:p w14:paraId="3908C40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object>
                <v:shape id="_x0000_i1028" o:spt="75" type="#_x0000_t75" style="height:552.7pt;width:395.7pt;" o:ole="t" filled="f" o:preferrelative="t" stroked="f" coordsize="21600,21600">
                  <v:path/>
                  <v:fill on="f" focussize="0,0"/>
                  <v:stroke on="f"/>
                  <v:imagedata r:id="rId14" o:title=""/>
                  <o:lock v:ext="edit" aspectratio="f"/>
                  <w10:wrap type="none"/>
                  <w10:anchorlock/>
                </v:shape>
                <o:OLEObject Type="Embed" ProgID="Visio.Drawing.11" ShapeID="_x0000_i1028" DrawAspect="Content" ObjectID="_1468075728" r:id="rId13">
                  <o:LockedField>false</o:LockedField>
                </o:OLEObject>
              </w:object>
            </w:r>
          </w:p>
          <w:p w14:paraId="505A3C6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eastAsia="仿宋" w:cs="Times New Roman"/>
                <w:b/>
                <w:bCs/>
                <w:color w:val="auto"/>
                <w:sz w:val="24"/>
                <w:highlight w:val="none"/>
                <w:lang w:val="en-US" w:eastAsia="zh-CN"/>
              </w:rPr>
            </w:pPr>
            <w:r>
              <w:rPr>
                <w:rFonts w:hint="default" w:ascii="Times New Roman" w:hAnsi="Times New Roman" w:eastAsia="仿宋" w:cs="Times New Roman"/>
                <w:b/>
                <w:bCs/>
                <w:color w:val="auto"/>
                <w:sz w:val="24"/>
                <w:szCs w:val="24"/>
                <w:highlight w:val="none"/>
                <w:lang w:val="en-US" w:eastAsia="zh-CN"/>
              </w:rPr>
              <w:t>图</w:t>
            </w:r>
            <w:r>
              <w:rPr>
                <w:rFonts w:hint="eastAsia" w:eastAsia="仿宋" w:cs="Times New Roman"/>
                <w:b/>
                <w:bCs/>
                <w:color w:val="auto"/>
                <w:sz w:val="24"/>
                <w:szCs w:val="24"/>
                <w:highlight w:val="none"/>
                <w:lang w:val="en-US" w:eastAsia="zh-CN"/>
              </w:rPr>
              <w:t>4</w:t>
            </w:r>
            <w:r>
              <w:rPr>
                <w:rFonts w:hint="default" w:ascii="Times New Roman" w:hAnsi="Times New Roman" w:eastAsia="仿宋" w:cs="Times New Roman"/>
                <w:b/>
                <w:bCs/>
                <w:color w:val="auto"/>
                <w:sz w:val="24"/>
                <w:szCs w:val="24"/>
                <w:highlight w:val="none"/>
                <w:lang w:val="en-US" w:eastAsia="zh-CN"/>
              </w:rPr>
              <w:t xml:space="preserve">   </w:t>
            </w:r>
            <w:r>
              <w:rPr>
                <w:rFonts w:hint="eastAsia" w:eastAsia="仿宋" w:cs="Times New Roman"/>
                <w:b/>
                <w:bCs/>
                <w:color w:val="auto"/>
                <w:sz w:val="24"/>
                <w:szCs w:val="24"/>
                <w:highlight w:val="none"/>
                <w:lang w:val="en-US" w:eastAsia="zh-CN"/>
              </w:rPr>
              <w:t>运营</w:t>
            </w:r>
            <w:r>
              <w:rPr>
                <w:rFonts w:hint="eastAsia" w:ascii="Times New Roman" w:hAnsi="Times New Roman" w:eastAsia="仿宋" w:cs="Times New Roman"/>
                <w:b/>
                <w:bCs/>
                <w:color w:val="auto"/>
                <w:sz w:val="24"/>
                <w:szCs w:val="24"/>
                <w:highlight w:val="none"/>
                <w:lang w:val="en-US" w:eastAsia="zh-CN"/>
              </w:rPr>
              <w:t>期工艺流程图及产排污节点图</w:t>
            </w:r>
          </w:p>
          <w:p w14:paraId="7701458C">
            <w:pPr>
              <w:adjustRightInd w:val="0"/>
              <w:snapToGrid w:val="0"/>
              <w:spacing w:line="360" w:lineRule="auto"/>
              <w:ind w:firstLine="480" w:firstLineChars="200"/>
              <w:rPr>
                <w:rFonts w:hint="default" w:ascii="Times New Roman" w:hAnsi="Times New Roman" w:eastAsia="微软雅黑" w:cs="Times New Roman"/>
                <w:bCs/>
                <w:color w:val="000000"/>
                <w:sz w:val="24"/>
              </w:rPr>
            </w:pPr>
          </w:p>
          <w:p w14:paraId="7B0BA837">
            <w:pPr>
              <w:adjustRightInd w:val="0"/>
              <w:snapToGrid w:val="0"/>
              <w:spacing w:line="360" w:lineRule="auto"/>
              <w:ind w:firstLine="480" w:firstLineChars="200"/>
              <w:rPr>
                <w:rFonts w:hint="default" w:ascii="Times New Roman" w:hAnsi="Times New Roman" w:eastAsia="微软雅黑" w:cs="Times New Roman"/>
                <w:bCs/>
                <w:color w:val="000000"/>
                <w:sz w:val="24"/>
              </w:rPr>
            </w:pPr>
          </w:p>
          <w:p w14:paraId="37262BEF">
            <w:pPr>
              <w:adjustRightInd w:val="0"/>
              <w:snapToGrid w:val="0"/>
              <w:spacing w:line="360" w:lineRule="auto"/>
              <w:ind w:firstLine="480" w:firstLineChars="200"/>
              <w:rPr>
                <w:rFonts w:hint="default" w:ascii="Times New Roman" w:hAnsi="Times New Roman" w:eastAsia="微软雅黑" w:cs="Times New Roman"/>
                <w:bCs/>
                <w:color w:val="000000"/>
                <w:sz w:val="24"/>
              </w:rPr>
            </w:pPr>
          </w:p>
          <w:p w14:paraId="1E95FE7C">
            <w:pPr>
              <w:adjustRightInd w:val="0"/>
              <w:snapToGrid w:val="0"/>
              <w:spacing w:line="360" w:lineRule="auto"/>
              <w:ind w:firstLine="480" w:firstLineChars="200"/>
              <w:rPr>
                <w:rFonts w:hint="default" w:ascii="Times New Roman" w:hAnsi="Times New Roman" w:eastAsia="微软雅黑" w:cs="Times New Roman"/>
                <w:bCs/>
                <w:color w:val="000000"/>
                <w:sz w:val="24"/>
              </w:rPr>
            </w:pPr>
          </w:p>
          <w:p w14:paraId="22DC10FE">
            <w:pPr>
              <w:adjustRightInd w:val="0"/>
              <w:snapToGrid w:val="0"/>
              <w:spacing w:line="360" w:lineRule="auto"/>
              <w:ind w:firstLine="480" w:firstLineChars="200"/>
              <w:rPr>
                <w:rFonts w:hint="default" w:ascii="Times New Roman" w:hAnsi="Times New Roman" w:eastAsia="微软雅黑" w:cs="Times New Roman"/>
                <w:bCs/>
                <w:color w:val="000000"/>
                <w:sz w:val="24"/>
              </w:rPr>
            </w:pPr>
          </w:p>
          <w:p w14:paraId="0CEC68FE">
            <w:pPr>
              <w:adjustRightInd w:val="0"/>
              <w:snapToGrid w:val="0"/>
              <w:spacing w:line="360" w:lineRule="auto"/>
              <w:ind w:firstLine="480" w:firstLineChars="200"/>
              <w:rPr>
                <w:rFonts w:hint="default" w:ascii="Times New Roman" w:hAnsi="Times New Roman" w:eastAsia="仿宋" w:cs="Times New Roman"/>
                <w:bCs/>
                <w:color w:val="000000"/>
                <w:sz w:val="24"/>
              </w:rPr>
            </w:pPr>
            <w:r>
              <w:rPr>
                <w:rFonts w:hint="default" w:ascii="Times New Roman" w:hAnsi="Times New Roman" w:eastAsia="微软雅黑" w:cs="Times New Roman"/>
                <w:bCs/>
                <w:color w:val="000000"/>
                <w:sz w:val="24"/>
              </w:rPr>
              <w:t>⑷</w:t>
            </w:r>
            <w:r>
              <w:rPr>
                <w:rFonts w:hint="default" w:ascii="Times New Roman" w:hAnsi="Times New Roman" w:eastAsia="仿宋" w:cs="Times New Roman"/>
                <w:bCs/>
                <w:color w:val="000000"/>
                <w:sz w:val="24"/>
              </w:rPr>
              <w:t>产排污环节</w:t>
            </w:r>
          </w:p>
          <w:p w14:paraId="3B071A1B">
            <w:pPr>
              <w:adjustRightInd w:val="0"/>
              <w:snapToGrid w:val="0"/>
              <w:spacing w:line="360" w:lineRule="auto"/>
              <w:ind w:firstLine="480" w:firstLineChars="200"/>
              <w:rPr>
                <w:rFonts w:eastAsia="仿宋"/>
                <w:bCs/>
                <w:color w:val="000000"/>
                <w:sz w:val="24"/>
              </w:rPr>
            </w:pPr>
            <w:r>
              <w:rPr>
                <w:rFonts w:eastAsia="仿宋"/>
                <w:bCs/>
                <w:color w:val="000000"/>
                <w:sz w:val="24"/>
              </w:rPr>
              <w:t>本项目运营期产污环节及主要污染物见表</w:t>
            </w:r>
            <w:r>
              <w:rPr>
                <w:rFonts w:hint="eastAsia" w:eastAsia="仿宋"/>
                <w:bCs/>
                <w:color w:val="000000"/>
                <w:sz w:val="24"/>
                <w:lang w:val="en-US" w:eastAsia="zh-CN"/>
              </w:rPr>
              <w:t>19</w:t>
            </w:r>
            <w:r>
              <w:rPr>
                <w:rFonts w:eastAsia="仿宋"/>
                <w:bCs/>
                <w:color w:val="000000"/>
                <w:sz w:val="24"/>
              </w:rPr>
              <w:t>。</w:t>
            </w:r>
          </w:p>
          <w:p w14:paraId="5D9B33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
                <w:b/>
                <w:bCs/>
                <w:snapToGrid w:val="0"/>
                <w:color w:val="000000" w:themeColor="text1"/>
                <w:kern w:val="0"/>
                <w:szCs w:val="21"/>
                <w14:textFill>
                  <w14:solidFill>
                    <w14:schemeClr w14:val="tx1"/>
                  </w14:solidFill>
                </w14:textFill>
              </w:rPr>
            </w:pPr>
            <w:r>
              <w:rPr>
                <w:rFonts w:eastAsia="仿宋"/>
                <w:b/>
                <w:bCs/>
                <w:snapToGrid w:val="0"/>
                <w:color w:val="000000" w:themeColor="text1"/>
                <w:kern w:val="0"/>
                <w:szCs w:val="21"/>
                <w14:textFill>
                  <w14:solidFill>
                    <w14:schemeClr w14:val="tx1"/>
                  </w14:solidFill>
                </w14:textFill>
              </w:rPr>
              <w:t>表</w:t>
            </w:r>
            <w:r>
              <w:rPr>
                <w:rFonts w:hint="eastAsia" w:eastAsia="仿宋"/>
                <w:b/>
                <w:bCs/>
                <w:snapToGrid w:val="0"/>
                <w:color w:val="000000" w:themeColor="text1"/>
                <w:kern w:val="0"/>
                <w:szCs w:val="21"/>
                <w:lang w:val="en-US" w:eastAsia="zh-CN"/>
                <w14:textFill>
                  <w14:solidFill>
                    <w14:schemeClr w14:val="tx1"/>
                  </w14:solidFill>
                </w14:textFill>
              </w:rPr>
              <w:t>19</w:t>
            </w:r>
            <w:r>
              <w:rPr>
                <w:rFonts w:eastAsia="仿宋"/>
                <w:b/>
                <w:bCs/>
                <w:snapToGrid w:val="0"/>
                <w:color w:val="000000" w:themeColor="text1"/>
                <w:kern w:val="0"/>
                <w:szCs w:val="21"/>
                <w14:textFill>
                  <w14:solidFill>
                    <w14:schemeClr w14:val="tx1"/>
                  </w14:solidFill>
                </w14:textFill>
              </w:rPr>
              <w:t xml:space="preserve">  产污环节及污染物一览表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211"/>
              <w:gridCol w:w="2181"/>
              <w:gridCol w:w="3403"/>
            </w:tblGrid>
            <w:tr w14:paraId="6F55AF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noWrap w:val="0"/>
                  <w:vAlign w:val="center"/>
                </w:tcPr>
                <w:p w14:paraId="265492B7">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类别</w:t>
                  </w:r>
                </w:p>
              </w:tc>
              <w:tc>
                <w:tcPr>
                  <w:tcW w:w="764" w:type="pct"/>
                  <w:noWrap w:val="0"/>
                  <w:vAlign w:val="center"/>
                </w:tcPr>
                <w:p w14:paraId="5B1F629B">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序号</w:t>
                  </w:r>
                </w:p>
              </w:tc>
              <w:tc>
                <w:tcPr>
                  <w:tcW w:w="1376" w:type="pct"/>
                  <w:noWrap w:val="0"/>
                  <w:vAlign w:val="center"/>
                </w:tcPr>
                <w:p w14:paraId="7C13E6A1">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产污节点</w:t>
                  </w:r>
                </w:p>
              </w:tc>
              <w:tc>
                <w:tcPr>
                  <w:tcW w:w="2148" w:type="pct"/>
                  <w:noWrap w:val="0"/>
                  <w:vAlign w:val="center"/>
                </w:tcPr>
                <w:p w14:paraId="795C90CF">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主要污染物</w:t>
                  </w:r>
                </w:p>
              </w:tc>
            </w:tr>
            <w:tr w14:paraId="312036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restart"/>
                  <w:noWrap w:val="0"/>
                  <w:vAlign w:val="center"/>
                </w:tcPr>
                <w:p w14:paraId="127583E2">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废气</w:t>
                  </w:r>
                </w:p>
              </w:tc>
              <w:tc>
                <w:tcPr>
                  <w:tcW w:w="764" w:type="pct"/>
                  <w:noWrap w:val="0"/>
                  <w:vAlign w:val="center"/>
                </w:tcPr>
                <w:p w14:paraId="7A6EA31E">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G1</w:t>
                  </w:r>
                </w:p>
              </w:tc>
              <w:tc>
                <w:tcPr>
                  <w:tcW w:w="1376" w:type="pct"/>
                  <w:noWrap w:val="0"/>
                  <w:vAlign w:val="center"/>
                </w:tcPr>
                <w:p w14:paraId="0BE27F2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szCs w:val="21"/>
                      <w:lang w:val="en-US" w:eastAsia="zh-CN"/>
                      <w14:textFill>
                        <w14:solidFill>
                          <w14:schemeClr w14:val="tx1"/>
                        </w14:solidFill>
                      </w14:textFill>
                    </w:rPr>
                  </w:pPr>
                  <w:r>
                    <w:rPr>
                      <w:rFonts w:hint="eastAsia" w:eastAsia="仿宋"/>
                      <w:color w:val="000000" w:themeColor="text1"/>
                      <w:szCs w:val="21"/>
                      <w:lang w:val="en-US" w:eastAsia="zh-CN"/>
                      <w14:textFill>
                        <w14:solidFill>
                          <w14:schemeClr w14:val="tx1"/>
                        </w14:solidFill>
                      </w14:textFill>
                    </w:rPr>
                    <w:t>剥离清表</w:t>
                  </w:r>
                </w:p>
              </w:tc>
              <w:tc>
                <w:tcPr>
                  <w:tcW w:w="2148" w:type="pct"/>
                  <w:noWrap w:val="0"/>
                  <w:vAlign w:val="center"/>
                </w:tcPr>
                <w:p w14:paraId="18158B6B">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颗粒物</w:t>
                  </w:r>
                </w:p>
              </w:tc>
            </w:tr>
            <w:tr w14:paraId="21A864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148BB568">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zCs w:val="21"/>
                      <w14:textFill>
                        <w14:solidFill>
                          <w14:schemeClr w14:val="tx1"/>
                        </w14:solidFill>
                      </w14:textFill>
                    </w:rPr>
                  </w:pPr>
                </w:p>
              </w:tc>
              <w:tc>
                <w:tcPr>
                  <w:tcW w:w="764" w:type="pct"/>
                  <w:noWrap w:val="0"/>
                  <w:vAlign w:val="center"/>
                </w:tcPr>
                <w:p w14:paraId="5E532A9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szCs w:val="21"/>
                      <w:lang w:val="en-US" w:eastAsia="zh-CN"/>
                      <w14:textFill>
                        <w14:solidFill>
                          <w14:schemeClr w14:val="tx1"/>
                        </w14:solidFill>
                      </w14:textFill>
                    </w:rPr>
                  </w:pPr>
                  <w:r>
                    <w:rPr>
                      <w:rFonts w:hint="eastAsia" w:eastAsia="仿宋"/>
                      <w:color w:val="000000" w:themeColor="text1"/>
                      <w:szCs w:val="21"/>
                      <w:lang w:val="en-US" w:eastAsia="zh-CN"/>
                      <w14:textFill>
                        <w14:solidFill>
                          <w14:schemeClr w14:val="tx1"/>
                        </w14:solidFill>
                      </w14:textFill>
                    </w:rPr>
                    <w:t>G2</w:t>
                  </w:r>
                </w:p>
              </w:tc>
              <w:tc>
                <w:tcPr>
                  <w:tcW w:w="1376" w:type="pct"/>
                  <w:noWrap w:val="0"/>
                  <w:vAlign w:val="center"/>
                </w:tcPr>
                <w:p w14:paraId="25102CA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szCs w:val="21"/>
                      <w:lang w:val="en-US" w:eastAsia="zh-CN"/>
                      <w14:textFill>
                        <w14:solidFill>
                          <w14:schemeClr w14:val="tx1"/>
                        </w14:solidFill>
                      </w14:textFill>
                    </w:rPr>
                  </w:pPr>
                  <w:r>
                    <w:rPr>
                      <w:rFonts w:hint="eastAsia" w:eastAsia="仿宋"/>
                      <w:color w:val="000000" w:themeColor="text1"/>
                      <w:szCs w:val="21"/>
                      <w:lang w:val="en-US" w:eastAsia="zh-CN"/>
                      <w14:textFill>
                        <w14:solidFill>
                          <w14:schemeClr w14:val="tx1"/>
                        </w14:solidFill>
                      </w14:textFill>
                    </w:rPr>
                    <w:t>穿孔凿岩</w:t>
                  </w:r>
                </w:p>
              </w:tc>
              <w:tc>
                <w:tcPr>
                  <w:tcW w:w="2148" w:type="pct"/>
                  <w:noWrap w:val="0"/>
                  <w:vAlign w:val="center"/>
                </w:tcPr>
                <w:p w14:paraId="6857564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颗粒物</w:t>
                  </w:r>
                </w:p>
              </w:tc>
            </w:tr>
            <w:tr w14:paraId="3398AF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58E31144">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zCs w:val="21"/>
                      <w14:textFill>
                        <w14:solidFill>
                          <w14:schemeClr w14:val="tx1"/>
                        </w14:solidFill>
                      </w14:textFill>
                    </w:rPr>
                  </w:pPr>
                </w:p>
              </w:tc>
              <w:tc>
                <w:tcPr>
                  <w:tcW w:w="764" w:type="pct"/>
                  <w:noWrap w:val="0"/>
                  <w:vAlign w:val="center"/>
                </w:tcPr>
                <w:p w14:paraId="53E624B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000000" w:themeColor="text1"/>
                      <w:szCs w:val="21"/>
                      <w:lang w:eastAsia="zh-CN"/>
                      <w14:textFill>
                        <w14:solidFill>
                          <w14:schemeClr w14:val="tx1"/>
                        </w14:solidFill>
                      </w14:textFill>
                    </w:rPr>
                  </w:pPr>
                  <w:r>
                    <w:rPr>
                      <w:rFonts w:eastAsia="仿宋"/>
                      <w:color w:val="000000" w:themeColor="text1"/>
                      <w:szCs w:val="21"/>
                      <w14:textFill>
                        <w14:solidFill>
                          <w14:schemeClr w14:val="tx1"/>
                        </w14:solidFill>
                      </w14:textFill>
                    </w:rPr>
                    <w:t>G</w:t>
                  </w:r>
                  <w:r>
                    <w:rPr>
                      <w:rFonts w:hint="eastAsia" w:eastAsia="仿宋"/>
                      <w:color w:val="000000" w:themeColor="text1"/>
                      <w:szCs w:val="21"/>
                      <w:lang w:val="en-US" w:eastAsia="zh-CN"/>
                      <w14:textFill>
                        <w14:solidFill>
                          <w14:schemeClr w14:val="tx1"/>
                        </w14:solidFill>
                      </w14:textFill>
                    </w:rPr>
                    <w:t>3</w:t>
                  </w:r>
                </w:p>
              </w:tc>
              <w:tc>
                <w:tcPr>
                  <w:tcW w:w="1376" w:type="pct"/>
                  <w:noWrap w:val="0"/>
                  <w:vAlign w:val="center"/>
                </w:tcPr>
                <w:p w14:paraId="5797DC3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szCs w:val="21"/>
                      <w:lang w:val="en-US" w:eastAsia="zh-CN"/>
                      <w14:textFill>
                        <w14:solidFill>
                          <w14:schemeClr w14:val="tx1"/>
                        </w14:solidFill>
                      </w14:textFill>
                    </w:rPr>
                  </w:pPr>
                  <w:r>
                    <w:rPr>
                      <w:rFonts w:hint="eastAsia" w:eastAsia="仿宋"/>
                      <w:color w:val="000000" w:themeColor="text1"/>
                      <w:szCs w:val="21"/>
                      <w:lang w:val="en-US" w:eastAsia="zh-CN"/>
                      <w14:textFill>
                        <w14:solidFill>
                          <w14:schemeClr w14:val="tx1"/>
                        </w14:solidFill>
                      </w14:textFill>
                    </w:rPr>
                    <w:t>爆破</w:t>
                  </w:r>
                </w:p>
              </w:tc>
              <w:tc>
                <w:tcPr>
                  <w:tcW w:w="2148" w:type="pct"/>
                  <w:noWrap w:val="0"/>
                  <w:vAlign w:val="center"/>
                </w:tcPr>
                <w:p w14:paraId="1DDD74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szCs w:val="21"/>
                      <w:lang w:val="en-US" w:eastAsia="zh-CN"/>
                      <w14:textFill>
                        <w14:solidFill>
                          <w14:schemeClr w14:val="tx1"/>
                        </w14:solidFill>
                      </w14:textFill>
                    </w:rPr>
                  </w:pPr>
                  <w:r>
                    <w:rPr>
                      <w:rFonts w:eastAsia="仿宋"/>
                      <w:color w:val="000000" w:themeColor="text1"/>
                      <w:szCs w:val="21"/>
                      <w14:textFill>
                        <w14:solidFill>
                          <w14:schemeClr w14:val="tx1"/>
                        </w14:solidFill>
                      </w14:textFill>
                    </w:rPr>
                    <w:t>颗粒物</w:t>
                  </w:r>
                  <w:r>
                    <w:rPr>
                      <w:rFonts w:hint="eastAsia" w:eastAsia="仿宋"/>
                      <w:color w:val="000000" w:themeColor="text1"/>
                      <w:szCs w:val="21"/>
                      <w:lang w:eastAsia="zh-CN"/>
                      <w14:textFill>
                        <w14:solidFill>
                          <w14:schemeClr w14:val="tx1"/>
                        </w14:solidFill>
                      </w14:textFill>
                    </w:rPr>
                    <w:t>、</w:t>
                  </w:r>
                  <w:r>
                    <w:rPr>
                      <w:rFonts w:hint="eastAsia" w:eastAsia="仿宋"/>
                      <w:color w:val="000000" w:themeColor="text1"/>
                      <w:szCs w:val="21"/>
                      <w:lang w:val="en-US" w:eastAsia="zh-CN"/>
                      <w14:textFill>
                        <w14:solidFill>
                          <w14:schemeClr w14:val="tx1"/>
                        </w14:solidFill>
                      </w14:textFill>
                    </w:rPr>
                    <w:t>NOx、CO</w:t>
                  </w:r>
                </w:p>
              </w:tc>
            </w:tr>
            <w:tr w14:paraId="2587A3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792A90E4">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zCs w:val="21"/>
                      <w14:textFill>
                        <w14:solidFill>
                          <w14:schemeClr w14:val="tx1"/>
                        </w14:solidFill>
                      </w14:textFill>
                    </w:rPr>
                  </w:pPr>
                </w:p>
              </w:tc>
              <w:tc>
                <w:tcPr>
                  <w:tcW w:w="764" w:type="pct"/>
                  <w:noWrap w:val="0"/>
                  <w:vAlign w:val="center"/>
                </w:tcPr>
                <w:p w14:paraId="4221BA3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000000" w:themeColor="text1"/>
                      <w:szCs w:val="21"/>
                      <w:lang w:eastAsia="zh-CN"/>
                      <w14:textFill>
                        <w14:solidFill>
                          <w14:schemeClr w14:val="tx1"/>
                        </w14:solidFill>
                      </w14:textFill>
                    </w:rPr>
                  </w:pPr>
                  <w:r>
                    <w:rPr>
                      <w:rFonts w:eastAsia="仿宋"/>
                      <w:color w:val="000000" w:themeColor="text1"/>
                      <w:szCs w:val="21"/>
                      <w14:textFill>
                        <w14:solidFill>
                          <w14:schemeClr w14:val="tx1"/>
                        </w14:solidFill>
                      </w14:textFill>
                    </w:rPr>
                    <w:t>G</w:t>
                  </w:r>
                  <w:r>
                    <w:rPr>
                      <w:rFonts w:hint="eastAsia" w:eastAsia="仿宋"/>
                      <w:color w:val="000000" w:themeColor="text1"/>
                      <w:szCs w:val="21"/>
                      <w:lang w:val="en-US" w:eastAsia="zh-CN"/>
                      <w14:textFill>
                        <w14:solidFill>
                          <w14:schemeClr w14:val="tx1"/>
                        </w14:solidFill>
                      </w14:textFill>
                    </w:rPr>
                    <w:t>4</w:t>
                  </w:r>
                </w:p>
              </w:tc>
              <w:tc>
                <w:tcPr>
                  <w:tcW w:w="1376" w:type="pct"/>
                  <w:noWrap w:val="0"/>
                  <w:vAlign w:val="center"/>
                </w:tcPr>
                <w:p w14:paraId="4309A0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szCs w:val="21"/>
                      <w:lang w:val="en-US" w:eastAsia="zh-CN"/>
                      <w14:textFill>
                        <w14:solidFill>
                          <w14:schemeClr w14:val="tx1"/>
                        </w14:solidFill>
                      </w14:textFill>
                    </w:rPr>
                  </w:pPr>
                  <w:r>
                    <w:rPr>
                      <w:rFonts w:hint="eastAsia" w:eastAsia="仿宋"/>
                      <w:color w:val="000000" w:themeColor="text1"/>
                      <w:szCs w:val="21"/>
                      <w:lang w:val="en-US" w:eastAsia="zh-CN"/>
                      <w14:textFill>
                        <w14:solidFill>
                          <w14:schemeClr w14:val="tx1"/>
                        </w14:solidFill>
                      </w14:textFill>
                    </w:rPr>
                    <w:t>液压锤破碎</w:t>
                  </w:r>
                </w:p>
              </w:tc>
              <w:tc>
                <w:tcPr>
                  <w:tcW w:w="2148" w:type="pct"/>
                  <w:noWrap w:val="0"/>
                  <w:vAlign w:val="center"/>
                </w:tcPr>
                <w:p w14:paraId="3D29AC0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szCs w:val="21"/>
                      <w:lang w:val="en-US" w:eastAsia="zh-CN"/>
                      <w14:textFill>
                        <w14:solidFill>
                          <w14:schemeClr w14:val="tx1"/>
                        </w14:solidFill>
                      </w14:textFill>
                    </w:rPr>
                  </w:pPr>
                  <w:r>
                    <w:rPr>
                      <w:rFonts w:eastAsia="仿宋"/>
                      <w:color w:val="000000" w:themeColor="text1"/>
                      <w:szCs w:val="21"/>
                      <w14:textFill>
                        <w14:solidFill>
                          <w14:schemeClr w14:val="tx1"/>
                        </w14:solidFill>
                      </w14:textFill>
                    </w:rPr>
                    <w:t>颗粒物</w:t>
                  </w:r>
                </w:p>
              </w:tc>
            </w:tr>
            <w:tr w14:paraId="087C4A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51F82C5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2141C3C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lang w:eastAsia="zh-CN"/>
                      <w14:textFill>
                        <w14:solidFill>
                          <w14:schemeClr w14:val="tx1"/>
                        </w14:solidFill>
                      </w14:textFill>
                    </w:rPr>
                  </w:pPr>
                  <w:r>
                    <w:rPr>
                      <w:rFonts w:eastAsia="仿宋"/>
                      <w:bCs/>
                      <w:color w:val="000000" w:themeColor="text1"/>
                      <w:szCs w:val="21"/>
                      <w14:textFill>
                        <w14:solidFill>
                          <w14:schemeClr w14:val="tx1"/>
                        </w14:solidFill>
                      </w14:textFill>
                    </w:rPr>
                    <w:t>G</w:t>
                  </w:r>
                  <w:r>
                    <w:rPr>
                      <w:rFonts w:hint="eastAsia" w:eastAsia="仿宋"/>
                      <w:bCs/>
                      <w:color w:val="000000" w:themeColor="text1"/>
                      <w:szCs w:val="21"/>
                      <w:lang w:val="en-US" w:eastAsia="zh-CN"/>
                      <w14:textFill>
                        <w14:solidFill>
                          <w14:schemeClr w14:val="tx1"/>
                        </w14:solidFill>
                      </w14:textFill>
                    </w:rPr>
                    <w:t>5</w:t>
                  </w:r>
                </w:p>
              </w:tc>
              <w:tc>
                <w:tcPr>
                  <w:tcW w:w="1376" w:type="pct"/>
                  <w:noWrap w:val="0"/>
                  <w:vAlign w:val="center"/>
                </w:tcPr>
                <w:p w14:paraId="2907864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铲装</w:t>
                  </w:r>
                </w:p>
              </w:tc>
              <w:tc>
                <w:tcPr>
                  <w:tcW w:w="2148" w:type="pct"/>
                  <w:noWrap w:val="0"/>
                  <w:vAlign w:val="center"/>
                </w:tcPr>
                <w:p w14:paraId="0654514F">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颗粒物</w:t>
                  </w:r>
                </w:p>
              </w:tc>
            </w:tr>
            <w:tr w14:paraId="637BB7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5854FD4B">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51026A2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lang w:eastAsia="zh-CN"/>
                      <w14:textFill>
                        <w14:solidFill>
                          <w14:schemeClr w14:val="tx1"/>
                        </w14:solidFill>
                      </w14:textFill>
                    </w:rPr>
                  </w:pPr>
                  <w:r>
                    <w:rPr>
                      <w:rFonts w:eastAsia="仿宋"/>
                      <w:bCs/>
                      <w:color w:val="000000" w:themeColor="text1"/>
                      <w:szCs w:val="21"/>
                      <w14:textFill>
                        <w14:solidFill>
                          <w14:schemeClr w14:val="tx1"/>
                        </w14:solidFill>
                      </w14:textFill>
                    </w:rPr>
                    <w:t>G</w:t>
                  </w:r>
                  <w:r>
                    <w:rPr>
                      <w:rFonts w:hint="eastAsia" w:eastAsia="仿宋"/>
                      <w:bCs/>
                      <w:color w:val="000000" w:themeColor="text1"/>
                      <w:szCs w:val="21"/>
                      <w:lang w:val="en-US" w:eastAsia="zh-CN"/>
                      <w14:textFill>
                        <w14:solidFill>
                          <w14:schemeClr w14:val="tx1"/>
                        </w14:solidFill>
                      </w14:textFill>
                    </w:rPr>
                    <w:t>6</w:t>
                  </w:r>
                </w:p>
              </w:tc>
              <w:tc>
                <w:tcPr>
                  <w:tcW w:w="1376" w:type="pct"/>
                  <w:noWrap w:val="0"/>
                  <w:vAlign w:val="center"/>
                </w:tcPr>
                <w:p w14:paraId="1676E2C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运输</w:t>
                  </w:r>
                </w:p>
              </w:tc>
              <w:tc>
                <w:tcPr>
                  <w:tcW w:w="2148" w:type="pct"/>
                  <w:noWrap w:val="0"/>
                  <w:vAlign w:val="center"/>
                </w:tcPr>
                <w:p w14:paraId="35ABEFD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lang w:eastAsia="zh-CN"/>
                      <w14:textFill>
                        <w14:solidFill>
                          <w14:schemeClr w14:val="tx1"/>
                        </w14:solidFill>
                      </w14:textFill>
                    </w:rPr>
                  </w:pPr>
                  <w:r>
                    <w:rPr>
                      <w:rFonts w:eastAsia="仿宋"/>
                      <w:bCs/>
                      <w:color w:val="000000" w:themeColor="text1"/>
                      <w:szCs w:val="21"/>
                      <w14:textFill>
                        <w14:solidFill>
                          <w14:schemeClr w14:val="tx1"/>
                        </w14:solidFill>
                      </w14:textFill>
                    </w:rPr>
                    <w:t>颗粒物</w:t>
                  </w:r>
                </w:p>
              </w:tc>
            </w:tr>
            <w:tr w14:paraId="0CE849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0000268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75C540B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G7</w:t>
                  </w:r>
                </w:p>
              </w:tc>
              <w:tc>
                <w:tcPr>
                  <w:tcW w:w="1376" w:type="pct"/>
                  <w:noWrap w:val="0"/>
                  <w:vAlign w:val="center"/>
                </w:tcPr>
                <w:p w14:paraId="3F45D5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给料机</w:t>
                  </w:r>
                </w:p>
              </w:tc>
              <w:tc>
                <w:tcPr>
                  <w:tcW w:w="2148" w:type="pct"/>
                  <w:noWrap w:val="0"/>
                  <w:vAlign w:val="center"/>
                </w:tcPr>
                <w:p w14:paraId="6B9029ED">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颗粒物</w:t>
                  </w:r>
                </w:p>
              </w:tc>
            </w:tr>
            <w:tr w14:paraId="0DCD81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71908212">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3FC9AC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G8</w:t>
                  </w:r>
                </w:p>
              </w:tc>
              <w:tc>
                <w:tcPr>
                  <w:tcW w:w="1376" w:type="pct"/>
                  <w:noWrap w:val="0"/>
                  <w:vAlign w:val="center"/>
                </w:tcPr>
                <w:p w14:paraId="4F7D9C4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颚式破碎机</w:t>
                  </w:r>
                </w:p>
              </w:tc>
              <w:tc>
                <w:tcPr>
                  <w:tcW w:w="2148" w:type="pct"/>
                  <w:noWrap w:val="0"/>
                  <w:vAlign w:val="center"/>
                </w:tcPr>
                <w:p w14:paraId="5E46503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eastAsia="仿宋"/>
                      <w:bCs/>
                      <w:color w:val="000000" w:themeColor="text1"/>
                      <w:szCs w:val="21"/>
                      <w14:textFill>
                        <w14:solidFill>
                          <w14:schemeClr w14:val="tx1"/>
                        </w14:solidFill>
                      </w14:textFill>
                    </w:rPr>
                    <w:t>颗粒物</w:t>
                  </w:r>
                </w:p>
              </w:tc>
            </w:tr>
            <w:tr w14:paraId="4A9335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4DD8DF7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520DDD5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G9</w:t>
                  </w:r>
                </w:p>
              </w:tc>
              <w:tc>
                <w:tcPr>
                  <w:tcW w:w="1376" w:type="pct"/>
                  <w:noWrap w:val="0"/>
                  <w:vAlign w:val="center"/>
                </w:tcPr>
                <w:p w14:paraId="2CFDCB6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1#振动筛</w:t>
                  </w:r>
                </w:p>
              </w:tc>
              <w:tc>
                <w:tcPr>
                  <w:tcW w:w="2148" w:type="pct"/>
                  <w:noWrap w:val="0"/>
                  <w:vAlign w:val="center"/>
                </w:tcPr>
                <w:p w14:paraId="7E78545A">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颗粒物</w:t>
                  </w:r>
                </w:p>
              </w:tc>
            </w:tr>
            <w:tr w14:paraId="4EB070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07EFD1E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437896F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G10</w:t>
                  </w:r>
                </w:p>
              </w:tc>
              <w:tc>
                <w:tcPr>
                  <w:tcW w:w="1376" w:type="pct"/>
                  <w:noWrap w:val="0"/>
                  <w:vAlign w:val="center"/>
                </w:tcPr>
                <w:p w14:paraId="37EC393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圆锥破碎机</w:t>
                  </w:r>
                </w:p>
              </w:tc>
              <w:tc>
                <w:tcPr>
                  <w:tcW w:w="2148" w:type="pct"/>
                  <w:noWrap w:val="0"/>
                  <w:vAlign w:val="center"/>
                </w:tcPr>
                <w:p w14:paraId="2BB7A96E">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颗粒物</w:t>
                  </w:r>
                </w:p>
              </w:tc>
            </w:tr>
            <w:tr w14:paraId="575B6A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2945F73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0ADBE2E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G11</w:t>
                  </w:r>
                </w:p>
              </w:tc>
              <w:tc>
                <w:tcPr>
                  <w:tcW w:w="1376" w:type="pct"/>
                  <w:noWrap w:val="0"/>
                  <w:vAlign w:val="center"/>
                </w:tcPr>
                <w:p w14:paraId="006C052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2#振动筛</w:t>
                  </w:r>
                </w:p>
              </w:tc>
              <w:tc>
                <w:tcPr>
                  <w:tcW w:w="2148" w:type="pct"/>
                  <w:noWrap w:val="0"/>
                  <w:vAlign w:val="center"/>
                </w:tcPr>
                <w:p w14:paraId="415F87ED">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颗粒物</w:t>
                  </w:r>
                </w:p>
              </w:tc>
            </w:tr>
            <w:tr w14:paraId="082B2D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483F2FD1">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49573E2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G12</w:t>
                  </w:r>
                </w:p>
              </w:tc>
              <w:tc>
                <w:tcPr>
                  <w:tcW w:w="1376" w:type="pct"/>
                  <w:noWrap w:val="0"/>
                  <w:vAlign w:val="center"/>
                </w:tcPr>
                <w:p w14:paraId="6F4E35E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立式破碎机</w:t>
                  </w:r>
                </w:p>
              </w:tc>
              <w:tc>
                <w:tcPr>
                  <w:tcW w:w="2148" w:type="pct"/>
                  <w:noWrap w:val="0"/>
                  <w:vAlign w:val="center"/>
                </w:tcPr>
                <w:p w14:paraId="5B2E7367">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颗粒物</w:t>
                  </w:r>
                </w:p>
              </w:tc>
            </w:tr>
            <w:tr w14:paraId="16B834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253B6369">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18E525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G13</w:t>
                  </w:r>
                </w:p>
              </w:tc>
              <w:tc>
                <w:tcPr>
                  <w:tcW w:w="1376" w:type="pct"/>
                  <w:noWrap w:val="0"/>
                  <w:vAlign w:val="center"/>
                </w:tcPr>
                <w:p w14:paraId="15E9C7F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3#振动筛</w:t>
                  </w:r>
                </w:p>
              </w:tc>
              <w:tc>
                <w:tcPr>
                  <w:tcW w:w="2148" w:type="pct"/>
                  <w:noWrap w:val="0"/>
                  <w:vAlign w:val="center"/>
                </w:tcPr>
                <w:p w14:paraId="4E9C5EAE">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颗粒物</w:t>
                  </w:r>
                </w:p>
              </w:tc>
            </w:tr>
            <w:tr w14:paraId="782560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6D20327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2288711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G14</w:t>
                  </w:r>
                </w:p>
              </w:tc>
              <w:tc>
                <w:tcPr>
                  <w:tcW w:w="1376" w:type="pct"/>
                  <w:noWrap w:val="0"/>
                  <w:vAlign w:val="center"/>
                </w:tcPr>
                <w:p w14:paraId="37ECEAC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细石料堆场</w:t>
                  </w:r>
                </w:p>
              </w:tc>
              <w:tc>
                <w:tcPr>
                  <w:tcW w:w="2148" w:type="pct"/>
                  <w:noWrap w:val="0"/>
                  <w:vAlign w:val="center"/>
                </w:tcPr>
                <w:p w14:paraId="6856519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颗粒物</w:t>
                  </w:r>
                </w:p>
              </w:tc>
            </w:tr>
            <w:tr w14:paraId="03F766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05CB21BA">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3AAF0C5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G15</w:t>
                  </w:r>
                </w:p>
              </w:tc>
              <w:tc>
                <w:tcPr>
                  <w:tcW w:w="1376" w:type="pct"/>
                  <w:noWrap w:val="0"/>
                  <w:vAlign w:val="center"/>
                </w:tcPr>
                <w:p w14:paraId="79432A9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石料堆场</w:t>
                  </w:r>
                </w:p>
              </w:tc>
              <w:tc>
                <w:tcPr>
                  <w:tcW w:w="2148" w:type="pct"/>
                  <w:noWrap w:val="0"/>
                  <w:vAlign w:val="center"/>
                </w:tcPr>
                <w:p w14:paraId="6042A298">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颗粒物</w:t>
                  </w:r>
                </w:p>
              </w:tc>
            </w:tr>
            <w:tr w14:paraId="615015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710" w:type="pct"/>
                  <w:vMerge w:val="continue"/>
                  <w:noWrap w:val="0"/>
                  <w:vAlign w:val="center"/>
                </w:tcPr>
                <w:p w14:paraId="3D27379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5C8F969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G16</w:t>
                  </w:r>
                </w:p>
              </w:tc>
              <w:tc>
                <w:tcPr>
                  <w:tcW w:w="1376" w:type="pct"/>
                  <w:noWrap w:val="0"/>
                  <w:vAlign w:val="center"/>
                </w:tcPr>
                <w:p w14:paraId="299FF02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排土场</w:t>
                  </w:r>
                </w:p>
              </w:tc>
              <w:tc>
                <w:tcPr>
                  <w:tcW w:w="2148" w:type="pct"/>
                  <w:noWrap w:val="0"/>
                  <w:vAlign w:val="center"/>
                </w:tcPr>
                <w:p w14:paraId="62D3775E">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颗粒物</w:t>
                  </w:r>
                </w:p>
              </w:tc>
            </w:tr>
            <w:tr w14:paraId="01B60F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7ADBDC72">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1B96040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G17</w:t>
                  </w:r>
                </w:p>
              </w:tc>
              <w:tc>
                <w:tcPr>
                  <w:tcW w:w="1376" w:type="pct"/>
                  <w:noWrap w:val="0"/>
                  <w:vAlign w:val="center"/>
                </w:tcPr>
                <w:p w14:paraId="6C546F4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皮带运输</w:t>
                  </w:r>
                </w:p>
              </w:tc>
              <w:tc>
                <w:tcPr>
                  <w:tcW w:w="2148" w:type="pct"/>
                  <w:noWrap w:val="0"/>
                  <w:vAlign w:val="center"/>
                </w:tcPr>
                <w:p w14:paraId="69B86B8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颗粒物</w:t>
                  </w:r>
                </w:p>
              </w:tc>
            </w:tr>
            <w:tr w14:paraId="2142D8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10" w:type="pct"/>
                  <w:noWrap w:val="0"/>
                  <w:vAlign w:val="center"/>
                </w:tcPr>
                <w:p w14:paraId="459294E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废水</w:t>
                  </w:r>
                </w:p>
              </w:tc>
              <w:tc>
                <w:tcPr>
                  <w:tcW w:w="764" w:type="pct"/>
                  <w:shd w:val="clear" w:color="auto" w:fill="auto"/>
                  <w:noWrap w:val="0"/>
                  <w:vAlign w:val="center"/>
                </w:tcPr>
                <w:p w14:paraId="4B51D8E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themeColor="text1"/>
                      <w:kern w:val="2"/>
                      <w:sz w:val="21"/>
                      <w:szCs w:val="21"/>
                      <w:lang w:val="en-US" w:eastAsia="zh-CN" w:bidi="ar-SA"/>
                      <w14:textFill>
                        <w14:solidFill>
                          <w14:schemeClr w14:val="tx1"/>
                        </w14:solidFill>
                      </w14:textFill>
                    </w:rPr>
                  </w:pPr>
                  <w:r>
                    <w:rPr>
                      <w:rFonts w:hint="eastAsia" w:eastAsia="仿宋" w:cs="Times New Roman"/>
                      <w:bCs/>
                      <w:color w:val="000000" w:themeColor="text1"/>
                      <w:kern w:val="2"/>
                      <w:sz w:val="21"/>
                      <w:szCs w:val="21"/>
                      <w:lang w:val="en-US" w:eastAsia="zh-CN" w:bidi="ar-SA"/>
                      <w14:textFill>
                        <w14:solidFill>
                          <w14:schemeClr w14:val="tx1"/>
                        </w14:solidFill>
                      </w14:textFill>
                    </w:rPr>
                    <w:t>W1</w:t>
                  </w:r>
                </w:p>
              </w:tc>
              <w:tc>
                <w:tcPr>
                  <w:tcW w:w="1376" w:type="pct"/>
                  <w:shd w:val="clear" w:color="auto" w:fill="auto"/>
                  <w:noWrap w:val="0"/>
                  <w:vAlign w:val="center"/>
                </w:tcPr>
                <w:p w14:paraId="31CE7B2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themeColor="text1"/>
                      <w:kern w:val="2"/>
                      <w:sz w:val="21"/>
                      <w:szCs w:val="21"/>
                      <w:lang w:val="en-US" w:eastAsia="zh-CN" w:bidi="ar-SA"/>
                      <w14:textFill>
                        <w14:solidFill>
                          <w14:schemeClr w14:val="tx1"/>
                        </w14:solidFill>
                      </w14:textFill>
                    </w:rPr>
                  </w:pPr>
                  <w:r>
                    <w:rPr>
                      <w:rFonts w:eastAsia="仿宋"/>
                      <w:bCs/>
                      <w:color w:val="000000" w:themeColor="text1"/>
                      <w:szCs w:val="21"/>
                      <w14:textFill>
                        <w14:solidFill>
                          <w14:schemeClr w14:val="tx1"/>
                        </w14:solidFill>
                      </w14:textFill>
                    </w:rPr>
                    <w:t>职工生活</w:t>
                  </w:r>
                </w:p>
              </w:tc>
              <w:tc>
                <w:tcPr>
                  <w:tcW w:w="2148" w:type="pct"/>
                  <w:shd w:val="clear" w:color="auto" w:fill="auto"/>
                  <w:noWrap w:val="0"/>
                  <w:vAlign w:val="center"/>
                </w:tcPr>
                <w:p w14:paraId="27869615">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 w:cs="Times New Roman"/>
                      <w:bCs/>
                      <w:color w:val="000000" w:themeColor="text1"/>
                      <w:kern w:val="2"/>
                      <w:sz w:val="21"/>
                      <w:szCs w:val="21"/>
                      <w:lang w:val="en-US" w:eastAsia="zh-CN" w:bidi="ar-SA"/>
                      <w14:textFill>
                        <w14:solidFill>
                          <w14:schemeClr w14:val="tx1"/>
                        </w14:solidFill>
                      </w14:textFill>
                    </w:rPr>
                  </w:pPr>
                  <w:r>
                    <w:rPr>
                      <w:rFonts w:hint="eastAsia" w:eastAsia="仿宋"/>
                      <w:bCs/>
                      <w:color w:val="000000" w:themeColor="text1"/>
                      <w:szCs w:val="21"/>
                      <w14:textFill>
                        <w14:solidFill>
                          <w14:schemeClr w14:val="tx1"/>
                        </w14:solidFill>
                      </w14:textFill>
                    </w:rPr>
                    <w:t>p</w:t>
                  </w:r>
                  <w:r>
                    <w:rPr>
                      <w:rFonts w:eastAsia="仿宋"/>
                      <w:bCs/>
                      <w:color w:val="000000" w:themeColor="text1"/>
                      <w:szCs w:val="21"/>
                      <w14:textFill>
                        <w14:solidFill>
                          <w14:schemeClr w14:val="tx1"/>
                        </w14:solidFill>
                      </w14:textFill>
                    </w:rPr>
                    <w:t>H</w:t>
                  </w:r>
                  <w:r>
                    <w:rPr>
                      <w:rFonts w:hint="eastAsia" w:eastAsia="仿宋"/>
                      <w:bCs/>
                      <w:color w:val="000000" w:themeColor="text1"/>
                      <w:szCs w:val="21"/>
                      <w14:textFill>
                        <w14:solidFill>
                          <w14:schemeClr w14:val="tx1"/>
                        </w14:solidFill>
                      </w14:textFill>
                    </w:rPr>
                    <w:t>、</w:t>
                  </w:r>
                  <w:r>
                    <w:rPr>
                      <w:rFonts w:eastAsia="仿宋"/>
                      <w:bCs/>
                      <w:color w:val="000000" w:themeColor="text1"/>
                      <w:szCs w:val="21"/>
                      <w14:textFill>
                        <w14:solidFill>
                          <w14:schemeClr w14:val="tx1"/>
                        </w14:solidFill>
                      </w14:textFill>
                    </w:rPr>
                    <w:t>SS、COD、BOD、NH</w:t>
                  </w:r>
                  <w:r>
                    <w:rPr>
                      <w:rFonts w:eastAsia="仿宋"/>
                      <w:bCs/>
                      <w:color w:val="000000" w:themeColor="text1"/>
                      <w:szCs w:val="21"/>
                      <w:vertAlign w:val="subscript"/>
                      <w14:textFill>
                        <w14:solidFill>
                          <w14:schemeClr w14:val="tx1"/>
                        </w14:solidFill>
                      </w14:textFill>
                    </w:rPr>
                    <w:t>3</w:t>
                  </w:r>
                  <w:r>
                    <w:rPr>
                      <w:rFonts w:eastAsia="仿宋"/>
                      <w:bCs/>
                      <w:color w:val="000000" w:themeColor="text1"/>
                      <w:szCs w:val="21"/>
                      <w14:textFill>
                        <w14:solidFill>
                          <w14:schemeClr w14:val="tx1"/>
                        </w14:solidFill>
                      </w14:textFill>
                    </w:rPr>
                    <w:t>-N</w:t>
                  </w:r>
                  <w:r>
                    <w:rPr>
                      <w:rFonts w:hint="eastAsia" w:eastAsia="仿宋"/>
                      <w:bCs/>
                      <w:color w:val="000000" w:themeColor="text1"/>
                      <w:szCs w:val="21"/>
                      <w14:textFill>
                        <w14:solidFill>
                          <w14:schemeClr w14:val="tx1"/>
                        </w14:solidFill>
                      </w14:textFill>
                    </w:rPr>
                    <w:t>、动植物油等</w:t>
                  </w:r>
                </w:p>
              </w:tc>
            </w:tr>
            <w:tr w14:paraId="449E63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restart"/>
                  <w:noWrap w:val="0"/>
                  <w:vAlign w:val="center"/>
                </w:tcPr>
                <w:p w14:paraId="4909C247">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固废</w:t>
                  </w:r>
                </w:p>
              </w:tc>
              <w:tc>
                <w:tcPr>
                  <w:tcW w:w="764" w:type="pct"/>
                  <w:noWrap w:val="0"/>
                  <w:vAlign w:val="center"/>
                </w:tcPr>
                <w:p w14:paraId="56A1CA37">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S1</w:t>
                  </w:r>
                </w:p>
              </w:tc>
              <w:tc>
                <w:tcPr>
                  <w:tcW w:w="1376" w:type="pct"/>
                  <w:vMerge w:val="restart"/>
                  <w:shd w:val="clear" w:color="auto" w:fill="auto"/>
                  <w:noWrap w:val="0"/>
                  <w:vAlign w:val="center"/>
                </w:tcPr>
                <w:p w14:paraId="0BDBF11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themeColor="text1"/>
                      <w:kern w:val="2"/>
                      <w:sz w:val="21"/>
                      <w:szCs w:val="21"/>
                      <w:lang w:val="en-US" w:eastAsia="zh-CN" w:bidi="ar-SA"/>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剥离清表</w:t>
                  </w:r>
                </w:p>
              </w:tc>
              <w:tc>
                <w:tcPr>
                  <w:tcW w:w="2148" w:type="pct"/>
                  <w:shd w:val="clear" w:color="auto" w:fill="auto"/>
                  <w:noWrap w:val="0"/>
                  <w:vAlign w:val="center"/>
                </w:tcPr>
                <w:p w14:paraId="3AD6613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themeColor="text1"/>
                      <w:kern w:val="2"/>
                      <w:sz w:val="21"/>
                      <w:szCs w:val="21"/>
                      <w:lang w:val="en-US" w:eastAsia="zh-CN" w:bidi="ar-SA"/>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表土</w:t>
                  </w:r>
                </w:p>
              </w:tc>
            </w:tr>
            <w:tr w14:paraId="724C65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27A8693F">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19F276BE">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S2</w:t>
                  </w:r>
                </w:p>
              </w:tc>
              <w:tc>
                <w:tcPr>
                  <w:tcW w:w="1376" w:type="pct"/>
                  <w:vMerge w:val="continue"/>
                  <w:shd w:val="clear" w:color="auto" w:fill="auto"/>
                  <w:noWrap w:val="0"/>
                  <w:vAlign w:val="center"/>
                </w:tcPr>
                <w:p w14:paraId="105838E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000000" w:themeColor="text1"/>
                      <w:kern w:val="2"/>
                      <w:sz w:val="21"/>
                      <w:szCs w:val="21"/>
                      <w:lang w:val="en-US" w:eastAsia="zh-CN" w:bidi="ar-SA"/>
                      <w14:textFill>
                        <w14:solidFill>
                          <w14:schemeClr w14:val="tx1"/>
                        </w14:solidFill>
                      </w14:textFill>
                    </w:rPr>
                  </w:pPr>
                </w:p>
              </w:tc>
              <w:tc>
                <w:tcPr>
                  <w:tcW w:w="2148" w:type="pct"/>
                  <w:shd w:val="clear" w:color="auto" w:fill="auto"/>
                  <w:noWrap w:val="0"/>
                  <w:vAlign w:val="center"/>
                </w:tcPr>
                <w:p w14:paraId="7506537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000000" w:themeColor="text1"/>
                      <w:kern w:val="2"/>
                      <w:sz w:val="21"/>
                      <w:szCs w:val="21"/>
                      <w:lang w:val="en-US" w:eastAsia="zh-CN" w:bidi="ar-SA"/>
                      <w14:textFill>
                        <w14:solidFill>
                          <w14:schemeClr w14:val="tx1"/>
                        </w14:solidFill>
                      </w14:textFill>
                    </w:rPr>
                  </w:pPr>
                  <w:r>
                    <w:rPr>
                      <w:rFonts w:hint="eastAsia" w:eastAsia="仿宋"/>
                      <w:bCs/>
                      <w:color w:val="000000" w:themeColor="text1"/>
                      <w:kern w:val="2"/>
                      <w:sz w:val="21"/>
                      <w:szCs w:val="21"/>
                      <w:lang w:val="en-US" w:eastAsia="zh-CN" w:bidi="ar-SA"/>
                      <w14:textFill>
                        <w14:solidFill>
                          <w14:schemeClr w14:val="tx1"/>
                        </w14:solidFill>
                      </w14:textFill>
                    </w:rPr>
                    <w:t>废石</w:t>
                  </w:r>
                </w:p>
              </w:tc>
            </w:tr>
            <w:tr w14:paraId="264B9D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6C3C784B">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3E3CA1C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S3</w:t>
                  </w:r>
                </w:p>
              </w:tc>
              <w:tc>
                <w:tcPr>
                  <w:tcW w:w="1376" w:type="pct"/>
                  <w:vMerge w:val="restart"/>
                  <w:shd w:val="clear" w:color="auto" w:fill="auto"/>
                  <w:noWrap w:val="0"/>
                  <w:vAlign w:val="center"/>
                </w:tcPr>
                <w:p w14:paraId="1026201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000000" w:themeColor="text1"/>
                      <w:kern w:val="2"/>
                      <w:sz w:val="21"/>
                      <w:szCs w:val="21"/>
                      <w:lang w:val="en-US" w:eastAsia="zh-CN" w:bidi="ar-SA"/>
                      <w14:textFill>
                        <w14:solidFill>
                          <w14:schemeClr w14:val="tx1"/>
                        </w14:solidFill>
                      </w14:textFill>
                    </w:rPr>
                  </w:pPr>
                  <w:r>
                    <w:rPr>
                      <w:rFonts w:hint="eastAsia" w:eastAsia="仿宋"/>
                      <w:bCs/>
                      <w:color w:val="000000" w:themeColor="text1"/>
                      <w:kern w:val="2"/>
                      <w:sz w:val="21"/>
                      <w:szCs w:val="21"/>
                      <w:lang w:val="en-US" w:eastAsia="zh-CN" w:bidi="ar-SA"/>
                      <w14:textFill>
                        <w14:solidFill>
                          <w14:schemeClr w14:val="tx1"/>
                        </w14:solidFill>
                      </w14:textFill>
                    </w:rPr>
                    <w:t>布袋除尘器</w:t>
                  </w:r>
                </w:p>
              </w:tc>
              <w:tc>
                <w:tcPr>
                  <w:tcW w:w="2148" w:type="pct"/>
                  <w:shd w:val="clear" w:color="auto" w:fill="auto"/>
                  <w:noWrap w:val="0"/>
                  <w:vAlign w:val="center"/>
                </w:tcPr>
                <w:p w14:paraId="08025DF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themeColor="text1"/>
                      <w:kern w:val="2"/>
                      <w:sz w:val="21"/>
                      <w:szCs w:val="21"/>
                      <w:lang w:val="en-US" w:eastAsia="zh-CN" w:bidi="ar-SA"/>
                      <w14:textFill>
                        <w14:solidFill>
                          <w14:schemeClr w14:val="tx1"/>
                        </w14:solidFill>
                      </w14:textFill>
                    </w:rPr>
                  </w:pPr>
                  <w:r>
                    <w:rPr>
                      <w:rFonts w:hint="eastAsia" w:eastAsia="仿宋" w:cs="Times New Roman"/>
                      <w:bCs/>
                      <w:color w:val="000000" w:themeColor="text1"/>
                      <w:kern w:val="2"/>
                      <w:sz w:val="21"/>
                      <w:szCs w:val="21"/>
                      <w:lang w:val="en-US" w:eastAsia="zh-CN" w:bidi="ar-SA"/>
                      <w14:textFill>
                        <w14:solidFill>
                          <w14:schemeClr w14:val="tx1"/>
                        </w14:solidFill>
                      </w14:textFill>
                    </w:rPr>
                    <w:t>除尘灰</w:t>
                  </w:r>
                </w:p>
              </w:tc>
            </w:tr>
            <w:tr w14:paraId="2D1370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2D68AB9A">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522B058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S4</w:t>
                  </w:r>
                </w:p>
              </w:tc>
              <w:tc>
                <w:tcPr>
                  <w:tcW w:w="1376" w:type="pct"/>
                  <w:vMerge w:val="continue"/>
                  <w:shd w:val="clear" w:color="auto" w:fill="auto"/>
                  <w:noWrap w:val="0"/>
                  <w:vAlign w:val="center"/>
                </w:tcPr>
                <w:p w14:paraId="789C13E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000000" w:themeColor="text1"/>
                      <w:kern w:val="2"/>
                      <w:sz w:val="21"/>
                      <w:szCs w:val="21"/>
                      <w:lang w:val="en-US" w:eastAsia="zh-CN" w:bidi="ar-SA"/>
                      <w14:textFill>
                        <w14:solidFill>
                          <w14:schemeClr w14:val="tx1"/>
                        </w14:solidFill>
                      </w14:textFill>
                    </w:rPr>
                  </w:pPr>
                </w:p>
              </w:tc>
              <w:tc>
                <w:tcPr>
                  <w:tcW w:w="2148" w:type="pct"/>
                  <w:shd w:val="clear" w:color="auto" w:fill="auto"/>
                  <w:noWrap w:val="0"/>
                  <w:vAlign w:val="center"/>
                </w:tcPr>
                <w:p w14:paraId="072E70F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themeColor="text1"/>
                      <w:kern w:val="2"/>
                      <w:sz w:val="21"/>
                      <w:szCs w:val="21"/>
                      <w:lang w:val="en-US" w:eastAsia="zh-CN" w:bidi="ar-SA"/>
                      <w14:textFill>
                        <w14:solidFill>
                          <w14:schemeClr w14:val="tx1"/>
                        </w14:solidFill>
                      </w14:textFill>
                    </w:rPr>
                  </w:pPr>
                  <w:r>
                    <w:rPr>
                      <w:rFonts w:hint="eastAsia" w:eastAsia="仿宋" w:cs="Times New Roman"/>
                      <w:bCs/>
                      <w:color w:val="000000" w:themeColor="text1"/>
                      <w:kern w:val="2"/>
                      <w:sz w:val="21"/>
                      <w:szCs w:val="21"/>
                      <w:lang w:val="en-US" w:eastAsia="zh-CN" w:bidi="ar-SA"/>
                      <w14:textFill>
                        <w14:solidFill>
                          <w14:schemeClr w14:val="tx1"/>
                        </w14:solidFill>
                      </w14:textFill>
                    </w:rPr>
                    <w:t>废布袋</w:t>
                  </w:r>
                </w:p>
              </w:tc>
            </w:tr>
            <w:tr w14:paraId="1430FA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226ED647">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607815B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S5</w:t>
                  </w:r>
                </w:p>
              </w:tc>
              <w:tc>
                <w:tcPr>
                  <w:tcW w:w="1376" w:type="pct"/>
                  <w:shd w:val="clear" w:color="auto" w:fill="auto"/>
                  <w:noWrap w:val="0"/>
                  <w:vAlign w:val="center"/>
                </w:tcPr>
                <w:p w14:paraId="4178932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themeColor="text1"/>
                      <w:kern w:val="2"/>
                      <w:sz w:val="21"/>
                      <w:szCs w:val="21"/>
                      <w:lang w:val="en-US" w:eastAsia="zh-CN" w:bidi="ar-SA"/>
                      <w14:textFill>
                        <w14:solidFill>
                          <w14:schemeClr w14:val="tx1"/>
                        </w14:solidFill>
                      </w14:textFill>
                    </w:rPr>
                  </w:pPr>
                  <w:r>
                    <w:rPr>
                      <w:rFonts w:eastAsia="仿宋"/>
                      <w:bCs/>
                      <w:color w:val="000000" w:themeColor="text1"/>
                      <w:szCs w:val="21"/>
                      <w14:textFill>
                        <w14:solidFill>
                          <w14:schemeClr w14:val="tx1"/>
                        </w14:solidFill>
                      </w14:textFill>
                    </w:rPr>
                    <w:t>职工生活</w:t>
                  </w:r>
                </w:p>
              </w:tc>
              <w:tc>
                <w:tcPr>
                  <w:tcW w:w="2148" w:type="pct"/>
                  <w:shd w:val="clear" w:color="auto" w:fill="auto"/>
                  <w:noWrap w:val="0"/>
                  <w:vAlign w:val="center"/>
                </w:tcPr>
                <w:p w14:paraId="1D2828E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themeColor="text1"/>
                      <w:kern w:val="2"/>
                      <w:sz w:val="21"/>
                      <w:szCs w:val="21"/>
                      <w:lang w:val="en-US" w:eastAsia="zh-CN" w:bidi="ar-SA"/>
                      <w14:textFill>
                        <w14:solidFill>
                          <w14:schemeClr w14:val="tx1"/>
                        </w14:solidFill>
                      </w14:textFill>
                    </w:rPr>
                  </w:pPr>
                  <w:r>
                    <w:rPr>
                      <w:rFonts w:eastAsia="仿宋"/>
                      <w:bCs/>
                      <w:color w:val="000000" w:themeColor="text1"/>
                      <w:szCs w:val="21"/>
                      <w14:textFill>
                        <w14:solidFill>
                          <w14:schemeClr w14:val="tx1"/>
                        </w14:solidFill>
                      </w14:textFill>
                    </w:rPr>
                    <w:t>生活垃圾</w:t>
                  </w:r>
                </w:p>
              </w:tc>
            </w:tr>
            <w:tr w14:paraId="1720E2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vMerge w:val="continue"/>
                  <w:noWrap w:val="0"/>
                  <w:vAlign w:val="center"/>
                </w:tcPr>
                <w:p w14:paraId="00122FAE">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p>
              </w:tc>
              <w:tc>
                <w:tcPr>
                  <w:tcW w:w="764" w:type="pct"/>
                  <w:noWrap w:val="0"/>
                  <w:vAlign w:val="center"/>
                </w:tcPr>
                <w:p w14:paraId="696C64C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S6</w:t>
                  </w:r>
                </w:p>
              </w:tc>
              <w:tc>
                <w:tcPr>
                  <w:tcW w:w="1376" w:type="pct"/>
                  <w:shd w:val="clear" w:color="auto" w:fill="auto"/>
                  <w:noWrap w:val="0"/>
                  <w:vAlign w:val="center"/>
                </w:tcPr>
                <w:p w14:paraId="7EE9002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设备检修</w:t>
                  </w:r>
                </w:p>
              </w:tc>
              <w:tc>
                <w:tcPr>
                  <w:tcW w:w="2148" w:type="pct"/>
                  <w:shd w:val="clear" w:color="auto" w:fill="auto"/>
                  <w:noWrap w:val="0"/>
                  <w:vAlign w:val="center"/>
                </w:tcPr>
                <w:p w14:paraId="1A94EF3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废矿物油和废油桶</w:t>
                  </w:r>
                </w:p>
              </w:tc>
            </w:tr>
            <w:tr w14:paraId="5A4833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10" w:type="pct"/>
                  <w:noWrap w:val="0"/>
                  <w:vAlign w:val="center"/>
                </w:tcPr>
                <w:p w14:paraId="7D96494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噪声</w:t>
                  </w:r>
                </w:p>
              </w:tc>
              <w:tc>
                <w:tcPr>
                  <w:tcW w:w="764" w:type="pct"/>
                  <w:noWrap w:val="0"/>
                  <w:vAlign w:val="center"/>
                </w:tcPr>
                <w:p w14:paraId="0D7D4C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lang w:val="en-US" w:eastAsia="zh-CN"/>
                      <w14:textFill>
                        <w14:solidFill>
                          <w14:schemeClr w14:val="tx1"/>
                        </w14:solidFill>
                      </w14:textFill>
                    </w:rPr>
                  </w:pPr>
                  <w:r>
                    <w:rPr>
                      <w:rFonts w:eastAsia="仿宋"/>
                      <w:bCs/>
                      <w:color w:val="000000" w:themeColor="text1"/>
                      <w:szCs w:val="21"/>
                      <w14:textFill>
                        <w14:solidFill>
                          <w14:schemeClr w14:val="tx1"/>
                        </w14:solidFill>
                      </w14:textFill>
                    </w:rPr>
                    <w:t>N</w:t>
                  </w:r>
                </w:p>
              </w:tc>
              <w:tc>
                <w:tcPr>
                  <w:tcW w:w="1376" w:type="pct"/>
                  <w:noWrap w:val="0"/>
                  <w:vAlign w:val="center"/>
                </w:tcPr>
                <w:p w14:paraId="4E37EBF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hint="eastAsia" w:eastAsia="仿宋"/>
                      <w:bCs/>
                      <w:color w:val="000000" w:themeColor="text1"/>
                      <w:szCs w:val="21"/>
                      <w:lang w:val="en-US" w:eastAsia="zh-CN"/>
                      <w14:textFill>
                        <w14:solidFill>
                          <w14:schemeClr w14:val="tx1"/>
                        </w14:solidFill>
                      </w14:textFill>
                    </w:rPr>
                    <w:t>采矿、</w:t>
                  </w:r>
                  <w:r>
                    <w:rPr>
                      <w:rFonts w:eastAsia="仿宋"/>
                      <w:bCs/>
                      <w:color w:val="000000" w:themeColor="text1"/>
                      <w:szCs w:val="21"/>
                      <w14:textFill>
                        <w14:solidFill>
                          <w14:schemeClr w14:val="tx1"/>
                        </w14:solidFill>
                      </w14:textFill>
                    </w:rPr>
                    <w:t>生产</w:t>
                  </w:r>
                </w:p>
              </w:tc>
              <w:tc>
                <w:tcPr>
                  <w:tcW w:w="2148" w:type="pct"/>
                  <w:noWrap w:val="0"/>
                  <w:vAlign w:val="center"/>
                </w:tcPr>
                <w:p w14:paraId="1E762D59">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zCs w:val="21"/>
                      <w14:textFill>
                        <w14:solidFill>
                          <w14:schemeClr w14:val="tx1"/>
                        </w14:solidFill>
                      </w14:textFill>
                    </w:rPr>
                  </w:pPr>
                  <w:r>
                    <w:rPr>
                      <w:rFonts w:eastAsia="仿宋"/>
                      <w:bCs/>
                      <w:color w:val="000000" w:themeColor="text1"/>
                      <w:szCs w:val="21"/>
                      <w14:textFill>
                        <w14:solidFill>
                          <w14:schemeClr w14:val="tx1"/>
                        </w14:solidFill>
                      </w14:textFill>
                    </w:rPr>
                    <w:t>噪声</w:t>
                  </w:r>
                </w:p>
              </w:tc>
            </w:tr>
          </w:tbl>
          <w:p w14:paraId="60EB39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kern w:val="0"/>
                <w:sz w:val="24"/>
                <w:highlight w:val="none"/>
                <w:lang w:val="en-US" w:eastAsia="zh-CN"/>
              </w:rPr>
            </w:pPr>
          </w:p>
        </w:tc>
      </w:tr>
      <w:tr w14:paraId="6A2292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26" w:type="dxa"/>
            <w:tcBorders>
              <w:tl2br w:val="nil"/>
              <w:tr2bl w:val="nil"/>
            </w:tcBorders>
            <w:vAlign w:val="center"/>
          </w:tcPr>
          <w:p w14:paraId="1F14F5E4">
            <w:pPr>
              <w:adjustRightInd w:val="0"/>
              <w:snapToGrid w:val="0"/>
              <w:jc w:val="center"/>
              <w:rPr>
                <w:rFonts w:hint="default" w:ascii="Times New Roman" w:hAnsi="Times New Roman" w:eastAsia="仿宋" w:cs="Times New Roman"/>
                <w:color w:val="auto"/>
                <w:kern w:val="0"/>
                <w:sz w:val="24"/>
                <w:highlight w:val="none"/>
              </w:rPr>
            </w:pPr>
            <w:r>
              <w:rPr>
                <w:rFonts w:hint="default" w:ascii="Times New Roman" w:hAnsi="Times New Roman" w:eastAsia="仿宋" w:cs="Times New Roman"/>
                <w:color w:val="auto"/>
                <w:spacing w:val="0"/>
                <w:kern w:val="0"/>
                <w:position w:val="0"/>
                <w:sz w:val="24"/>
                <w:highlight w:val="none"/>
              </w:rPr>
              <w:t>其他</w:t>
            </w:r>
          </w:p>
        </w:tc>
        <w:tc>
          <w:tcPr>
            <w:tcW w:w="8068" w:type="dxa"/>
            <w:tcBorders>
              <w:tl2br w:val="nil"/>
              <w:tr2bl w:val="nil"/>
            </w:tcBorders>
            <w:vAlign w:val="center"/>
          </w:tcPr>
          <w:p w14:paraId="3CEFA5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szCs w:val="20"/>
                <w:highlight w:val="none"/>
                <w:lang w:val="en-US" w:eastAsia="zh-CN"/>
              </w:rPr>
            </w:pPr>
          </w:p>
          <w:p w14:paraId="01F89E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szCs w:val="20"/>
                <w:highlight w:val="none"/>
                <w:lang w:val="en-US" w:eastAsia="zh-CN"/>
              </w:rPr>
            </w:pPr>
          </w:p>
          <w:p w14:paraId="62EA7F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szCs w:val="20"/>
                <w:highlight w:val="none"/>
                <w:lang w:val="en-US" w:eastAsia="zh-CN"/>
              </w:rPr>
            </w:pPr>
          </w:p>
          <w:p w14:paraId="7F496D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szCs w:val="20"/>
                <w:highlight w:val="none"/>
                <w:lang w:val="en-US" w:eastAsia="zh-CN"/>
              </w:rPr>
            </w:pPr>
          </w:p>
          <w:p w14:paraId="045FDD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仿宋" w:cs="Times New Roman"/>
                <w:color w:val="auto"/>
                <w:sz w:val="24"/>
                <w:szCs w:val="20"/>
                <w:highlight w:val="none"/>
                <w:lang w:val="en-US" w:eastAsia="zh-CN"/>
              </w:rPr>
            </w:pPr>
          </w:p>
          <w:p w14:paraId="4AB46CC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仿宋" w:cs="Times New Roman"/>
                <w:color w:val="auto"/>
                <w:sz w:val="24"/>
                <w:szCs w:val="20"/>
                <w:highlight w:val="none"/>
                <w:lang w:val="en-US" w:eastAsia="zh-CN"/>
              </w:rPr>
            </w:pPr>
            <w:r>
              <w:rPr>
                <w:rFonts w:hint="eastAsia" w:ascii="Times New Roman" w:hAnsi="Times New Roman" w:eastAsia="仿宋" w:cs="Times New Roman"/>
                <w:color w:val="auto"/>
                <w:sz w:val="24"/>
                <w:szCs w:val="20"/>
                <w:highlight w:val="none"/>
                <w:lang w:val="en-US" w:eastAsia="zh-CN"/>
              </w:rPr>
              <w:t>无</w:t>
            </w:r>
          </w:p>
          <w:p w14:paraId="6BE0338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仿宋" w:cs="Times New Roman"/>
                <w:color w:val="auto"/>
                <w:sz w:val="24"/>
                <w:szCs w:val="20"/>
                <w:highlight w:val="none"/>
                <w:lang w:val="en-US" w:eastAsia="zh-CN"/>
              </w:rPr>
            </w:pPr>
          </w:p>
          <w:p w14:paraId="1D6E295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仿宋" w:cs="Times New Roman"/>
                <w:color w:val="auto"/>
                <w:sz w:val="24"/>
                <w:szCs w:val="20"/>
                <w:highlight w:val="none"/>
                <w:lang w:val="en-US" w:eastAsia="zh-CN"/>
              </w:rPr>
            </w:pPr>
          </w:p>
          <w:p w14:paraId="7277418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仿宋" w:cs="Times New Roman"/>
                <w:color w:val="auto"/>
                <w:sz w:val="30"/>
                <w:szCs w:val="30"/>
                <w:highlight w:val="none"/>
                <w:lang w:val="en-US" w:eastAsia="zh-CN"/>
              </w:rPr>
            </w:pPr>
          </w:p>
          <w:p w14:paraId="71482FB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仿宋" w:cs="Times New Roman"/>
                <w:color w:val="auto"/>
                <w:sz w:val="30"/>
                <w:szCs w:val="30"/>
                <w:highlight w:val="none"/>
                <w:lang w:val="en-US" w:eastAsia="zh-CN"/>
              </w:rPr>
            </w:pPr>
          </w:p>
          <w:p w14:paraId="3EE4D1F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仿宋" w:cs="Times New Roman"/>
                <w:color w:val="auto"/>
                <w:sz w:val="30"/>
                <w:szCs w:val="30"/>
                <w:highlight w:val="none"/>
                <w:lang w:val="en-US" w:eastAsia="zh-CN"/>
              </w:rPr>
            </w:pPr>
          </w:p>
        </w:tc>
      </w:tr>
    </w:tbl>
    <w:p w14:paraId="6F79B57D">
      <w:pPr>
        <w:pStyle w:val="20"/>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default" w:ascii="Times New Roman" w:hAnsi="Times New Roman" w:eastAsia="仿宋" w:cs="Times New Roman"/>
          <w:snapToGrid w:val="0"/>
          <w:color w:val="auto"/>
          <w:sz w:val="30"/>
          <w:szCs w:val="30"/>
          <w:highlight w:val="none"/>
        </w:rPr>
      </w:pPr>
      <w:bookmarkStart w:id="34" w:name="_Toc475265489"/>
      <w:bookmarkStart w:id="35" w:name="_Toc7983"/>
      <w:bookmarkStart w:id="36" w:name="_Toc30184"/>
      <w:bookmarkStart w:id="37" w:name="_Toc3593"/>
      <w:bookmarkStart w:id="38" w:name="_Toc12853"/>
      <w:r>
        <w:rPr>
          <w:rFonts w:hint="default" w:ascii="Times New Roman" w:hAnsi="Times New Roman" w:eastAsia="仿宋" w:cs="Times New Roman"/>
          <w:snapToGrid w:val="0"/>
          <w:color w:val="auto"/>
          <w:sz w:val="30"/>
          <w:szCs w:val="30"/>
          <w:highlight w:val="none"/>
          <w:lang w:val="en-US" w:eastAsia="zh-CN"/>
        </w:rPr>
        <w:t>三、</w:t>
      </w:r>
      <w:r>
        <w:rPr>
          <w:rFonts w:hint="default" w:ascii="Times New Roman" w:hAnsi="Times New Roman" w:eastAsia="仿宋" w:cs="Times New Roman"/>
          <w:snapToGrid w:val="0"/>
          <w:color w:val="auto"/>
          <w:sz w:val="30"/>
          <w:szCs w:val="30"/>
          <w:highlight w:val="none"/>
        </w:rPr>
        <w:t>生态环境现状、保护目标及评价标准</w:t>
      </w:r>
      <w:bookmarkEnd w:id="34"/>
      <w:bookmarkEnd w:id="35"/>
      <w:bookmarkEnd w:id="36"/>
      <w:bookmarkEnd w:id="37"/>
      <w:bookmarkEnd w:id="38"/>
    </w:p>
    <w:tbl>
      <w:tblPr>
        <w:tblStyle w:val="23"/>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7683"/>
      </w:tblGrid>
      <w:tr w14:paraId="6C9C5E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491" w:type="pct"/>
            <w:noWrap w:val="0"/>
            <w:vAlign w:val="center"/>
          </w:tcPr>
          <w:p w14:paraId="6D10E66B">
            <w:pPr>
              <w:adjustRightInd w:val="0"/>
              <w:snapToGrid w:val="0"/>
              <w:jc w:val="center"/>
              <w:rPr>
                <w:rFonts w:hint="default" w:ascii="Times New Roman" w:hAnsi="Times New Roman" w:eastAsia="仿宋" w:cs="Times New Roman"/>
                <w:color w:val="auto"/>
                <w:kern w:val="0"/>
                <w:sz w:val="24"/>
                <w:highlight w:val="none"/>
              </w:rPr>
            </w:pPr>
            <w:r>
              <w:rPr>
                <w:rFonts w:hint="default" w:ascii="Times New Roman" w:hAnsi="Times New Roman" w:eastAsia="仿宋" w:cs="Times New Roman"/>
                <w:color w:val="auto"/>
                <w:kern w:val="0"/>
                <w:sz w:val="24"/>
                <w:highlight w:val="none"/>
              </w:rPr>
              <w:t>生态环境现状</w:t>
            </w:r>
          </w:p>
        </w:tc>
        <w:tc>
          <w:tcPr>
            <w:tcW w:w="4508" w:type="pct"/>
            <w:noWrap w:val="0"/>
            <w:vAlign w:val="center"/>
          </w:tcPr>
          <w:p w14:paraId="59E2404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eastAsia" w:eastAsia="仿宋" w:cs="Times New Roman"/>
                <w:b/>
                <w:bCs/>
                <w:color w:val="auto"/>
                <w:sz w:val="24"/>
                <w:szCs w:val="24"/>
                <w:highlight w:val="none"/>
                <w:lang w:val="en-US" w:eastAsia="zh-CN"/>
              </w:rPr>
            </w:pPr>
            <w:r>
              <w:rPr>
                <w:rFonts w:hint="eastAsia" w:eastAsia="仿宋" w:cs="Times New Roman"/>
                <w:b/>
                <w:bCs/>
                <w:color w:val="auto"/>
                <w:kern w:val="2"/>
                <w:sz w:val="24"/>
                <w:szCs w:val="24"/>
                <w:lang w:val="en-US" w:eastAsia="zh-CN" w:bidi="ar-SA"/>
              </w:rPr>
              <w:t>1.</w:t>
            </w:r>
            <w:r>
              <w:rPr>
                <w:rFonts w:hint="eastAsia" w:eastAsia="仿宋" w:cs="Times New Roman"/>
                <w:b/>
                <w:bCs/>
                <w:color w:val="auto"/>
                <w:sz w:val="24"/>
                <w:szCs w:val="24"/>
                <w:highlight w:val="none"/>
                <w:lang w:val="en-US" w:eastAsia="zh-CN"/>
              </w:rPr>
              <w:t>生态环境现状</w:t>
            </w:r>
          </w:p>
          <w:p w14:paraId="439679E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bCs w:val="0"/>
                <w:color w:val="000000" w:themeColor="text1"/>
                <w:sz w:val="24"/>
                <w:highlight w:val="none"/>
                <w:lang w:val="en-US"/>
                <w14:textFill>
                  <w14:solidFill>
                    <w14:schemeClr w14:val="tx1"/>
                  </w14:solidFill>
                </w14:textFill>
              </w:rPr>
            </w:pPr>
            <w:r>
              <w:rPr>
                <w:rFonts w:hint="default" w:ascii="Times New Roman" w:hAnsi="Times New Roman" w:eastAsia="仿宋" w:cs="Times New Roman"/>
                <w:b w:val="0"/>
                <w:bCs w:val="0"/>
                <w:color w:val="000000" w:themeColor="text1"/>
                <w:sz w:val="24"/>
                <w:szCs w:val="24"/>
                <w:highlight w:val="none"/>
                <w:lang w:val="en-US" w:eastAsia="zh-CN"/>
                <w14:textFill>
                  <w14:solidFill>
                    <w14:schemeClr w14:val="tx1"/>
                  </w14:solidFill>
                </w14:textFill>
              </w:rPr>
              <w:t>⑴主体功能区规划</w:t>
            </w:r>
          </w:p>
          <w:p w14:paraId="43361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bCs w:val="0"/>
                <w:color w:val="000000" w:themeColor="text1"/>
                <w:sz w:val="24"/>
                <w:highlight w:val="none"/>
                <w:lang w:val="en-US" w:eastAsia="zh-CN"/>
                <w14:textFill>
                  <w14:solidFill>
                    <w14:schemeClr w14:val="tx1"/>
                  </w14:solidFill>
                </w14:textFill>
              </w:rPr>
            </w:pPr>
            <w:r>
              <w:rPr>
                <w:rFonts w:hint="eastAsia" w:eastAsia="仿宋" w:cs="Times New Roman"/>
                <w:b w:val="0"/>
                <w:bCs w:val="0"/>
                <w:color w:val="000000" w:themeColor="text1"/>
                <w:sz w:val="24"/>
                <w:highlight w:val="none"/>
                <w:lang w:val="en-US" w:eastAsia="zh-CN"/>
                <w14:textFill>
                  <w14:solidFill>
                    <w14:schemeClr w14:val="tx1"/>
                  </w14:solidFill>
                </w14:textFill>
              </w:rPr>
              <w:t>根据《全国主体功能区划》，主要矿产资源开发布局—西北地区，合理开发利用内蒙古、陕西、甘肃、新疆的铜、锌、镍、钼等资源。</w:t>
            </w:r>
          </w:p>
          <w:p w14:paraId="13B74BB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微软雅黑" w:cs="Times New Roman"/>
                <w:b w:val="0"/>
                <w:bCs w:val="0"/>
                <w:color w:val="000000" w:themeColor="text1"/>
                <w:sz w:val="24"/>
                <w:szCs w:val="24"/>
                <w:highlight w:val="none"/>
                <w:lang w:val="en-US" w:eastAsia="zh-CN"/>
                <w14:textFill>
                  <w14:solidFill>
                    <w14:schemeClr w14:val="tx1"/>
                  </w14:solidFill>
                </w14:textFill>
              </w:rPr>
            </w:pPr>
            <w:r>
              <w:rPr>
                <w:rFonts w:hint="eastAsia" w:eastAsia="仿宋" w:cs="Times New Roman"/>
                <w:b w:val="0"/>
                <w:bCs w:val="0"/>
                <w:color w:val="000000" w:themeColor="text1"/>
                <w:spacing w:val="0"/>
                <w:sz w:val="24"/>
                <w:szCs w:val="24"/>
                <w:highlight w:val="none"/>
                <w:lang w:val="en-US" w:eastAsia="zh-CN"/>
                <w14:textFill>
                  <w14:solidFill>
                    <w14:schemeClr w14:val="tx1"/>
                  </w14:solidFill>
                </w14:textFill>
              </w:rPr>
              <w:t>本</w:t>
            </w:r>
            <w:r>
              <w:rPr>
                <w:rFonts w:hint="default" w:ascii="Times New Roman" w:hAnsi="Times New Roman" w:eastAsia="仿宋" w:cs="Times New Roman"/>
                <w:color w:val="000000" w:themeColor="text1"/>
                <w:spacing w:val="0"/>
                <w:sz w:val="24"/>
                <w:szCs w:val="24"/>
                <w:highlight w:val="none"/>
                <w14:textFill>
                  <w14:solidFill>
                    <w14:schemeClr w14:val="tx1"/>
                  </w14:solidFill>
                </w14:textFill>
              </w:rPr>
              <w:t>项目</w:t>
            </w:r>
            <w:r>
              <w:rPr>
                <w:rFonts w:hint="eastAsia" w:eastAsia="仿宋" w:cs="Times New Roman"/>
                <w:color w:val="000000" w:themeColor="text1"/>
                <w:spacing w:val="0"/>
                <w:sz w:val="24"/>
                <w:szCs w:val="24"/>
                <w:highlight w:val="none"/>
                <w:lang w:val="en-US" w:eastAsia="zh-CN"/>
                <w14:textFill>
                  <w14:solidFill>
                    <w14:schemeClr w14:val="tx1"/>
                  </w14:solidFill>
                </w14:textFill>
              </w:rPr>
              <w:t>开采</w:t>
            </w:r>
            <w:r>
              <w:rPr>
                <w:rFonts w:hint="default" w:ascii="Times New Roman" w:hAnsi="Times New Roman" w:eastAsia="仿宋" w:cs="Times New Roman"/>
                <w:color w:val="auto"/>
                <w:sz w:val="24"/>
                <w:highlight w:val="none"/>
                <w:lang w:val="en-US" w:eastAsia="zh-CN"/>
              </w:rPr>
              <w:t>冶金用石英岩原矿</w:t>
            </w:r>
            <w:r>
              <w:rPr>
                <w:rFonts w:hint="eastAsia" w:eastAsia="仿宋" w:cs="Times New Roman"/>
                <w:color w:val="000000" w:themeColor="text1"/>
                <w:spacing w:val="0"/>
                <w:sz w:val="24"/>
                <w:szCs w:val="24"/>
                <w:highlight w:val="none"/>
                <w:lang w:val="en-US" w:eastAsia="zh-CN"/>
                <w14:textFill>
                  <w14:solidFill>
                    <w14:schemeClr w14:val="tx1"/>
                  </w14:solidFill>
                </w14:textFill>
              </w:rPr>
              <w:t>属于可采矿种，不属于禁采矿，符合</w:t>
            </w:r>
            <w:r>
              <w:rPr>
                <w:rFonts w:hint="eastAsia" w:eastAsia="仿宋" w:cs="Times New Roman"/>
                <w:b w:val="0"/>
                <w:bCs w:val="0"/>
                <w:color w:val="000000" w:themeColor="text1"/>
                <w:sz w:val="24"/>
                <w:highlight w:val="none"/>
                <w:lang w:val="en-US" w:eastAsia="zh-CN"/>
                <w14:textFill>
                  <w14:solidFill>
                    <w14:schemeClr w14:val="tx1"/>
                  </w14:solidFill>
                </w14:textFill>
              </w:rPr>
              <w:t>《全国主体功能区划》。</w:t>
            </w:r>
          </w:p>
          <w:p w14:paraId="514DBDD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微软雅黑" w:cs="Times New Roman"/>
                <w:b w:val="0"/>
                <w:bCs w:val="0"/>
                <w:color w:val="000000" w:themeColor="text1"/>
                <w:sz w:val="24"/>
                <w:szCs w:val="24"/>
                <w:highlight w:val="none"/>
                <w:lang w:val="en-US" w:eastAsia="zh-CN"/>
                <w14:textFill>
                  <w14:solidFill>
                    <w14:schemeClr w14:val="tx1"/>
                  </w14:solidFill>
                </w14:textFill>
              </w:rPr>
              <w:t>⑵</w:t>
            </w:r>
            <w:r>
              <w:rPr>
                <w:rFonts w:hint="default" w:ascii="Times New Roman" w:hAnsi="Times New Roman" w:eastAsia="仿宋" w:cs="Times New Roman"/>
                <w:b w:val="0"/>
                <w:bCs w:val="0"/>
                <w:color w:val="000000" w:themeColor="text1"/>
                <w:sz w:val="24"/>
                <w:szCs w:val="24"/>
                <w:highlight w:val="none"/>
                <w:lang w:val="en-US" w:eastAsia="zh-CN"/>
                <w14:textFill>
                  <w14:solidFill>
                    <w14:schemeClr w14:val="tx1"/>
                  </w14:solidFill>
                </w14:textFill>
              </w:rPr>
              <w:t>生态功能区划</w:t>
            </w:r>
          </w:p>
          <w:p w14:paraId="22962EAA">
            <w:pPr>
              <w:pStyle w:val="64"/>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eastAsia="仿宋" w:cs="Times New Roman"/>
                <w:color w:val="000000"/>
              </w:rPr>
            </w:pPr>
            <w:r>
              <w:rPr>
                <w:rFonts w:hint="eastAsia" w:eastAsia="仿宋" w:cs="Times New Roman"/>
                <w:color w:val="000000"/>
              </w:rPr>
              <w:t>根据《甘肃省生态功能区划》划分，</w:t>
            </w:r>
            <w:r>
              <w:rPr>
                <w:rFonts w:hint="eastAsia" w:eastAsia="仿宋" w:cs="Times New Roman"/>
                <w:color w:val="000000"/>
                <w:lang w:val="en-US" w:eastAsia="zh-CN"/>
              </w:rPr>
              <w:t>本</w:t>
            </w:r>
            <w:r>
              <w:rPr>
                <w:rFonts w:hint="eastAsia" w:eastAsia="仿宋" w:cs="Times New Roman"/>
                <w:color w:val="000000"/>
              </w:rPr>
              <w:t>项目属于</w:t>
            </w:r>
            <w:r>
              <w:rPr>
                <w:rFonts w:hint="eastAsia" w:eastAsia="仿宋" w:cs="Times New Roman"/>
                <w:color w:val="000000"/>
                <w:lang w:val="en-US" w:eastAsia="zh-CN"/>
              </w:rPr>
              <w:t>内蒙古中西部干旱荒漠生态区-巴丹吉林沙漠生态亚区-</w:t>
            </w:r>
            <w:r>
              <w:rPr>
                <w:rFonts w:hint="eastAsia" w:eastAsia="仿宋" w:cs="Times New Roman"/>
                <w:color w:val="000000"/>
              </w:rPr>
              <w:t>合黎山北麓风蚀沙化控制生态功能区。</w:t>
            </w:r>
            <w:r>
              <w:rPr>
                <w:rFonts w:eastAsia="仿宋" w:cs="Times New Roman"/>
                <w:color w:val="000000"/>
              </w:rPr>
              <w:t>甘肃省生态功能区划图见附图</w:t>
            </w:r>
            <w:r>
              <w:rPr>
                <w:rFonts w:hint="eastAsia" w:eastAsia="仿宋" w:cs="Times New Roman"/>
                <w:color w:val="000000"/>
                <w:lang w:val="en-US" w:eastAsia="zh-CN"/>
              </w:rPr>
              <w:t>6</w:t>
            </w:r>
            <w:r>
              <w:rPr>
                <w:rFonts w:eastAsia="仿宋" w:cs="Times New Roman"/>
                <w:color w:val="000000"/>
              </w:rPr>
              <w:t>。</w:t>
            </w:r>
          </w:p>
          <w:p w14:paraId="38BAD87B">
            <w:pPr>
              <w:keepNext w:val="0"/>
              <w:keepLines w:val="0"/>
              <w:pageBreakBefore w:val="0"/>
              <w:widowControl w:val="0"/>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eastAsia="仿宋" w:cs="Times New Roman"/>
                <w:b w:val="0"/>
                <w:bCs/>
                <w:color w:val="auto"/>
                <w:sz w:val="24"/>
                <w:highlight w:val="none"/>
              </w:rPr>
            </w:pPr>
            <w:r>
              <w:rPr>
                <w:rFonts w:hint="default" w:ascii="Times New Roman" w:hAnsi="Times New Roman" w:eastAsia="微软雅黑" w:cs="Times New Roman"/>
                <w:b w:val="0"/>
                <w:bCs/>
                <w:color w:val="auto"/>
                <w:sz w:val="24"/>
                <w:highlight w:val="none"/>
              </w:rPr>
              <w:t>⑶</w:t>
            </w:r>
            <w:r>
              <w:rPr>
                <w:rFonts w:hint="default" w:ascii="Times New Roman" w:hAnsi="Times New Roman" w:eastAsia="仿宋" w:cs="Times New Roman"/>
                <w:b w:val="0"/>
                <w:bCs/>
                <w:color w:val="auto"/>
                <w:sz w:val="24"/>
                <w:highlight w:val="none"/>
              </w:rPr>
              <w:t>生态环境现状调查</w:t>
            </w:r>
          </w:p>
          <w:p w14:paraId="757B03CF">
            <w:pPr>
              <w:adjustRightInd w:val="0"/>
              <w:snapToGrid w:val="0"/>
              <w:spacing w:line="360" w:lineRule="auto"/>
              <w:ind w:firstLine="480" w:firstLineChars="200"/>
              <w:jc w:val="both"/>
              <w:rPr>
                <w:rFonts w:eastAsia="仿宋"/>
                <w:color w:val="000000"/>
                <w:sz w:val="24"/>
              </w:rPr>
            </w:pPr>
            <w:r>
              <w:rPr>
                <w:rFonts w:eastAsia="仿宋"/>
                <w:color w:val="000000"/>
                <w:sz w:val="24"/>
              </w:rPr>
              <w:t>为了了解项目评价范围内生态环境现状，把握生态特点和生态保护关键因素，同时为生态影响评价提供基础数据。本次调查方法有资料收集法和遥感调查法。</w:t>
            </w:r>
          </w:p>
          <w:p w14:paraId="447E867D">
            <w:pPr>
              <w:pStyle w:val="62"/>
              <w:adjustRightInd w:val="0"/>
              <w:snapToGrid w:val="0"/>
              <w:ind w:firstLine="480" w:firstLineChars="0"/>
              <w:jc w:val="both"/>
              <w:rPr>
                <w:rFonts w:eastAsia="仿宋"/>
                <w:color w:val="000000"/>
                <w:kern w:val="2"/>
              </w:rPr>
            </w:pPr>
            <w:r>
              <w:rPr>
                <w:rFonts w:hint="eastAsia" w:ascii="宋体" w:hAnsi="宋体" w:cs="宋体"/>
                <w:color w:val="000000"/>
                <w:kern w:val="2"/>
              </w:rPr>
              <w:t>①</w:t>
            </w:r>
            <w:r>
              <w:rPr>
                <w:rFonts w:eastAsia="仿宋"/>
                <w:color w:val="000000"/>
                <w:kern w:val="2"/>
              </w:rPr>
              <w:t>资料收集法</w:t>
            </w:r>
          </w:p>
          <w:p w14:paraId="0635DE46">
            <w:pPr>
              <w:pStyle w:val="62"/>
              <w:adjustRightInd w:val="0"/>
              <w:snapToGrid w:val="0"/>
              <w:ind w:firstLine="480" w:firstLineChars="0"/>
              <w:jc w:val="both"/>
              <w:rPr>
                <w:rFonts w:hint="default" w:eastAsia="仿宋"/>
                <w:color w:val="000000"/>
                <w:kern w:val="2"/>
                <w:lang w:val="en-US" w:eastAsia="zh-CN"/>
              </w:rPr>
            </w:pPr>
            <w:r>
              <w:rPr>
                <w:rFonts w:hint="eastAsia" w:eastAsia="仿宋"/>
                <w:color w:val="000000"/>
                <w:lang w:val="en-US" w:eastAsia="zh-CN"/>
              </w:rPr>
              <w:t>A.</w:t>
            </w:r>
            <w:r>
              <w:rPr>
                <w:rFonts w:eastAsia="仿宋"/>
                <w:color w:val="000000"/>
                <w:kern w:val="2"/>
              </w:rPr>
              <w:t>土地利用</w:t>
            </w:r>
            <w:r>
              <w:rPr>
                <w:rFonts w:hint="eastAsia" w:eastAsia="仿宋"/>
                <w:color w:val="000000"/>
                <w:kern w:val="2"/>
                <w:lang w:val="en-US" w:eastAsia="zh-CN"/>
              </w:rPr>
              <w:t>现状调查</w:t>
            </w:r>
          </w:p>
          <w:p w14:paraId="48C502FF">
            <w:pPr>
              <w:pStyle w:val="62"/>
              <w:adjustRightInd w:val="0"/>
              <w:snapToGrid w:val="0"/>
              <w:ind w:firstLine="480"/>
              <w:jc w:val="both"/>
              <w:rPr>
                <w:rFonts w:hint="default" w:eastAsia="仿宋"/>
                <w:color w:val="FF0000"/>
                <w:kern w:val="2"/>
                <w:lang w:val="en-US" w:eastAsia="zh-CN"/>
              </w:rPr>
            </w:pPr>
            <w:r>
              <w:rPr>
                <w:rFonts w:eastAsia="仿宋"/>
                <w:color w:val="000000"/>
                <w:kern w:val="2"/>
              </w:rPr>
              <w:t>根据现场调查，本项目</w:t>
            </w:r>
            <w:r>
              <w:rPr>
                <w:rFonts w:hint="eastAsia" w:eastAsia="仿宋"/>
                <w:color w:val="000000"/>
                <w:kern w:val="2"/>
                <w:lang w:val="en-US" w:eastAsia="zh-CN"/>
              </w:rPr>
              <w:t>矿区范围内占地类型主要为采矿用地</w:t>
            </w:r>
            <w:r>
              <w:rPr>
                <w:rFonts w:hint="eastAsia" w:eastAsia="仿宋"/>
                <w:color w:val="000000"/>
                <w:kern w:val="2"/>
                <w:lang w:eastAsia="zh-CN"/>
              </w:rPr>
              <w:t>，</w:t>
            </w:r>
            <w:r>
              <w:rPr>
                <w:rFonts w:hint="eastAsia" w:eastAsia="仿宋"/>
                <w:color w:val="000000"/>
                <w:kern w:val="2"/>
                <w:lang w:val="en-US" w:eastAsia="zh-CN"/>
              </w:rPr>
              <w:t>不涉及基本农田、基本草原等。</w:t>
            </w:r>
          </w:p>
          <w:p w14:paraId="15544435">
            <w:pPr>
              <w:adjustRightInd w:val="0"/>
              <w:snapToGrid w:val="0"/>
              <w:spacing w:line="360" w:lineRule="auto"/>
              <w:ind w:firstLine="480" w:firstLineChars="200"/>
              <w:jc w:val="both"/>
              <w:rPr>
                <w:rFonts w:eastAsia="仿宋"/>
                <w:color w:val="000000"/>
                <w:sz w:val="24"/>
                <w:szCs w:val="24"/>
              </w:rPr>
            </w:pPr>
            <w:r>
              <w:rPr>
                <w:rFonts w:hint="eastAsia" w:eastAsia="仿宋"/>
                <w:color w:val="000000"/>
                <w:sz w:val="24"/>
                <w:szCs w:val="24"/>
                <w:lang w:val="en-US" w:eastAsia="zh-CN"/>
              </w:rPr>
              <w:t>B.</w:t>
            </w:r>
            <w:r>
              <w:rPr>
                <w:rFonts w:eastAsia="仿宋"/>
                <w:color w:val="000000"/>
                <w:sz w:val="24"/>
                <w:szCs w:val="24"/>
              </w:rPr>
              <w:t>植被</w:t>
            </w:r>
            <w:r>
              <w:rPr>
                <w:rFonts w:hint="eastAsia" w:eastAsia="仿宋"/>
                <w:color w:val="000000"/>
                <w:sz w:val="24"/>
                <w:szCs w:val="24"/>
                <w:lang w:val="en-US" w:eastAsia="zh-CN"/>
              </w:rPr>
              <w:t>现状</w:t>
            </w:r>
            <w:r>
              <w:rPr>
                <w:rFonts w:eastAsia="仿宋"/>
                <w:color w:val="000000"/>
                <w:sz w:val="24"/>
                <w:szCs w:val="24"/>
              </w:rPr>
              <w:t>调查</w:t>
            </w:r>
          </w:p>
          <w:p w14:paraId="68CE8EF8">
            <w:pPr>
              <w:adjustRightInd w:val="0"/>
              <w:snapToGrid w:val="0"/>
              <w:spacing w:line="360" w:lineRule="auto"/>
              <w:ind w:firstLine="482"/>
              <w:jc w:val="both"/>
              <w:rPr>
                <w:rFonts w:eastAsia="仿宋"/>
                <w:color w:val="000000"/>
                <w:sz w:val="24"/>
              </w:rPr>
            </w:pPr>
            <w:r>
              <w:rPr>
                <w:rFonts w:eastAsia="仿宋"/>
                <w:color w:val="000000"/>
                <w:sz w:val="24"/>
              </w:rPr>
              <w:t>通过资料收集，结合现场观察、访问，项目区域植被稀疏，植被覆盖率较低，经调查，评价范围内无国家级、省级保护植物分布。</w:t>
            </w:r>
          </w:p>
          <w:p w14:paraId="3C8C1EDD">
            <w:pPr>
              <w:adjustRightInd w:val="0"/>
              <w:snapToGrid w:val="0"/>
              <w:spacing w:line="360" w:lineRule="auto"/>
              <w:ind w:firstLine="480" w:firstLineChars="200"/>
              <w:jc w:val="both"/>
              <w:rPr>
                <w:rFonts w:eastAsia="仿宋"/>
                <w:color w:val="000000"/>
                <w:sz w:val="24"/>
              </w:rPr>
            </w:pPr>
            <w:r>
              <w:rPr>
                <w:rFonts w:hint="eastAsia" w:eastAsia="仿宋"/>
                <w:color w:val="000000"/>
                <w:sz w:val="24"/>
                <w:lang w:val="en-US" w:eastAsia="zh-CN"/>
              </w:rPr>
              <w:t>C.</w:t>
            </w:r>
            <w:r>
              <w:rPr>
                <w:rFonts w:eastAsia="仿宋"/>
                <w:color w:val="000000"/>
                <w:sz w:val="24"/>
              </w:rPr>
              <w:t>动物现状调查</w:t>
            </w:r>
          </w:p>
          <w:p w14:paraId="46DA280D">
            <w:pPr>
              <w:adjustRightInd w:val="0"/>
              <w:snapToGrid w:val="0"/>
              <w:spacing w:line="360" w:lineRule="auto"/>
              <w:ind w:firstLine="480" w:firstLineChars="200"/>
              <w:jc w:val="both"/>
              <w:rPr>
                <w:rFonts w:eastAsia="仿宋"/>
                <w:color w:val="000000"/>
                <w:sz w:val="24"/>
              </w:rPr>
            </w:pPr>
            <w:r>
              <w:rPr>
                <w:rFonts w:eastAsia="仿宋"/>
                <w:color w:val="000000"/>
                <w:sz w:val="24"/>
              </w:rPr>
              <w:t>通过资料收集，结合现场观察、访问，该区域内动物生境条件较为恶劣，区域内野生动物的种类不多，数量也较少，主要为野兔、野鸡</w:t>
            </w:r>
            <w:r>
              <w:rPr>
                <w:rFonts w:hint="eastAsia" w:eastAsia="仿宋"/>
                <w:color w:val="000000"/>
                <w:sz w:val="24"/>
                <w:lang w:eastAsia="zh-CN"/>
              </w:rPr>
              <w:t>及</w:t>
            </w:r>
            <w:r>
              <w:rPr>
                <w:rFonts w:eastAsia="仿宋"/>
                <w:color w:val="000000"/>
                <w:sz w:val="24"/>
              </w:rPr>
              <w:t>少量的鼠类；鸟类主要是雀类，最常见的是麻雀。经调查，评价范围内无国家级、省级保护动物分布。</w:t>
            </w:r>
          </w:p>
          <w:p w14:paraId="70EDB1EC">
            <w:pPr>
              <w:adjustRightInd w:val="0"/>
              <w:snapToGrid w:val="0"/>
              <w:spacing w:line="360" w:lineRule="auto"/>
              <w:ind w:firstLine="480" w:firstLineChars="200"/>
              <w:jc w:val="both"/>
              <w:rPr>
                <w:rFonts w:eastAsia="仿宋"/>
                <w:color w:val="000000"/>
                <w:sz w:val="24"/>
              </w:rPr>
            </w:pPr>
            <w:r>
              <w:rPr>
                <w:rFonts w:hint="eastAsia" w:ascii="宋体" w:hAnsi="宋体" w:cs="宋体"/>
                <w:color w:val="000000"/>
                <w:sz w:val="24"/>
              </w:rPr>
              <w:t>②</w:t>
            </w:r>
            <w:r>
              <w:rPr>
                <w:rFonts w:eastAsia="仿宋"/>
                <w:color w:val="000000"/>
                <w:sz w:val="24"/>
              </w:rPr>
              <w:t>遥感调查法</w:t>
            </w:r>
          </w:p>
          <w:p w14:paraId="13B3779D">
            <w:pPr>
              <w:adjustRightInd w:val="0"/>
              <w:snapToGrid w:val="0"/>
              <w:spacing w:line="360" w:lineRule="auto"/>
              <w:ind w:firstLine="480" w:firstLineChars="200"/>
              <w:jc w:val="both"/>
              <w:rPr>
                <w:rFonts w:eastAsia="仿宋"/>
                <w:color w:val="000000"/>
                <w:sz w:val="24"/>
              </w:rPr>
            </w:pPr>
            <w:r>
              <w:rPr>
                <w:rFonts w:eastAsia="仿宋"/>
                <w:color w:val="000000"/>
                <w:sz w:val="24"/>
              </w:rPr>
              <w:t>本项目生态调查评价中的土地利用现状图、植被类型空间分布图是在对评价区进行现场调查和遥感解译基础上完成的。以202</w:t>
            </w:r>
            <w:r>
              <w:rPr>
                <w:rFonts w:hint="eastAsia" w:eastAsia="仿宋"/>
                <w:color w:val="000000"/>
                <w:sz w:val="24"/>
                <w:lang w:val="en-US" w:eastAsia="zh-CN"/>
              </w:rPr>
              <w:t>3</w:t>
            </w:r>
            <w:r>
              <w:rPr>
                <w:rFonts w:eastAsia="仿宋"/>
                <w:color w:val="000000"/>
                <w:sz w:val="24"/>
              </w:rPr>
              <w:t>年</w:t>
            </w:r>
            <w:r>
              <w:rPr>
                <w:rFonts w:hint="eastAsia" w:eastAsia="仿宋"/>
                <w:color w:val="000000"/>
                <w:sz w:val="24"/>
                <w:lang w:val="en-US" w:eastAsia="zh-CN"/>
              </w:rPr>
              <w:t>5</w:t>
            </w:r>
            <w:r>
              <w:rPr>
                <w:rFonts w:eastAsia="仿宋"/>
                <w:color w:val="000000"/>
                <w:sz w:val="24"/>
              </w:rPr>
              <w:t>月的最新遥感影像为基本数据源，影像采用ZY-3数据源，采用几何精校正和正射校正后的影像，经影像融合后其空间分辨率达到2.1米。以上制图均在ArcGIS NV中完成。</w:t>
            </w:r>
          </w:p>
          <w:p w14:paraId="5F68CFD8">
            <w:pPr>
              <w:adjustRightInd w:val="0"/>
              <w:snapToGrid w:val="0"/>
              <w:spacing w:line="360" w:lineRule="auto"/>
              <w:ind w:firstLine="480" w:firstLineChars="200"/>
              <w:jc w:val="both"/>
              <w:rPr>
                <w:color w:val="000000"/>
                <w:sz w:val="24"/>
              </w:rPr>
            </w:pPr>
            <w:r>
              <w:rPr>
                <w:rFonts w:hint="eastAsia" w:eastAsia="仿宋"/>
                <w:color w:val="000000"/>
                <w:sz w:val="24"/>
                <w:lang w:val="en-US" w:eastAsia="zh-CN"/>
              </w:rPr>
              <w:t>A.</w:t>
            </w:r>
            <w:r>
              <w:rPr>
                <w:rFonts w:eastAsia="仿宋"/>
                <w:color w:val="000000"/>
                <w:sz w:val="24"/>
              </w:rPr>
              <w:t>土地利用现状</w:t>
            </w:r>
          </w:p>
          <w:p w14:paraId="5523119B">
            <w:pPr>
              <w:adjustRightInd w:val="0"/>
              <w:snapToGrid w:val="0"/>
              <w:spacing w:line="360" w:lineRule="auto"/>
              <w:ind w:firstLine="480" w:firstLineChars="200"/>
              <w:jc w:val="both"/>
              <w:rPr>
                <w:rFonts w:eastAsia="仿宋"/>
                <w:bCs/>
                <w:color w:val="000000"/>
                <w:sz w:val="24"/>
              </w:rPr>
            </w:pPr>
            <w:r>
              <w:rPr>
                <w:rFonts w:eastAsia="仿宋"/>
                <w:bCs/>
                <w:color w:val="000000"/>
                <w:sz w:val="24"/>
              </w:rPr>
              <w:t>本项目生态评价范围内土地利用现状类型见表</w:t>
            </w:r>
            <w:r>
              <w:rPr>
                <w:rFonts w:hint="eastAsia" w:eastAsia="仿宋"/>
                <w:bCs/>
                <w:color w:val="000000"/>
                <w:sz w:val="24"/>
                <w:lang w:val="en-US" w:eastAsia="zh-CN"/>
              </w:rPr>
              <w:t>20</w:t>
            </w:r>
            <w:r>
              <w:rPr>
                <w:rFonts w:eastAsia="仿宋"/>
                <w:bCs/>
                <w:color w:val="000000"/>
                <w:sz w:val="24"/>
              </w:rPr>
              <w:t>。</w:t>
            </w:r>
            <w:r>
              <w:rPr>
                <w:rFonts w:eastAsia="仿宋"/>
                <w:color w:val="000000"/>
                <w:sz w:val="24"/>
              </w:rPr>
              <w:t>土地利用现状图见附图</w:t>
            </w:r>
            <w:r>
              <w:rPr>
                <w:rFonts w:hint="eastAsia" w:eastAsia="仿宋"/>
                <w:color w:val="000000"/>
                <w:sz w:val="24"/>
                <w:lang w:val="en-US" w:eastAsia="zh-CN"/>
              </w:rPr>
              <w:t>7</w:t>
            </w:r>
            <w:r>
              <w:rPr>
                <w:rFonts w:eastAsia="仿宋"/>
                <w:color w:val="000000"/>
                <w:sz w:val="24"/>
              </w:rPr>
              <w:t>。</w:t>
            </w:r>
          </w:p>
          <w:p w14:paraId="29C8EE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仿宋"/>
                <w:b/>
                <w:bCs/>
                <w:snapToGrid w:val="0"/>
                <w:color w:val="000000" w:themeColor="text1"/>
                <w:kern w:val="0"/>
                <w:szCs w:val="21"/>
                <w:highlight w:val="none"/>
                <w14:textFill>
                  <w14:solidFill>
                    <w14:schemeClr w14:val="tx1"/>
                  </w14:solidFill>
                </w14:textFill>
              </w:rPr>
            </w:pPr>
            <w:r>
              <w:rPr>
                <w:rFonts w:eastAsia="仿宋"/>
                <w:b/>
                <w:bCs/>
                <w:snapToGrid w:val="0"/>
                <w:color w:val="000000" w:themeColor="text1"/>
                <w:kern w:val="0"/>
                <w:szCs w:val="21"/>
                <w:highlight w:val="none"/>
                <w14:textFill>
                  <w14:solidFill>
                    <w14:schemeClr w14:val="tx1"/>
                  </w14:solidFill>
                </w14:textFill>
              </w:rPr>
              <w:t>表</w:t>
            </w:r>
            <w:r>
              <w:rPr>
                <w:rFonts w:hint="eastAsia" w:eastAsia="仿宋"/>
                <w:b/>
                <w:bCs/>
                <w:snapToGrid w:val="0"/>
                <w:color w:val="000000" w:themeColor="text1"/>
                <w:kern w:val="0"/>
                <w:szCs w:val="21"/>
                <w:highlight w:val="none"/>
                <w:lang w:val="en-US" w:eastAsia="zh-CN"/>
                <w14:textFill>
                  <w14:solidFill>
                    <w14:schemeClr w14:val="tx1"/>
                  </w14:solidFill>
                </w14:textFill>
              </w:rPr>
              <w:t>20</w:t>
            </w:r>
            <w:r>
              <w:rPr>
                <w:rFonts w:eastAsia="仿宋"/>
                <w:b/>
                <w:bCs/>
                <w:snapToGrid w:val="0"/>
                <w:color w:val="000000" w:themeColor="text1"/>
                <w:kern w:val="0"/>
                <w:szCs w:val="21"/>
                <w:highlight w:val="none"/>
                <w14:textFill>
                  <w14:solidFill>
                    <w14:schemeClr w14:val="tx1"/>
                  </w14:solidFill>
                </w14:textFill>
              </w:rPr>
              <w:t xml:space="preserve">  </w:t>
            </w:r>
            <w:r>
              <w:rPr>
                <w:rFonts w:hint="eastAsia" w:eastAsia="仿宋"/>
                <w:b/>
                <w:bCs/>
                <w:snapToGrid w:val="0"/>
                <w:color w:val="000000" w:themeColor="text1"/>
                <w:kern w:val="0"/>
                <w:szCs w:val="21"/>
                <w:highlight w:val="none"/>
                <w:lang w:val="en-US" w:eastAsia="zh-CN"/>
                <w14:textFill>
                  <w14:solidFill>
                    <w14:schemeClr w14:val="tx1"/>
                  </w14:solidFill>
                </w14:textFill>
              </w:rPr>
              <w:t>本项目</w:t>
            </w:r>
            <w:r>
              <w:rPr>
                <w:rFonts w:eastAsia="仿宋"/>
                <w:b/>
                <w:bCs/>
                <w:snapToGrid w:val="0"/>
                <w:color w:val="000000" w:themeColor="text1"/>
                <w:kern w:val="0"/>
                <w:szCs w:val="21"/>
                <w:highlight w:val="none"/>
                <w14:textFill>
                  <w14:solidFill>
                    <w14:schemeClr w14:val="tx1"/>
                  </w14:solidFill>
                </w14:textFill>
              </w:rPr>
              <w:t>生态评价范围内土地利用类型及面积统计</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762"/>
              <w:gridCol w:w="2335"/>
              <w:gridCol w:w="2370"/>
            </w:tblGrid>
            <w:tr w14:paraId="0C79C5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2933" w:type="dxa"/>
                  <w:vMerge w:val="restart"/>
                  <w:noWrap w:val="0"/>
                  <w:vAlign w:val="center"/>
                </w:tcPr>
                <w:p w14:paraId="75FFAEB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土地利用类型</w:t>
                  </w:r>
                </w:p>
              </w:tc>
              <w:tc>
                <w:tcPr>
                  <w:tcW w:w="4918" w:type="dxa"/>
                  <w:gridSpan w:val="2"/>
                  <w:noWrap w:val="0"/>
                  <w:vAlign w:val="center"/>
                </w:tcPr>
                <w:p w14:paraId="289703E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生态评价范围</w:t>
                  </w:r>
                </w:p>
              </w:tc>
            </w:tr>
            <w:tr w14:paraId="5AFB00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2933" w:type="dxa"/>
                  <w:vMerge w:val="continue"/>
                  <w:noWrap w:val="0"/>
                  <w:vAlign w:val="center"/>
                </w:tcPr>
                <w:p w14:paraId="4CAEF0D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highlight w:val="none"/>
                      <w:lang w:val="en-US" w:eastAsia="zh-CN"/>
                      <w14:textFill>
                        <w14:solidFill>
                          <w14:schemeClr w14:val="tx1"/>
                        </w14:solidFill>
                      </w14:textFill>
                    </w:rPr>
                  </w:pPr>
                </w:p>
              </w:tc>
              <w:tc>
                <w:tcPr>
                  <w:tcW w:w="2435" w:type="dxa"/>
                  <w:noWrap w:val="0"/>
                  <w:vAlign w:val="center"/>
                </w:tcPr>
                <w:p w14:paraId="40D12E3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面积（hm</w:t>
                  </w:r>
                  <w:r>
                    <w:rPr>
                      <w:rFonts w:hint="eastAsia" w:eastAsia="仿宋"/>
                      <w:bCs/>
                      <w:color w:val="000000" w:themeColor="text1"/>
                      <w:szCs w:val="21"/>
                      <w:highlight w:val="none"/>
                      <w:vertAlign w:val="superscript"/>
                      <w:lang w:val="en-US" w:eastAsia="zh-CN"/>
                      <w14:textFill>
                        <w14:solidFill>
                          <w14:schemeClr w14:val="tx1"/>
                        </w14:solidFill>
                      </w14:textFill>
                    </w:rPr>
                    <w:t>2</w:t>
                  </w:r>
                  <w:r>
                    <w:rPr>
                      <w:rFonts w:hint="eastAsia" w:eastAsia="仿宋"/>
                      <w:bCs/>
                      <w:color w:val="000000" w:themeColor="text1"/>
                      <w:szCs w:val="21"/>
                      <w:highlight w:val="none"/>
                      <w:lang w:val="en-US" w:eastAsia="zh-CN"/>
                      <w14:textFill>
                        <w14:solidFill>
                          <w14:schemeClr w14:val="tx1"/>
                        </w14:solidFill>
                      </w14:textFill>
                    </w:rPr>
                    <w:t>）</w:t>
                  </w:r>
                </w:p>
              </w:tc>
              <w:tc>
                <w:tcPr>
                  <w:tcW w:w="2483" w:type="dxa"/>
                  <w:noWrap w:val="0"/>
                  <w:vAlign w:val="center"/>
                </w:tcPr>
                <w:p w14:paraId="0A0AC34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百分比（%）</w:t>
                  </w:r>
                </w:p>
              </w:tc>
            </w:tr>
            <w:tr w14:paraId="6C7913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9" w:hRule="atLeast"/>
                <w:jc w:val="center"/>
              </w:trPr>
              <w:tc>
                <w:tcPr>
                  <w:tcW w:w="2933" w:type="dxa"/>
                  <w:noWrap w:val="0"/>
                  <w:vAlign w:val="center"/>
                </w:tcPr>
                <w:p w14:paraId="05A5BD5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采矿用地</w:t>
                  </w:r>
                </w:p>
              </w:tc>
              <w:tc>
                <w:tcPr>
                  <w:tcW w:w="2435" w:type="dxa"/>
                  <w:noWrap w:val="0"/>
                  <w:vAlign w:val="center"/>
                </w:tcPr>
                <w:p w14:paraId="1CC374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4.66</w:t>
                  </w:r>
                </w:p>
              </w:tc>
              <w:tc>
                <w:tcPr>
                  <w:tcW w:w="2483" w:type="dxa"/>
                  <w:noWrap w:val="0"/>
                  <w:vAlign w:val="center"/>
                </w:tcPr>
                <w:p w14:paraId="1A0620F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2.90</w:t>
                  </w:r>
                </w:p>
              </w:tc>
            </w:tr>
            <w:tr w14:paraId="7BE246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9" w:hRule="atLeast"/>
                <w:jc w:val="center"/>
              </w:trPr>
              <w:tc>
                <w:tcPr>
                  <w:tcW w:w="2933" w:type="dxa"/>
                  <w:noWrap w:val="0"/>
                  <w:vAlign w:val="center"/>
                </w:tcPr>
                <w:p w14:paraId="545DC4B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仓储用地</w:t>
                  </w:r>
                </w:p>
              </w:tc>
              <w:tc>
                <w:tcPr>
                  <w:tcW w:w="2435" w:type="dxa"/>
                  <w:noWrap w:val="0"/>
                  <w:vAlign w:val="center"/>
                </w:tcPr>
                <w:p w14:paraId="2512B55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0.10</w:t>
                  </w:r>
                </w:p>
              </w:tc>
              <w:tc>
                <w:tcPr>
                  <w:tcW w:w="2483" w:type="dxa"/>
                  <w:noWrap w:val="0"/>
                  <w:vAlign w:val="center"/>
                </w:tcPr>
                <w:p w14:paraId="25CA869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0.06</w:t>
                  </w:r>
                </w:p>
              </w:tc>
            </w:tr>
            <w:tr w14:paraId="0FDDDB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9" w:hRule="atLeast"/>
                <w:jc w:val="center"/>
              </w:trPr>
              <w:tc>
                <w:tcPr>
                  <w:tcW w:w="2933" w:type="dxa"/>
                  <w:noWrap w:val="0"/>
                  <w:vAlign w:val="center"/>
                </w:tcPr>
                <w:p w14:paraId="1AB043E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裸岩石砾地</w:t>
                  </w:r>
                </w:p>
              </w:tc>
              <w:tc>
                <w:tcPr>
                  <w:tcW w:w="2435" w:type="dxa"/>
                  <w:noWrap w:val="0"/>
                  <w:vAlign w:val="center"/>
                </w:tcPr>
                <w:p w14:paraId="21ADE5B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152.30</w:t>
                  </w:r>
                </w:p>
              </w:tc>
              <w:tc>
                <w:tcPr>
                  <w:tcW w:w="2483" w:type="dxa"/>
                  <w:noWrap w:val="0"/>
                  <w:vAlign w:val="center"/>
                </w:tcPr>
                <w:p w14:paraId="1295694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95.00</w:t>
                  </w:r>
                </w:p>
              </w:tc>
            </w:tr>
            <w:tr w14:paraId="0661DD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9" w:hRule="atLeast"/>
                <w:jc w:val="center"/>
              </w:trPr>
              <w:tc>
                <w:tcPr>
                  <w:tcW w:w="2933" w:type="dxa"/>
                  <w:noWrap w:val="0"/>
                  <w:vAlign w:val="center"/>
                </w:tcPr>
                <w:p w14:paraId="78F512E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农村道路</w:t>
                  </w:r>
                </w:p>
              </w:tc>
              <w:tc>
                <w:tcPr>
                  <w:tcW w:w="2435" w:type="dxa"/>
                  <w:noWrap w:val="0"/>
                  <w:vAlign w:val="center"/>
                </w:tcPr>
                <w:p w14:paraId="72197E0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3.24</w:t>
                  </w:r>
                </w:p>
              </w:tc>
              <w:tc>
                <w:tcPr>
                  <w:tcW w:w="2483" w:type="dxa"/>
                  <w:noWrap w:val="0"/>
                  <w:vAlign w:val="center"/>
                </w:tcPr>
                <w:p w14:paraId="6E9D77F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2.04</w:t>
                  </w:r>
                </w:p>
              </w:tc>
            </w:tr>
            <w:tr w14:paraId="4320662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9" w:hRule="atLeast"/>
                <w:jc w:val="center"/>
              </w:trPr>
              <w:tc>
                <w:tcPr>
                  <w:tcW w:w="2933" w:type="dxa"/>
                  <w:noWrap w:val="0"/>
                  <w:vAlign w:val="center"/>
                </w:tcPr>
                <w:p w14:paraId="43AB9D3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合计</w:t>
                  </w:r>
                </w:p>
              </w:tc>
              <w:tc>
                <w:tcPr>
                  <w:tcW w:w="2435" w:type="dxa"/>
                  <w:noWrap w:val="0"/>
                  <w:vAlign w:val="center"/>
                </w:tcPr>
                <w:p w14:paraId="3D37F2D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160.30</w:t>
                  </w:r>
                </w:p>
              </w:tc>
              <w:tc>
                <w:tcPr>
                  <w:tcW w:w="2483" w:type="dxa"/>
                  <w:noWrap w:val="0"/>
                  <w:vAlign w:val="center"/>
                </w:tcPr>
                <w:p w14:paraId="7FB116A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100</w:t>
                  </w:r>
                </w:p>
              </w:tc>
            </w:tr>
          </w:tbl>
          <w:p w14:paraId="05C7CF24">
            <w:pPr>
              <w:adjustRightInd w:val="0"/>
              <w:snapToGrid w:val="0"/>
              <w:spacing w:before="120" w:beforeLines="50" w:line="360" w:lineRule="auto"/>
              <w:ind w:firstLine="480" w:firstLineChars="200"/>
              <w:rPr>
                <w:rFonts w:eastAsia="仿宋"/>
                <w:bCs/>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由上表可知，</w:t>
            </w:r>
            <w:r>
              <w:rPr>
                <w:rFonts w:hint="eastAsia" w:eastAsia="仿宋"/>
                <w:color w:val="000000" w:themeColor="text1"/>
                <w:sz w:val="24"/>
                <w:highlight w:val="none"/>
                <w:lang w:val="en-US" w:eastAsia="zh-CN"/>
                <w14:textFill>
                  <w14:solidFill>
                    <w14:schemeClr w14:val="tx1"/>
                  </w14:solidFill>
                </w14:textFill>
              </w:rPr>
              <w:t>本项目</w:t>
            </w:r>
            <w:r>
              <w:rPr>
                <w:rFonts w:eastAsia="仿宋"/>
                <w:color w:val="000000" w:themeColor="text1"/>
                <w:sz w:val="24"/>
                <w:highlight w:val="none"/>
                <w14:textFill>
                  <w14:solidFill>
                    <w14:schemeClr w14:val="tx1"/>
                  </w14:solidFill>
                </w14:textFill>
              </w:rPr>
              <w:t>生态评价范围</w:t>
            </w:r>
            <w:r>
              <w:rPr>
                <w:rFonts w:hint="eastAsia" w:eastAsia="仿宋"/>
                <w:color w:val="000000" w:themeColor="text1"/>
                <w:sz w:val="24"/>
                <w:highlight w:val="none"/>
                <w:lang w:val="en-US" w:eastAsia="zh-CN"/>
                <w14:textFill>
                  <w14:solidFill>
                    <w14:schemeClr w14:val="tx1"/>
                  </w14:solidFill>
                </w14:textFill>
              </w:rPr>
              <w:t>主要以裸岩石砾地和采矿用地为主</w:t>
            </w:r>
            <w:r>
              <w:rPr>
                <w:rFonts w:eastAsia="仿宋"/>
                <w:color w:val="000000" w:themeColor="text1"/>
                <w:sz w:val="24"/>
                <w:highlight w:val="none"/>
                <w14:textFill>
                  <w14:solidFill>
                    <w14:schemeClr w14:val="tx1"/>
                  </w14:solidFill>
                </w14:textFill>
              </w:rPr>
              <w:t>。</w:t>
            </w:r>
          </w:p>
          <w:p w14:paraId="34395A13">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eastAsia="仿宋"/>
                <w:color w:val="000000" w:themeColor="text1"/>
                <w:sz w:val="24"/>
                <w14:textFill>
                  <w14:solidFill>
                    <w14:schemeClr w14:val="tx1"/>
                  </w14:solidFill>
                </w14:textFill>
              </w:rPr>
            </w:pPr>
            <w:r>
              <w:rPr>
                <w:rFonts w:hint="eastAsia" w:eastAsia="仿宋"/>
                <w:color w:val="000000" w:themeColor="text1"/>
                <w:sz w:val="24"/>
                <w:lang w:val="en-US" w:eastAsia="zh-CN"/>
                <w14:textFill>
                  <w14:solidFill>
                    <w14:schemeClr w14:val="tx1"/>
                  </w14:solidFill>
                </w14:textFill>
              </w:rPr>
              <w:t>B.</w:t>
            </w:r>
            <w:r>
              <w:rPr>
                <w:rFonts w:eastAsia="仿宋"/>
                <w:color w:val="000000" w:themeColor="text1"/>
                <w:sz w:val="24"/>
                <w14:textFill>
                  <w14:solidFill>
                    <w14:schemeClr w14:val="tx1"/>
                  </w14:solidFill>
                </w14:textFill>
              </w:rPr>
              <w:t>植被类型</w:t>
            </w:r>
          </w:p>
          <w:p w14:paraId="21B1169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contextualSpacing/>
              <w:textAlignment w:val="auto"/>
              <w:rPr>
                <w:rFonts w:eastAsia="仿宋"/>
                <w:bCs/>
                <w:color w:val="000000" w:themeColor="text1"/>
                <w:sz w:val="24"/>
                <w:highlight w:val="none"/>
                <w14:textFill>
                  <w14:solidFill>
                    <w14:schemeClr w14:val="tx1"/>
                  </w14:solidFill>
                </w14:textFill>
              </w:rPr>
            </w:pPr>
            <w:r>
              <w:rPr>
                <w:rFonts w:eastAsia="仿宋"/>
                <w:bCs/>
                <w:color w:val="000000" w:themeColor="text1"/>
                <w:sz w:val="24"/>
                <w14:textFill>
                  <w14:solidFill>
                    <w14:schemeClr w14:val="tx1"/>
                  </w14:solidFill>
                </w14:textFill>
              </w:rPr>
              <w:t>本项目</w:t>
            </w:r>
            <w:r>
              <w:rPr>
                <w:rFonts w:eastAsia="仿宋"/>
                <w:bCs/>
                <w:color w:val="000000" w:themeColor="text1"/>
                <w:sz w:val="24"/>
                <w:highlight w:val="none"/>
                <w14:textFill>
                  <w14:solidFill>
                    <w14:schemeClr w14:val="tx1"/>
                  </w14:solidFill>
                </w14:textFill>
              </w:rPr>
              <w:t>生态评价范围内植被类型见表</w:t>
            </w:r>
            <w:r>
              <w:rPr>
                <w:rFonts w:hint="eastAsia" w:eastAsia="仿宋"/>
                <w:bCs/>
                <w:color w:val="000000" w:themeColor="text1"/>
                <w:sz w:val="24"/>
                <w:highlight w:val="none"/>
                <w:lang w:val="en-US" w:eastAsia="zh-CN"/>
                <w14:textFill>
                  <w14:solidFill>
                    <w14:schemeClr w14:val="tx1"/>
                  </w14:solidFill>
                </w14:textFill>
              </w:rPr>
              <w:t>21</w:t>
            </w:r>
            <w:r>
              <w:rPr>
                <w:rFonts w:eastAsia="仿宋"/>
                <w:bCs/>
                <w:color w:val="000000" w:themeColor="text1"/>
                <w:sz w:val="24"/>
                <w:highlight w:val="none"/>
                <w14:textFill>
                  <w14:solidFill>
                    <w14:schemeClr w14:val="tx1"/>
                  </w14:solidFill>
                </w14:textFill>
              </w:rPr>
              <w:t>。</w:t>
            </w:r>
            <w:r>
              <w:rPr>
                <w:rFonts w:eastAsia="仿宋"/>
                <w:color w:val="000000" w:themeColor="text1"/>
                <w:sz w:val="24"/>
                <w:highlight w:val="none"/>
                <w14:textFill>
                  <w14:solidFill>
                    <w14:schemeClr w14:val="tx1"/>
                  </w14:solidFill>
                </w14:textFill>
              </w:rPr>
              <w:t>植被类型图见附图</w:t>
            </w:r>
            <w:r>
              <w:rPr>
                <w:rFonts w:hint="eastAsia" w:eastAsia="仿宋"/>
                <w:color w:val="000000" w:themeColor="text1"/>
                <w:sz w:val="24"/>
                <w:highlight w:val="none"/>
                <w:lang w:val="en-US" w:eastAsia="zh-CN"/>
                <w14:textFill>
                  <w14:solidFill>
                    <w14:schemeClr w14:val="tx1"/>
                  </w14:solidFill>
                </w14:textFill>
              </w:rPr>
              <w:t>8</w:t>
            </w:r>
            <w:r>
              <w:rPr>
                <w:rFonts w:eastAsia="仿宋"/>
                <w:color w:val="000000" w:themeColor="text1"/>
                <w:sz w:val="24"/>
                <w:highlight w:val="none"/>
                <w14:textFill>
                  <w14:solidFill>
                    <w14:schemeClr w14:val="tx1"/>
                  </w14:solidFill>
                </w14:textFill>
              </w:rPr>
              <w:t>。</w:t>
            </w:r>
          </w:p>
          <w:p w14:paraId="6424170F">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 w:cs="Times New Roman"/>
                <w:b/>
                <w:bCs/>
                <w:color w:val="000000" w:themeColor="text1"/>
                <w:kern w:val="0"/>
                <w:szCs w:val="21"/>
                <w:highlight w:val="none"/>
                <w14:textFill>
                  <w14:solidFill>
                    <w14:schemeClr w14:val="tx1"/>
                  </w14:solidFill>
                </w14:textFill>
              </w:rPr>
            </w:pPr>
            <w:r>
              <w:rPr>
                <w:rFonts w:ascii="Times New Roman" w:hAnsi="Times New Roman" w:eastAsia="仿宋" w:cs="Times New Roman"/>
                <w:b/>
                <w:bCs/>
                <w:color w:val="000000" w:themeColor="text1"/>
                <w:kern w:val="0"/>
                <w:szCs w:val="21"/>
                <w:highlight w:val="none"/>
                <w14:textFill>
                  <w14:solidFill>
                    <w14:schemeClr w14:val="tx1"/>
                  </w14:solidFill>
                </w14:textFill>
              </w:rPr>
              <w:t>表</w:t>
            </w:r>
            <w:r>
              <w:rPr>
                <w:rFonts w:hint="eastAsia" w:eastAsia="仿宋" w:cs="Times New Roman"/>
                <w:b/>
                <w:bCs/>
                <w:color w:val="000000" w:themeColor="text1"/>
                <w:kern w:val="0"/>
                <w:szCs w:val="21"/>
                <w:highlight w:val="none"/>
                <w:lang w:val="en-US" w:eastAsia="zh-CN"/>
                <w14:textFill>
                  <w14:solidFill>
                    <w14:schemeClr w14:val="tx1"/>
                  </w14:solidFill>
                </w14:textFill>
              </w:rPr>
              <w:t>21</w:t>
            </w:r>
            <w:r>
              <w:rPr>
                <w:rFonts w:hint="eastAsia" w:ascii="Times New Roman" w:hAnsi="Times New Roman" w:eastAsia="仿宋" w:cs="Times New Roman"/>
                <w:b/>
                <w:bCs/>
                <w:color w:val="000000" w:themeColor="text1"/>
                <w:kern w:val="0"/>
                <w:szCs w:val="21"/>
                <w:highlight w:val="none"/>
                <w:lang w:val="en-US" w:eastAsia="zh-CN"/>
                <w14:textFill>
                  <w14:solidFill>
                    <w14:schemeClr w14:val="tx1"/>
                  </w14:solidFill>
                </w14:textFill>
              </w:rPr>
              <w:t xml:space="preserve">  本项目</w:t>
            </w:r>
            <w:r>
              <w:rPr>
                <w:rFonts w:ascii="Times New Roman" w:hAnsi="Times New Roman" w:eastAsia="仿宋" w:cs="Times New Roman"/>
                <w:b/>
                <w:bCs/>
                <w:color w:val="000000" w:themeColor="text1"/>
                <w:kern w:val="0"/>
                <w:szCs w:val="21"/>
                <w:highlight w:val="none"/>
                <w14:textFill>
                  <w14:solidFill>
                    <w14:schemeClr w14:val="tx1"/>
                  </w14:solidFill>
                </w14:textFill>
              </w:rPr>
              <w:t>生态评价范围内植被类型及面积统计</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762"/>
              <w:gridCol w:w="2335"/>
              <w:gridCol w:w="2370"/>
            </w:tblGrid>
            <w:tr w14:paraId="477B89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2933" w:type="dxa"/>
                  <w:vMerge w:val="restart"/>
                  <w:noWrap w:val="0"/>
                  <w:vAlign w:val="center"/>
                </w:tcPr>
                <w:p w14:paraId="4BAC474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植被类型</w:t>
                  </w:r>
                </w:p>
              </w:tc>
              <w:tc>
                <w:tcPr>
                  <w:tcW w:w="4918" w:type="dxa"/>
                  <w:gridSpan w:val="2"/>
                  <w:noWrap w:val="0"/>
                  <w:vAlign w:val="center"/>
                </w:tcPr>
                <w:p w14:paraId="6996215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生态评价范围</w:t>
                  </w:r>
                </w:p>
              </w:tc>
            </w:tr>
            <w:tr w14:paraId="685489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2933" w:type="dxa"/>
                  <w:vMerge w:val="continue"/>
                  <w:noWrap w:val="0"/>
                  <w:vAlign w:val="center"/>
                </w:tcPr>
                <w:p w14:paraId="3E3DB51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highlight w:val="none"/>
                      <w:lang w:val="en-US" w:eastAsia="zh-CN"/>
                      <w14:textFill>
                        <w14:solidFill>
                          <w14:schemeClr w14:val="tx1"/>
                        </w14:solidFill>
                      </w14:textFill>
                    </w:rPr>
                  </w:pPr>
                </w:p>
              </w:tc>
              <w:tc>
                <w:tcPr>
                  <w:tcW w:w="2435" w:type="dxa"/>
                  <w:noWrap w:val="0"/>
                  <w:vAlign w:val="center"/>
                </w:tcPr>
                <w:p w14:paraId="0C69EF5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面积（hm</w:t>
                  </w:r>
                  <w:r>
                    <w:rPr>
                      <w:rFonts w:hint="eastAsia" w:eastAsia="仿宋"/>
                      <w:bCs/>
                      <w:color w:val="000000" w:themeColor="text1"/>
                      <w:szCs w:val="21"/>
                      <w:highlight w:val="none"/>
                      <w:vertAlign w:val="superscript"/>
                      <w:lang w:val="en-US" w:eastAsia="zh-CN"/>
                      <w14:textFill>
                        <w14:solidFill>
                          <w14:schemeClr w14:val="tx1"/>
                        </w14:solidFill>
                      </w14:textFill>
                    </w:rPr>
                    <w:t>2</w:t>
                  </w:r>
                  <w:r>
                    <w:rPr>
                      <w:rFonts w:hint="eastAsia" w:eastAsia="仿宋"/>
                      <w:bCs/>
                      <w:color w:val="000000" w:themeColor="text1"/>
                      <w:szCs w:val="21"/>
                      <w:highlight w:val="none"/>
                      <w:lang w:val="en-US" w:eastAsia="zh-CN"/>
                      <w14:textFill>
                        <w14:solidFill>
                          <w14:schemeClr w14:val="tx1"/>
                        </w14:solidFill>
                      </w14:textFill>
                    </w:rPr>
                    <w:t>）</w:t>
                  </w:r>
                </w:p>
              </w:tc>
              <w:tc>
                <w:tcPr>
                  <w:tcW w:w="2483" w:type="dxa"/>
                  <w:noWrap w:val="0"/>
                  <w:vAlign w:val="center"/>
                </w:tcPr>
                <w:p w14:paraId="6945DC1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百分比（%）</w:t>
                  </w:r>
                </w:p>
              </w:tc>
            </w:tr>
            <w:tr w14:paraId="74FBE4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9" w:hRule="atLeast"/>
                <w:jc w:val="center"/>
              </w:trPr>
              <w:tc>
                <w:tcPr>
                  <w:tcW w:w="2933" w:type="dxa"/>
                  <w:noWrap w:val="0"/>
                  <w:vAlign w:val="bottom"/>
                </w:tcPr>
                <w:p w14:paraId="30F1D75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无植被</w:t>
                  </w:r>
                </w:p>
              </w:tc>
              <w:tc>
                <w:tcPr>
                  <w:tcW w:w="2435" w:type="dxa"/>
                  <w:noWrap w:val="0"/>
                  <w:vAlign w:val="bottom"/>
                </w:tcPr>
                <w:p w14:paraId="15723FF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160.30</w:t>
                  </w:r>
                </w:p>
              </w:tc>
              <w:tc>
                <w:tcPr>
                  <w:tcW w:w="2483" w:type="dxa"/>
                  <w:noWrap w:val="0"/>
                  <w:vAlign w:val="center"/>
                </w:tcPr>
                <w:p w14:paraId="3805F37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100</w:t>
                  </w:r>
                </w:p>
              </w:tc>
            </w:tr>
            <w:tr w14:paraId="38AF48D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9" w:hRule="atLeast"/>
                <w:jc w:val="center"/>
              </w:trPr>
              <w:tc>
                <w:tcPr>
                  <w:tcW w:w="2933" w:type="dxa"/>
                  <w:noWrap w:val="0"/>
                  <w:vAlign w:val="center"/>
                </w:tcPr>
                <w:p w14:paraId="5F30301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合计</w:t>
                  </w:r>
                </w:p>
              </w:tc>
              <w:tc>
                <w:tcPr>
                  <w:tcW w:w="2435" w:type="dxa"/>
                  <w:noWrap w:val="0"/>
                  <w:vAlign w:val="bottom"/>
                </w:tcPr>
                <w:p w14:paraId="158A34A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160.30</w:t>
                  </w:r>
                </w:p>
              </w:tc>
              <w:tc>
                <w:tcPr>
                  <w:tcW w:w="2483" w:type="dxa"/>
                  <w:noWrap w:val="0"/>
                  <w:vAlign w:val="center"/>
                </w:tcPr>
                <w:p w14:paraId="11745EA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highlight w:val="none"/>
                      <w:lang w:val="en-US" w:eastAsia="zh-CN"/>
                      <w14:textFill>
                        <w14:solidFill>
                          <w14:schemeClr w14:val="tx1"/>
                        </w14:solidFill>
                      </w14:textFill>
                    </w:rPr>
                  </w:pPr>
                  <w:r>
                    <w:rPr>
                      <w:rFonts w:hint="eastAsia" w:eastAsia="仿宋"/>
                      <w:bCs/>
                      <w:color w:val="000000" w:themeColor="text1"/>
                      <w:szCs w:val="21"/>
                      <w:highlight w:val="none"/>
                      <w:lang w:val="en-US" w:eastAsia="zh-CN"/>
                      <w14:textFill>
                        <w14:solidFill>
                          <w14:schemeClr w14:val="tx1"/>
                        </w14:solidFill>
                      </w14:textFill>
                    </w:rPr>
                    <w:t>100</w:t>
                  </w:r>
                </w:p>
              </w:tc>
            </w:tr>
          </w:tbl>
          <w:p w14:paraId="5506A201">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由上表可知，</w:t>
            </w:r>
            <w:r>
              <w:rPr>
                <w:rFonts w:hint="eastAsia" w:eastAsia="仿宋"/>
                <w:color w:val="000000" w:themeColor="text1"/>
                <w:sz w:val="24"/>
                <w:highlight w:val="none"/>
                <w:lang w:val="en-US" w:eastAsia="zh-CN"/>
                <w14:textFill>
                  <w14:solidFill>
                    <w14:schemeClr w14:val="tx1"/>
                  </w14:solidFill>
                </w14:textFill>
              </w:rPr>
              <w:t>本项目</w:t>
            </w:r>
            <w:r>
              <w:rPr>
                <w:rFonts w:eastAsia="仿宋"/>
                <w:color w:val="000000" w:themeColor="text1"/>
                <w:sz w:val="24"/>
                <w:highlight w:val="none"/>
                <w14:textFill>
                  <w14:solidFill>
                    <w14:schemeClr w14:val="tx1"/>
                  </w14:solidFill>
                </w14:textFill>
              </w:rPr>
              <w:t>生态评价范围内</w:t>
            </w:r>
            <w:r>
              <w:rPr>
                <w:rFonts w:hint="eastAsia" w:eastAsia="仿宋"/>
                <w:color w:val="000000" w:themeColor="text1"/>
                <w:sz w:val="24"/>
                <w:highlight w:val="none"/>
                <w:lang w:val="en-US" w:eastAsia="zh-CN"/>
                <w14:textFill>
                  <w14:solidFill>
                    <w14:schemeClr w14:val="tx1"/>
                  </w14:solidFill>
                </w14:textFill>
              </w:rPr>
              <w:t>无植被</w:t>
            </w:r>
            <w:r>
              <w:rPr>
                <w:rFonts w:eastAsia="仿宋"/>
                <w:color w:val="000000" w:themeColor="text1"/>
                <w:sz w:val="24"/>
                <w:highlight w:val="none"/>
                <w14:textFill>
                  <w14:solidFill>
                    <w14:schemeClr w14:val="tx1"/>
                  </w14:solidFill>
                </w14:textFill>
              </w:rPr>
              <w:t>。</w:t>
            </w:r>
          </w:p>
          <w:p w14:paraId="6E2E24B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仿宋" w:cs="Times New Roman"/>
                <w:b/>
                <w:bCs/>
                <w:color w:val="auto"/>
                <w:sz w:val="24"/>
                <w:szCs w:val="24"/>
                <w:highlight w:val="none"/>
                <w:lang w:val="en-US" w:eastAsia="zh-CN"/>
              </w:rPr>
            </w:pPr>
            <w:r>
              <w:rPr>
                <w:rFonts w:hint="eastAsia" w:eastAsia="仿宋" w:cs="Times New Roman"/>
                <w:b/>
                <w:bCs/>
                <w:color w:val="auto"/>
                <w:sz w:val="24"/>
                <w:szCs w:val="24"/>
                <w:highlight w:val="none"/>
                <w:lang w:val="en-US" w:eastAsia="zh-CN"/>
              </w:rPr>
              <w:t>2.</w:t>
            </w:r>
            <w:r>
              <w:rPr>
                <w:rFonts w:hint="default" w:ascii="Times New Roman" w:hAnsi="Times New Roman" w:eastAsia="仿宋" w:cs="Times New Roman"/>
                <w:b/>
                <w:bCs/>
                <w:color w:val="auto"/>
                <w:sz w:val="24"/>
                <w:szCs w:val="24"/>
                <w:highlight w:val="none"/>
                <w:lang w:val="en-US" w:eastAsia="zh-CN"/>
              </w:rPr>
              <w:t>环境空气</w:t>
            </w:r>
          </w:p>
          <w:p w14:paraId="30A942C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b/>
                <w:color w:val="auto"/>
                <w:sz w:val="24"/>
                <w:highlight w:val="none"/>
              </w:rPr>
            </w:pPr>
            <w:r>
              <w:rPr>
                <w:rFonts w:hint="default" w:ascii="Times New Roman" w:hAnsi="Times New Roman" w:eastAsia="仿宋" w:cs="Times New Roman"/>
                <w:b/>
                <w:color w:val="auto"/>
                <w:sz w:val="24"/>
                <w:highlight w:val="none"/>
              </w:rPr>
              <w:t>2.1区域环境空气达标区判定</w:t>
            </w:r>
          </w:p>
          <w:p w14:paraId="4CA7E2B6">
            <w:pPr>
              <w:pStyle w:val="3"/>
              <w:adjustRightInd w:val="0"/>
              <w:snapToGrid w:val="0"/>
              <w:spacing w:before="0" w:after="0" w:line="360" w:lineRule="auto"/>
              <w:ind w:firstLine="480"/>
              <w:jc w:val="both"/>
              <w:rPr>
                <w:rFonts w:eastAsia="仿宋"/>
                <w:b w:val="0"/>
                <w:bCs w:val="0"/>
                <w:color w:val="000000"/>
                <w:kern w:val="0"/>
                <w:sz w:val="24"/>
                <w:szCs w:val="24"/>
              </w:rPr>
            </w:pPr>
            <w:r>
              <w:rPr>
                <w:rFonts w:eastAsia="仿宋"/>
                <w:b w:val="0"/>
                <w:bCs w:val="0"/>
                <w:color w:val="000000"/>
                <w:kern w:val="0"/>
                <w:sz w:val="24"/>
                <w:szCs w:val="24"/>
              </w:rPr>
              <w:t>根据《环境影响评价技术导则</w:t>
            </w:r>
            <w:r>
              <w:rPr>
                <w:rFonts w:hint="eastAsia" w:eastAsia="仿宋"/>
                <w:b w:val="0"/>
                <w:bCs w:val="0"/>
                <w:color w:val="000000"/>
                <w:kern w:val="0"/>
                <w:sz w:val="24"/>
                <w:szCs w:val="24"/>
                <w:lang w:val="en-US" w:eastAsia="zh-CN"/>
              </w:rPr>
              <w:t>-</w:t>
            </w:r>
            <w:r>
              <w:rPr>
                <w:rFonts w:eastAsia="仿宋"/>
                <w:b w:val="0"/>
                <w:bCs w:val="0"/>
                <w:color w:val="000000"/>
                <w:kern w:val="0"/>
                <w:sz w:val="24"/>
                <w:szCs w:val="24"/>
              </w:rPr>
              <w:t>大气环境》（HJ2.2-2018）中6.2数据来源中显示：基本污染物环境质量现状数据，优先采用国家或地方生态环境主管部门公开发布的评价基准年环境质量公告或环境质量报告中的数据或结论。</w:t>
            </w:r>
          </w:p>
          <w:p w14:paraId="0B3E8C6D">
            <w:pPr>
              <w:adjustRightInd w:val="0"/>
              <w:snapToGrid w:val="0"/>
              <w:spacing w:line="360" w:lineRule="auto"/>
              <w:ind w:firstLine="480" w:firstLineChars="200"/>
              <w:rPr>
                <w:rFonts w:hint="default" w:eastAsia="仿宋"/>
                <w:color w:val="FF0000"/>
                <w:sz w:val="24"/>
                <w:shd w:val="clear" w:color="auto" w:fill="FFFFFF"/>
                <w:lang w:val="en-US" w:eastAsia="zh-CN"/>
              </w:rPr>
            </w:pPr>
            <w:r>
              <w:rPr>
                <w:rFonts w:hint="eastAsia" w:eastAsia="仿宋"/>
                <w:color w:val="FF0000"/>
                <w:kern w:val="0"/>
                <w:sz w:val="24"/>
              </w:rPr>
              <w:t>根据</w:t>
            </w:r>
            <w:r>
              <w:rPr>
                <w:rFonts w:eastAsia="仿宋"/>
                <w:color w:val="FF0000"/>
                <w:sz w:val="24"/>
              </w:rPr>
              <w:t>《202</w:t>
            </w:r>
            <w:r>
              <w:rPr>
                <w:rFonts w:hint="eastAsia" w:eastAsia="仿宋"/>
                <w:color w:val="FF0000"/>
                <w:sz w:val="24"/>
                <w:lang w:val="en-US" w:eastAsia="zh-CN"/>
              </w:rPr>
              <w:t>5</w:t>
            </w:r>
            <w:r>
              <w:rPr>
                <w:rFonts w:eastAsia="仿宋"/>
                <w:color w:val="FF0000"/>
                <w:sz w:val="24"/>
              </w:rPr>
              <w:t>年</w:t>
            </w:r>
            <w:r>
              <w:rPr>
                <w:rFonts w:hint="eastAsia" w:eastAsia="仿宋"/>
                <w:color w:val="FF0000"/>
                <w:sz w:val="24"/>
              </w:rPr>
              <w:t>张掖市生态</w:t>
            </w:r>
            <w:r>
              <w:rPr>
                <w:rFonts w:eastAsia="仿宋"/>
                <w:color w:val="FF0000"/>
                <w:sz w:val="24"/>
              </w:rPr>
              <w:t>环境状况公报》</w:t>
            </w:r>
            <w:r>
              <w:rPr>
                <w:rFonts w:hint="eastAsia" w:eastAsia="仿宋"/>
                <w:color w:val="FF0000"/>
                <w:sz w:val="24"/>
                <w:lang w:eastAsia="zh-CN"/>
              </w:rPr>
              <w:t>，</w:t>
            </w:r>
            <w:r>
              <w:rPr>
                <w:rFonts w:hint="eastAsia" w:eastAsia="仿宋"/>
                <w:color w:val="FF0000"/>
                <w:sz w:val="24"/>
              </w:rPr>
              <w:t>张掖市202</w:t>
            </w:r>
            <w:r>
              <w:rPr>
                <w:rFonts w:hint="eastAsia" w:eastAsia="仿宋"/>
                <w:color w:val="FF0000"/>
                <w:sz w:val="24"/>
                <w:lang w:val="en-US" w:eastAsia="zh-CN"/>
              </w:rPr>
              <w:t>5</w:t>
            </w:r>
            <w:r>
              <w:rPr>
                <w:rFonts w:eastAsia="仿宋"/>
                <w:color w:val="FF0000"/>
                <w:sz w:val="24"/>
              </w:rPr>
              <w:t>年</w:t>
            </w:r>
            <w:r>
              <w:rPr>
                <w:rFonts w:hint="eastAsia" w:eastAsia="仿宋"/>
                <w:color w:val="FF0000"/>
                <w:sz w:val="24"/>
              </w:rPr>
              <w:t>PM</w:t>
            </w:r>
            <w:r>
              <w:rPr>
                <w:rFonts w:hint="eastAsia" w:eastAsia="仿宋"/>
                <w:color w:val="FF0000"/>
                <w:sz w:val="24"/>
                <w:vertAlign w:val="subscript"/>
              </w:rPr>
              <w:t>10</w:t>
            </w:r>
            <w:r>
              <w:rPr>
                <w:rFonts w:hint="eastAsia" w:eastAsia="仿宋"/>
                <w:color w:val="FF0000"/>
                <w:sz w:val="24"/>
              </w:rPr>
              <w:t>浓度为53</w:t>
            </w:r>
            <w:r>
              <w:rPr>
                <w:rFonts w:hint="eastAsia" w:eastAsia="仿宋"/>
                <w:color w:val="FF0000"/>
                <w:sz w:val="24"/>
                <w:lang w:val="en-US" w:eastAsia="zh-CN"/>
              </w:rPr>
              <w:t>u</w:t>
            </w:r>
            <w:r>
              <w:rPr>
                <w:rFonts w:hint="eastAsia" w:eastAsia="仿宋"/>
                <w:color w:val="FF0000"/>
                <w:sz w:val="24"/>
              </w:rPr>
              <w:t>g/m</w:t>
            </w:r>
            <w:r>
              <w:rPr>
                <w:rFonts w:hint="eastAsia" w:eastAsia="仿宋"/>
                <w:color w:val="FF0000"/>
                <w:sz w:val="24"/>
                <w:vertAlign w:val="superscript"/>
              </w:rPr>
              <w:t>3</w:t>
            </w:r>
            <w:r>
              <w:rPr>
                <w:rFonts w:hint="eastAsia" w:eastAsia="仿宋"/>
                <w:color w:val="FF0000"/>
                <w:sz w:val="24"/>
              </w:rPr>
              <w:t>，PM</w:t>
            </w:r>
            <w:r>
              <w:rPr>
                <w:rFonts w:hint="eastAsia" w:eastAsia="仿宋"/>
                <w:color w:val="FF0000"/>
                <w:sz w:val="24"/>
                <w:vertAlign w:val="subscript"/>
              </w:rPr>
              <w:t>2.5</w:t>
            </w:r>
            <w:r>
              <w:rPr>
                <w:rFonts w:hint="eastAsia" w:eastAsia="仿宋"/>
                <w:color w:val="FF0000"/>
                <w:sz w:val="24"/>
              </w:rPr>
              <w:t>浓度为23</w:t>
            </w:r>
            <w:r>
              <w:rPr>
                <w:rFonts w:hint="eastAsia" w:eastAsia="仿宋"/>
                <w:color w:val="FF0000"/>
                <w:sz w:val="24"/>
                <w:lang w:val="en-US" w:eastAsia="zh-CN"/>
              </w:rPr>
              <w:t>u</w:t>
            </w:r>
            <w:r>
              <w:rPr>
                <w:rFonts w:hint="eastAsia" w:eastAsia="仿宋"/>
                <w:color w:val="FF0000"/>
                <w:sz w:val="24"/>
              </w:rPr>
              <w:t>g/m</w:t>
            </w:r>
            <w:r>
              <w:rPr>
                <w:rFonts w:hint="eastAsia" w:eastAsia="仿宋"/>
                <w:color w:val="FF0000"/>
                <w:sz w:val="24"/>
                <w:vertAlign w:val="superscript"/>
              </w:rPr>
              <w:t>3</w:t>
            </w:r>
            <w:r>
              <w:rPr>
                <w:rFonts w:hint="eastAsia" w:eastAsia="仿宋"/>
                <w:color w:val="FF0000"/>
                <w:sz w:val="24"/>
              </w:rPr>
              <w:t>，二氧化硫和二氧化氮平均浓度分别为7</w:t>
            </w:r>
            <w:r>
              <w:rPr>
                <w:rFonts w:hint="eastAsia" w:eastAsia="仿宋"/>
                <w:color w:val="FF0000"/>
                <w:sz w:val="24"/>
                <w:lang w:val="en-US" w:eastAsia="zh-CN"/>
              </w:rPr>
              <w:t>u</w:t>
            </w:r>
            <w:r>
              <w:rPr>
                <w:rFonts w:hint="eastAsia" w:eastAsia="仿宋"/>
                <w:color w:val="FF0000"/>
                <w:sz w:val="24"/>
              </w:rPr>
              <w:t>g/m</w:t>
            </w:r>
            <w:r>
              <w:rPr>
                <w:rFonts w:hint="eastAsia" w:eastAsia="仿宋"/>
                <w:color w:val="FF0000"/>
                <w:sz w:val="24"/>
                <w:vertAlign w:val="superscript"/>
              </w:rPr>
              <w:t>3</w:t>
            </w:r>
            <w:r>
              <w:rPr>
                <w:rFonts w:hint="eastAsia" w:eastAsia="仿宋"/>
                <w:color w:val="FF0000"/>
                <w:sz w:val="24"/>
              </w:rPr>
              <w:t>和15</w:t>
            </w:r>
            <w:r>
              <w:rPr>
                <w:rFonts w:hint="eastAsia" w:eastAsia="仿宋"/>
                <w:color w:val="FF0000"/>
                <w:sz w:val="24"/>
                <w:lang w:val="en-US" w:eastAsia="zh-CN"/>
              </w:rPr>
              <w:t>u</w:t>
            </w:r>
            <w:r>
              <w:rPr>
                <w:rFonts w:hint="eastAsia" w:eastAsia="仿宋"/>
                <w:color w:val="FF0000"/>
                <w:sz w:val="24"/>
              </w:rPr>
              <w:t>g/m</w:t>
            </w:r>
            <w:r>
              <w:rPr>
                <w:rFonts w:hint="eastAsia" w:eastAsia="仿宋"/>
                <w:color w:val="FF0000"/>
                <w:sz w:val="24"/>
                <w:vertAlign w:val="superscript"/>
              </w:rPr>
              <w:t>3</w:t>
            </w:r>
            <w:r>
              <w:rPr>
                <w:rFonts w:hint="eastAsia" w:eastAsia="仿宋"/>
                <w:color w:val="FF0000"/>
                <w:sz w:val="24"/>
              </w:rPr>
              <w:t>，一氧化碳日均第95百分位数浓度为</w:t>
            </w:r>
            <w:r>
              <w:rPr>
                <w:rFonts w:hint="eastAsia" w:eastAsia="仿宋"/>
                <w:color w:val="FF0000"/>
                <w:sz w:val="24"/>
                <w:lang w:val="en-US" w:eastAsia="zh-CN"/>
              </w:rPr>
              <w:t>0.8m</w:t>
            </w:r>
            <w:r>
              <w:rPr>
                <w:rFonts w:hint="eastAsia" w:eastAsia="仿宋"/>
                <w:color w:val="FF0000"/>
                <w:sz w:val="24"/>
              </w:rPr>
              <w:t>g/m</w:t>
            </w:r>
            <w:r>
              <w:rPr>
                <w:rFonts w:hint="eastAsia" w:eastAsia="仿宋"/>
                <w:color w:val="FF0000"/>
                <w:sz w:val="24"/>
                <w:vertAlign w:val="superscript"/>
              </w:rPr>
              <w:t>3</w:t>
            </w:r>
            <w:r>
              <w:rPr>
                <w:rFonts w:hint="eastAsia" w:eastAsia="仿宋"/>
                <w:color w:val="FF0000"/>
                <w:sz w:val="24"/>
              </w:rPr>
              <w:t>、臭氧日最大8小时平均第90百分位数浓度为143</w:t>
            </w:r>
            <w:r>
              <w:rPr>
                <w:rFonts w:hint="eastAsia" w:eastAsia="仿宋"/>
                <w:color w:val="FF0000"/>
                <w:sz w:val="24"/>
                <w:lang w:val="en-US" w:eastAsia="zh-CN"/>
              </w:rPr>
              <w:t>u</w:t>
            </w:r>
            <w:r>
              <w:rPr>
                <w:rFonts w:hint="eastAsia" w:eastAsia="仿宋"/>
                <w:color w:val="FF0000"/>
                <w:sz w:val="24"/>
              </w:rPr>
              <w:t>g/m</w:t>
            </w:r>
            <w:r>
              <w:rPr>
                <w:rFonts w:hint="eastAsia" w:eastAsia="仿宋"/>
                <w:color w:val="FF0000"/>
                <w:sz w:val="24"/>
                <w:vertAlign w:val="superscript"/>
              </w:rPr>
              <w:t>3</w:t>
            </w:r>
            <w:r>
              <w:rPr>
                <w:rFonts w:hint="eastAsia" w:eastAsia="仿宋"/>
                <w:color w:val="FF0000"/>
                <w:sz w:val="24"/>
                <w:lang w:eastAsia="zh-CN"/>
              </w:rPr>
              <w:t>，</w:t>
            </w:r>
            <w:r>
              <w:rPr>
                <w:rFonts w:hint="eastAsia" w:eastAsia="仿宋"/>
                <w:color w:val="FF0000"/>
                <w:sz w:val="24"/>
                <w:lang w:val="en-US" w:eastAsia="zh-CN"/>
              </w:rPr>
              <w:t>满足《环境空气质量标准》（GB3096-2026）过渡阶段二级浓度限值，属于达标区。</w:t>
            </w:r>
          </w:p>
          <w:p w14:paraId="457BE558">
            <w:pPr>
              <w:keepNext w:val="0"/>
              <w:keepLines w:val="0"/>
              <w:pageBreakBefore w:val="0"/>
              <w:widowControl w:val="0"/>
              <w:kinsoku/>
              <w:wordWrap/>
              <w:overflowPunct/>
              <w:topLinePunct w:val="0"/>
              <w:autoSpaceDE/>
              <w:autoSpaceDN/>
              <w:bidi w:val="0"/>
              <w:adjustRightInd w:val="0"/>
              <w:snapToGrid w:val="0"/>
              <w:spacing w:line="360" w:lineRule="auto"/>
              <w:ind w:firstLine="511" w:firstLineChars="212"/>
              <w:textAlignment w:val="auto"/>
              <w:rPr>
                <w:rFonts w:hint="default" w:ascii="Times New Roman" w:hAnsi="Times New Roman" w:eastAsia="仿宋" w:cs="Times New Roman"/>
                <w:b/>
                <w:bCs/>
                <w:color w:val="auto"/>
                <w:sz w:val="24"/>
                <w:highlight w:val="none"/>
                <w:lang w:val="en-US" w:eastAsia="zh-CN"/>
              </w:rPr>
            </w:pPr>
            <w:r>
              <w:rPr>
                <w:rFonts w:hint="default" w:ascii="Times New Roman" w:hAnsi="Times New Roman" w:eastAsia="仿宋" w:cs="Times New Roman"/>
                <w:b/>
                <w:bCs/>
                <w:color w:val="auto"/>
                <w:sz w:val="24"/>
                <w:highlight w:val="none"/>
                <w:lang w:val="en-US" w:eastAsia="zh-CN"/>
              </w:rPr>
              <w:t>2.2</w:t>
            </w:r>
            <w:r>
              <w:rPr>
                <w:rFonts w:hint="eastAsia" w:eastAsia="仿宋" w:cs="Times New Roman"/>
                <w:b/>
                <w:bCs/>
                <w:color w:val="auto"/>
                <w:sz w:val="24"/>
                <w:highlight w:val="none"/>
                <w:lang w:val="en-US" w:eastAsia="zh-CN"/>
              </w:rPr>
              <w:t>特征污染物监测</w:t>
            </w:r>
          </w:p>
          <w:p w14:paraId="014EFE46">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为了了解项目所在区域环境质量现状，</w:t>
            </w:r>
            <w:r>
              <w:rPr>
                <w:rFonts w:hint="eastAsia" w:ascii="Times New Roman" w:hAnsi="Times New Roman" w:eastAsia="仿宋" w:cs="Times New Roman"/>
                <w:color w:val="auto"/>
                <w:highlight w:val="none"/>
                <w:lang w:val="en-US" w:eastAsia="zh-CN"/>
              </w:rPr>
              <w:t>本次引用内蒙古勃昊成煤炭运销有限公司年产10万吨石英岩矿加工生产线建设项目</w:t>
            </w:r>
            <w:r>
              <w:rPr>
                <w:rFonts w:hint="default" w:ascii="Times New Roman" w:hAnsi="Times New Roman" w:eastAsia="仿宋" w:cs="Times New Roman"/>
                <w:color w:val="auto"/>
                <w:highlight w:val="none"/>
                <w:lang w:val="en-US" w:eastAsia="zh-CN"/>
              </w:rPr>
              <w:t>于20</w:t>
            </w:r>
            <w:r>
              <w:rPr>
                <w:rFonts w:hint="eastAsia" w:ascii="Times New Roman" w:hAnsi="Times New Roman" w:eastAsia="仿宋" w:cs="Times New Roman"/>
                <w:color w:val="auto"/>
                <w:highlight w:val="none"/>
                <w:lang w:val="en-US" w:eastAsia="zh-CN"/>
              </w:rPr>
              <w:t>23</w:t>
            </w:r>
            <w:r>
              <w:rPr>
                <w:rFonts w:hint="default" w:ascii="Times New Roman" w:hAnsi="Times New Roman" w:eastAsia="仿宋" w:cs="Times New Roman"/>
                <w:color w:val="auto"/>
                <w:highlight w:val="none"/>
                <w:lang w:val="en-US" w:eastAsia="zh-CN"/>
              </w:rPr>
              <w:t>年</w:t>
            </w:r>
            <w:r>
              <w:rPr>
                <w:rFonts w:hint="eastAsia" w:ascii="Times New Roman" w:hAnsi="Times New Roman" w:eastAsia="仿宋" w:cs="Times New Roman"/>
                <w:color w:val="auto"/>
                <w:highlight w:val="none"/>
                <w:lang w:val="en-US" w:eastAsia="zh-CN"/>
              </w:rPr>
              <w:t>11</w:t>
            </w:r>
            <w:r>
              <w:rPr>
                <w:rFonts w:hint="default" w:ascii="Times New Roman" w:hAnsi="Times New Roman" w:eastAsia="仿宋" w:cs="Times New Roman"/>
                <w:color w:val="auto"/>
                <w:highlight w:val="none"/>
                <w:lang w:val="en-US" w:eastAsia="zh-CN"/>
              </w:rPr>
              <w:t>月</w:t>
            </w:r>
            <w:r>
              <w:rPr>
                <w:rFonts w:hint="eastAsia" w:ascii="Times New Roman" w:hAnsi="Times New Roman" w:eastAsia="仿宋" w:cs="Times New Roman"/>
                <w:color w:val="auto"/>
                <w:highlight w:val="none"/>
                <w:lang w:val="en-US" w:eastAsia="zh-CN"/>
              </w:rPr>
              <w:t>22</w:t>
            </w:r>
            <w:r>
              <w:rPr>
                <w:rFonts w:hint="default" w:ascii="Times New Roman" w:hAnsi="Times New Roman" w:eastAsia="仿宋" w:cs="Times New Roman"/>
                <w:color w:val="auto"/>
                <w:highlight w:val="none"/>
                <w:lang w:val="en-US" w:eastAsia="zh-CN"/>
              </w:rPr>
              <w:t>日</w:t>
            </w:r>
            <w:r>
              <w:rPr>
                <w:rFonts w:hint="eastAsia" w:ascii="Times New Roman" w:hAnsi="Times New Roman" w:eastAsia="仿宋" w:cs="Times New Roman"/>
                <w:color w:val="auto"/>
                <w:highlight w:val="none"/>
                <w:lang w:val="en-US" w:eastAsia="zh-CN"/>
              </w:rPr>
              <w:t>-11</w:t>
            </w:r>
            <w:r>
              <w:rPr>
                <w:rFonts w:hint="default" w:ascii="Times New Roman" w:hAnsi="Times New Roman" w:eastAsia="仿宋" w:cs="Times New Roman"/>
                <w:color w:val="auto"/>
                <w:highlight w:val="none"/>
                <w:lang w:val="en-US" w:eastAsia="zh-CN"/>
              </w:rPr>
              <w:t>月</w:t>
            </w:r>
            <w:r>
              <w:rPr>
                <w:rFonts w:hint="eastAsia" w:ascii="Times New Roman" w:hAnsi="Times New Roman" w:eastAsia="仿宋" w:cs="Times New Roman"/>
                <w:color w:val="auto"/>
                <w:highlight w:val="none"/>
                <w:lang w:val="en-US" w:eastAsia="zh-CN"/>
              </w:rPr>
              <w:t>24</w:t>
            </w:r>
            <w:r>
              <w:rPr>
                <w:rFonts w:hint="default" w:ascii="Times New Roman" w:hAnsi="Times New Roman" w:eastAsia="仿宋" w:cs="Times New Roman"/>
                <w:color w:val="auto"/>
                <w:highlight w:val="none"/>
                <w:lang w:val="en-US" w:eastAsia="zh-CN"/>
              </w:rPr>
              <w:t>日对TSP污染物浓度</w:t>
            </w:r>
            <w:r>
              <w:rPr>
                <w:rFonts w:hint="default" w:ascii="Times New Roman" w:hAnsi="Times New Roman" w:eastAsia="仿宋" w:cs="Times New Roman"/>
                <w:color w:val="auto"/>
                <w:highlight w:val="none"/>
              </w:rPr>
              <w:t>监测</w:t>
            </w:r>
            <w:r>
              <w:rPr>
                <w:rFonts w:hint="eastAsia" w:ascii="Times New Roman" w:hAnsi="Times New Roman" w:eastAsia="仿宋" w:cs="Times New Roman"/>
                <w:color w:val="auto"/>
                <w:highlight w:val="none"/>
                <w:lang w:val="en-US" w:eastAsia="zh-CN"/>
              </w:rPr>
              <w:t>数据</w:t>
            </w:r>
            <w:r>
              <w:rPr>
                <w:rFonts w:hint="default" w:ascii="Times New Roman" w:hAnsi="Times New Roman" w:eastAsia="仿宋" w:cs="Times New Roman"/>
                <w:color w:val="auto"/>
                <w:highlight w:val="none"/>
              </w:rPr>
              <w:t>。</w:t>
            </w:r>
          </w:p>
          <w:p w14:paraId="25D0ABBC">
            <w:pPr>
              <w:pStyle w:val="43"/>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snapToGrid w:val="0"/>
                <w:color w:val="auto"/>
                <w:kern w:val="0"/>
                <w:sz w:val="24"/>
                <w:szCs w:val="24"/>
                <w:highlight w:val="none"/>
                <w:lang w:val="en-US" w:eastAsia="zh-CN" w:bidi="ar-SA"/>
              </w:rPr>
              <w:t>⑴</w:t>
            </w:r>
            <w:r>
              <w:rPr>
                <w:rFonts w:hint="default" w:ascii="Times New Roman" w:hAnsi="Times New Roman" w:eastAsia="仿宋" w:cs="Times New Roman"/>
                <w:color w:val="auto"/>
                <w:highlight w:val="none"/>
                <w:lang w:eastAsia="zh-CN"/>
              </w:rPr>
              <w:t>监测点位</w:t>
            </w:r>
          </w:p>
          <w:p w14:paraId="5B3383E5">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color w:val="auto"/>
                <w:highlight w:val="none"/>
                <w:lang w:eastAsia="zh-CN"/>
              </w:rPr>
            </w:pPr>
            <w:r>
              <w:rPr>
                <w:rFonts w:hint="eastAsia" w:ascii="Times New Roman" w:hAnsi="Times New Roman" w:eastAsia="仿宋" w:cs="Times New Roman"/>
                <w:color w:val="auto"/>
                <w:highlight w:val="none"/>
                <w:lang w:val="en-US" w:eastAsia="zh-CN"/>
              </w:rPr>
              <w:t>设置</w:t>
            </w:r>
            <w:r>
              <w:rPr>
                <w:rFonts w:hint="default" w:ascii="Times New Roman" w:hAnsi="Times New Roman" w:eastAsia="仿宋" w:cs="Times New Roman"/>
                <w:color w:val="auto"/>
                <w:highlight w:val="none"/>
                <w:lang w:eastAsia="zh-CN"/>
              </w:rPr>
              <w:t>1个</w:t>
            </w:r>
            <w:r>
              <w:rPr>
                <w:rFonts w:hint="eastAsia" w:ascii="Times New Roman" w:hAnsi="Times New Roman" w:eastAsia="仿宋" w:cs="Times New Roman"/>
                <w:color w:val="auto"/>
                <w:highlight w:val="none"/>
                <w:lang w:eastAsia="zh-CN"/>
              </w:rPr>
              <w:t>监测点</w:t>
            </w:r>
            <w:r>
              <w:rPr>
                <w:rFonts w:hint="default" w:ascii="Times New Roman" w:hAnsi="Times New Roman" w:eastAsia="仿宋" w:cs="Times New Roman"/>
                <w:color w:val="auto"/>
                <w:highlight w:val="none"/>
                <w:lang w:eastAsia="zh-CN"/>
              </w:rPr>
              <w:t>，具体点位信息见表</w:t>
            </w:r>
            <w:r>
              <w:rPr>
                <w:rFonts w:hint="eastAsia" w:ascii="Times New Roman" w:hAnsi="Times New Roman" w:eastAsia="仿宋" w:cs="Times New Roman"/>
                <w:color w:val="auto"/>
                <w:highlight w:val="none"/>
                <w:lang w:val="en-US" w:eastAsia="zh-CN"/>
              </w:rPr>
              <w:t>22</w:t>
            </w:r>
            <w:r>
              <w:rPr>
                <w:rFonts w:hint="default" w:ascii="Times New Roman" w:hAnsi="Times New Roman" w:eastAsia="仿宋" w:cs="Times New Roman"/>
                <w:color w:val="auto"/>
                <w:highlight w:val="none"/>
                <w:lang w:val="en-US" w:eastAsia="zh-CN"/>
              </w:rPr>
              <w:t>及附图</w:t>
            </w:r>
            <w:r>
              <w:rPr>
                <w:rFonts w:hint="eastAsia" w:ascii="Times New Roman" w:hAnsi="Times New Roman" w:eastAsia="仿宋" w:cs="Times New Roman"/>
                <w:color w:val="auto"/>
                <w:highlight w:val="none"/>
                <w:lang w:val="en-US" w:eastAsia="zh-CN"/>
              </w:rPr>
              <w:t>9</w:t>
            </w:r>
            <w:r>
              <w:rPr>
                <w:rFonts w:hint="default" w:ascii="Times New Roman" w:hAnsi="Times New Roman" w:eastAsia="仿宋" w:cs="Times New Roman"/>
                <w:color w:val="auto"/>
                <w:highlight w:val="none"/>
                <w:lang w:val="en-US" w:eastAsia="zh-CN"/>
              </w:rPr>
              <w:t>。</w:t>
            </w:r>
          </w:p>
          <w:p w14:paraId="2072626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
                <w:bCs/>
                <w:color w:val="000000"/>
                <w:kern w:val="0"/>
                <w:szCs w:val="21"/>
                <w:highlight w:val="none"/>
                <w:lang w:val="en-US" w:eastAsia="zh-CN"/>
              </w:rPr>
            </w:pPr>
            <w:r>
              <w:rPr>
                <w:rFonts w:hint="default" w:ascii="Times New Roman" w:hAnsi="Times New Roman" w:eastAsia="仿宋" w:cs="Times New Roman"/>
                <w:b/>
                <w:bCs/>
                <w:color w:val="000000"/>
                <w:kern w:val="0"/>
                <w:szCs w:val="21"/>
                <w:highlight w:val="none"/>
                <w:lang w:val="en-US" w:eastAsia="zh-CN"/>
              </w:rPr>
              <w:t>表</w:t>
            </w:r>
            <w:r>
              <w:rPr>
                <w:rFonts w:hint="eastAsia" w:eastAsia="仿宋" w:cs="Times New Roman"/>
                <w:b/>
                <w:bCs/>
                <w:color w:val="000000"/>
                <w:kern w:val="0"/>
                <w:szCs w:val="21"/>
                <w:highlight w:val="none"/>
                <w:lang w:val="en-US" w:eastAsia="zh-CN"/>
              </w:rPr>
              <w:t>22</w:t>
            </w:r>
            <w:r>
              <w:rPr>
                <w:rFonts w:hint="default" w:ascii="Times New Roman" w:hAnsi="Times New Roman" w:eastAsia="仿宋" w:cs="Times New Roman"/>
                <w:b/>
                <w:bCs/>
                <w:color w:val="000000"/>
                <w:kern w:val="0"/>
                <w:szCs w:val="21"/>
                <w:highlight w:val="none"/>
                <w:lang w:val="en-US" w:eastAsia="zh-CN"/>
              </w:rPr>
              <w:t xml:space="preserve">  环境空气</w:t>
            </w:r>
            <w:r>
              <w:rPr>
                <w:rFonts w:hint="eastAsia" w:eastAsia="仿宋" w:cs="Times New Roman"/>
                <w:b/>
                <w:bCs/>
                <w:color w:val="000000"/>
                <w:kern w:val="0"/>
                <w:szCs w:val="21"/>
                <w:highlight w:val="none"/>
                <w:lang w:val="en-US" w:eastAsia="zh-CN"/>
              </w:rPr>
              <w:t>引用</w:t>
            </w:r>
            <w:r>
              <w:rPr>
                <w:rFonts w:hint="default" w:ascii="Times New Roman" w:hAnsi="Times New Roman" w:eastAsia="仿宋" w:cs="Times New Roman"/>
                <w:b/>
                <w:bCs/>
                <w:color w:val="000000"/>
                <w:kern w:val="0"/>
                <w:szCs w:val="21"/>
                <w:highlight w:val="none"/>
                <w:lang w:val="en-US" w:eastAsia="zh-CN"/>
              </w:rPr>
              <w:t>监测点位信息表</w:t>
            </w:r>
          </w:p>
          <w:tbl>
            <w:tblPr>
              <w:tblStyle w:val="24"/>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722"/>
              <w:gridCol w:w="2762"/>
              <w:gridCol w:w="1983"/>
            </w:tblGrid>
            <w:tr w14:paraId="39A1CF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jc w:val="center"/>
              </w:trPr>
              <w:tc>
                <w:tcPr>
                  <w:tcW w:w="2520" w:type="dxa"/>
                  <w:tcBorders>
                    <w:tl2br w:val="nil"/>
                    <w:tr2bl w:val="nil"/>
                  </w:tcBorders>
                  <w:noWrap w:val="0"/>
                  <w:vAlign w:val="center"/>
                </w:tcPr>
                <w:p w14:paraId="369B05C6">
                  <w:pPr>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点位名称</w:t>
                  </w:r>
                </w:p>
              </w:tc>
              <w:tc>
                <w:tcPr>
                  <w:tcW w:w="2557" w:type="dxa"/>
                  <w:tcBorders>
                    <w:tl2br w:val="nil"/>
                    <w:tr2bl w:val="nil"/>
                  </w:tcBorders>
                  <w:noWrap w:val="0"/>
                  <w:vAlign w:val="center"/>
                </w:tcPr>
                <w:p w14:paraId="4AD1BD89">
                  <w:pPr>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经纬度</w:t>
                  </w:r>
                </w:p>
              </w:tc>
              <w:tc>
                <w:tcPr>
                  <w:tcW w:w="1836" w:type="dxa"/>
                  <w:tcBorders>
                    <w:tl2br w:val="nil"/>
                    <w:tr2bl w:val="nil"/>
                  </w:tcBorders>
                  <w:noWrap w:val="0"/>
                  <w:vAlign w:val="center"/>
                </w:tcPr>
                <w:p w14:paraId="08C5F6F3">
                  <w:pPr>
                    <w:jc w:val="center"/>
                    <w:rPr>
                      <w:rFonts w:hint="default" w:ascii="Times New Roman" w:hAnsi="Times New Roman" w:eastAsia="仿宋" w:cs="Times New Roman"/>
                      <w:color w:val="auto"/>
                      <w:sz w:val="21"/>
                      <w:szCs w:val="21"/>
                      <w:highlight w:val="none"/>
                      <w:lang w:val="en-US" w:eastAsia="zh-CN"/>
                    </w:rPr>
                  </w:pPr>
                  <w:r>
                    <w:rPr>
                      <w:rFonts w:hint="eastAsia" w:eastAsia="仿宋" w:cs="Times New Roman"/>
                      <w:color w:val="auto"/>
                      <w:sz w:val="21"/>
                      <w:szCs w:val="21"/>
                      <w:highlight w:val="none"/>
                      <w:lang w:val="en-US" w:eastAsia="zh-CN"/>
                    </w:rPr>
                    <w:t>与本项目位置关系</w:t>
                  </w:r>
                </w:p>
              </w:tc>
            </w:tr>
            <w:tr w14:paraId="3E8FE8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20" w:type="dxa"/>
                  <w:tcBorders>
                    <w:tl2br w:val="nil"/>
                    <w:tr2bl w:val="nil"/>
                  </w:tcBorders>
                  <w:noWrap w:val="0"/>
                  <w:vAlign w:val="center"/>
                </w:tcPr>
                <w:p w14:paraId="27AC0CA9">
                  <w:pPr>
                    <w:jc w:val="center"/>
                    <w:rPr>
                      <w:rFonts w:hint="default" w:ascii="Times New Roman" w:hAnsi="Times New Roman" w:eastAsia="仿宋" w:cs="Times New Roman"/>
                      <w:color w:val="auto"/>
                      <w:sz w:val="21"/>
                      <w:szCs w:val="21"/>
                      <w:highlight w:val="none"/>
                      <w:lang w:val="en-US" w:eastAsia="zh-CN"/>
                    </w:rPr>
                  </w:pPr>
                  <w:r>
                    <w:rPr>
                      <w:rFonts w:hint="eastAsia" w:eastAsia="仿宋" w:cs="Times New Roman"/>
                      <w:color w:val="auto"/>
                      <w:sz w:val="21"/>
                      <w:szCs w:val="21"/>
                      <w:highlight w:val="none"/>
                      <w:lang w:val="en-US" w:eastAsia="zh-CN"/>
                    </w:rPr>
                    <w:t>项目厂址下风向</w:t>
                  </w:r>
                </w:p>
              </w:tc>
              <w:tc>
                <w:tcPr>
                  <w:tcW w:w="2557" w:type="dxa"/>
                  <w:tcBorders>
                    <w:tl2br w:val="nil"/>
                    <w:tr2bl w:val="nil"/>
                  </w:tcBorders>
                  <w:noWrap w:val="0"/>
                  <w:vAlign w:val="center"/>
                </w:tcPr>
                <w:p w14:paraId="14BF0056">
                  <w:pPr>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100.12386083</w:t>
                  </w:r>
                  <w:r>
                    <w:rPr>
                      <w:rFonts w:hint="eastAsia" w:eastAsia="仿宋" w:cs="Times New Roman"/>
                      <w:color w:val="auto"/>
                      <w:sz w:val="21"/>
                      <w:szCs w:val="21"/>
                      <w:highlight w:val="none"/>
                      <w:lang w:val="en-US" w:eastAsia="zh-CN"/>
                    </w:rPr>
                    <w:t>，39.46637554</w:t>
                  </w:r>
                </w:p>
              </w:tc>
              <w:tc>
                <w:tcPr>
                  <w:tcW w:w="1836" w:type="dxa"/>
                  <w:tcBorders>
                    <w:tl2br w:val="nil"/>
                    <w:tr2bl w:val="nil"/>
                  </w:tcBorders>
                  <w:noWrap w:val="0"/>
                  <w:vAlign w:val="center"/>
                </w:tcPr>
                <w:p w14:paraId="21A19D24">
                  <w:pPr>
                    <w:jc w:val="center"/>
                    <w:rPr>
                      <w:rFonts w:hint="default" w:ascii="Times New Roman" w:hAnsi="Times New Roman" w:eastAsia="仿宋" w:cs="Times New Roman"/>
                      <w:color w:val="auto"/>
                      <w:sz w:val="21"/>
                      <w:szCs w:val="21"/>
                      <w:highlight w:val="none"/>
                      <w:lang w:val="en-US" w:eastAsia="zh-CN"/>
                    </w:rPr>
                  </w:pPr>
                  <w:r>
                    <w:rPr>
                      <w:rFonts w:hint="eastAsia" w:eastAsia="仿宋" w:cs="Times New Roman"/>
                      <w:color w:val="auto"/>
                      <w:sz w:val="21"/>
                      <w:szCs w:val="21"/>
                      <w:highlight w:val="none"/>
                      <w:lang w:val="en-US" w:eastAsia="zh-CN"/>
                    </w:rPr>
                    <w:t>本项目东侧90m处</w:t>
                  </w:r>
                </w:p>
              </w:tc>
            </w:tr>
          </w:tbl>
          <w:p w14:paraId="54BD854E">
            <w:pPr>
              <w:pStyle w:val="43"/>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ind w:left="0" w:leftChars="0" w:firstLine="480" w:firstLineChars="200"/>
              <w:jc w:val="both"/>
              <w:textAlignment w:val="auto"/>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snapToGrid w:val="0"/>
                <w:color w:val="auto"/>
                <w:kern w:val="0"/>
                <w:sz w:val="24"/>
                <w:szCs w:val="24"/>
                <w:highlight w:val="none"/>
                <w:lang w:val="en-US" w:eastAsia="zh-CN" w:bidi="ar-SA"/>
              </w:rPr>
              <w:t>⑵</w:t>
            </w:r>
            <w:r>
              <w:rPr>
                <w:rFonts w:hint="default" w:ascii="Times New Roman" w:hAnsi="Times New Roman" w:eastAsia="仿宋" w:cs="Times New Roman"/>
                <w:color w:val="auto"/>
                <w:highlight w:val="none"/>
                <w:lang w:eastAsia="zh-CN"/>
              </w:rPr>
              <w:t>监测项目</w:t>
            </w:r>
          </w:p>
          <w:p w14:paraId="686C772B">
            <w:pPr>
              <w:pStyle w:val="43"/>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TSP</w:t>
            </w:r>
          </w:p>
          <w:p w14:paraId="03FA3114">
            <w:pPr>
              <w:pStyle w:val="43"/>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snapToGrid w:val="0"/>
                <w:color w:val="auto"/>
                <w:kern w:val="0"/>
                <w:sz w:val="24"/>
                <w:szCs w:val="24"/>
                <w:highlight w:val="none"/>
                <w:lang w:val="en-US" w:eastAsia="zh-CN" w:bidi="ar-SA"/>
              </w:rPr>
              <w:t>⑶</w:t>
            </w:r>
            <w:r>
              <w:rPr>
                <w:rFonts w:hint="default" w:ascii="Times New Roman" w:hAnsi="Times New Roman" w:eastAsia="仿宋" w:cs="Times New Roman"/>
                <w:color w:val="auto"/>
                <w:sz w:val="24"/>
                <w:highlight w:val="none"/>
                <w:lang w:val="en-US" w:eastAsia="zh-CN"/>
              </w:rPr>
              <w:t>监测频次</w:t>
            </w:r>
          </w:p>
          <w:p w14:paraId="700D9447">
            <w:pPr>
              <w:pStyle w:val="43"/>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t>连续监测</w:t>
            </w:r>
            <w:r>
              <w:rPr>
                <w:rFonts w:hint="eastAsia" w:ascii="Times New Roman" w:hAnsi="Times New Roman" w:eastAsia="仿宋" w:cs="Times New Roman"/>
                <w:color w:val="auto"/>
                <w:highlight w:val="none"/>
                <w:lang w:val="en-US" w:eastAsia="zh-CN"/>
              </w:rPr>
              <w:t>3</w:t>
            </w:r>
            <w:r>
              <w:rPr>
                <w:rFonts w:hint="default" w:ascii="Times New Roman" w:hAnsi="Times New Roman" w:eastAsia="仿宋" w:cs="Times New Roman"/>
                <w:color w:val="auto"/>
                <w:highlight w:val="none"/>
                <w:lang w:val="en-US" w:eastAsia="zh-CN"/>
              </w:rPr>
              <w:t>天，</w:t>
            </w:r>
            <w:r>
              <w:rPr>
                <w:rFonts w:hint="eastAsia" w:ascii="Times New Roman" w:hAnsi="Times New Roman" w:eastAsia="仿宋" w:cs="Times New Roman"/>
                <w:color w:val="auto"/>
                <w:highlight w:val="none"/>
                <w:lang w:val="en-US" w:eastAsia="zh-CN"/>
              </w:rPr>
              <w:t>每日24小时采样。</w:t>
            </w:r>
          </w:p>
          <w:p w14:paraId="6F59BE65">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snapToGrid w:val="0"/>
                <w:color w:val="auto"/>
                <w:kern w:val="0"/>
                <w:sz w:val="24"/>
                <w:szCs w:val="24"/>
                <w:highlight w:val="none"/>
                <w:lang w:val="en-US" w:eastAsia="zh-CN" w:bidi="ar-SA"/>
              </w:rPr>
              <w:t>⑷</w:t>
            </w:r>
            <w:r>
              <w:rPr>
                <w:rFonts w:hint="default" w:ascii="Times New Roman" w:hAnsi="Times New Roman" w:eastAsia="仿宋" w:cs="Times New Roman"/>
                <w:color w:val="auto"/>
                <w:highlight w:val="none"/>
                <w:lang w:eastAsia="zh-CN"/>
              </w:rPr>
              <w:t>环境空气监测结果见表</w:t>
            </w:r>
            <w:r>
              <w:rPr>
                <w:rFonts w:hint="eastAsia" w:ascii="Times New Roman" w:hAnsi="Times New Roman" w:eastAsia="仿宋" w:cs="Times New Roman"/>
                <w:color w:val="auto"/>
                <w:highlight w:val="none"/>
                <w:lang w:val="en-US" w:eastAsia="zh-CN"/>
              </w:rPr>
              <w:t>23</w:t>
            </w:r>
            <w:r>
              <w:rPr>
                <w:rFonts w:hint="default" w:ascii="Times New Roman" w:hAnsi="Times New Roman" w:eastAsia="仿宋" w:cs="Times New Roman"/>
                <w:color w:val="auto"/>
                <w:highlight w:val="none"/>
                <w:lang w:eastAsia="zh-CN"/>
              </w:rPr>
              <w:t>。</w:t>
            </w:r>
          </w:p>
          <w:p w14:paraId="09DE954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
                <w:bCs/>
                <w:color w:val="000000"/>
                <w:kern w:val="0"/>
                <w:szCs w:val="21"/>
                <w:highlight w:val="none"/>
                <w:lang w:val="en-US" w:eastAsia="zh-CN"/>
              </w:rPr>
            </w:pPr>
            <w:r>
              <w:rPr>
                <w:rFonts w:hint="default" w:ascii="Times New Roman" w:hAnsi="Times New Roman" w:eastAsia="仿宋" w:cs="Times New Roman"/>
                <w:b/>
                <w:bCs/>
                <w:color w:val="000000"/>
                <w:kern w:val="0"/>
                <w:szCs w:val="21"/>
                <w:highlight w:val="none"/>
                <w:lang w:val="en-US" w:eastAsia="zh-CN"/>
              </w:rPr>
              <w:t>表</w:t>
            </w:r>
            <w:r>
              <w:rPr>
                <w:rFonts w:hint="eastAsia" w:eastAsia="仿宋" w:cs="Times New Roman"/>
                <w:b/>
                <w:bCs/>
                <w:color w:val="000000"/>
                <w:kern w:val="0"/>
                <w:szCs w:val="21"/>
                <w:highlight w:val="none"/>
                <w:lang w:val="en-US" w:eastAsia="zh-CN"/>
              </w:rPr>
              <w:t>23</w:t>
            </w:r>
            <w:r>
              <w:rPr>
                <w:rFonts w:hint="default" w:ascii="Times New Roman" w:hAnsi="Times New Roman" w:eastAsia="仿宋" w:cs="Times New Roman"/>
                <w:b/>
                <w:bCs/>
                <w:color w:val="000000"/>
                <w:kern w:val="0"/>
                <w:szCs w:val="21"/>
                <w:highlight w:val="none"/>
                <w:lang w:val="en-US" w:eastAsia="zh-CN"/>
              </w:rPr>
              <w:t xml:space="preserve">   </w:t>
            </w:r>
            <w:r>
              <w:rPr>
                <w:rFonts w:hint="eastAsia" w:ascii="Times New Roman" w:hAnsi="Times New Roman" w:eastAsia="仿宋" w:cs="Times New Roman"/>
                <w:b/>
                <w:bCs/>
                <w:color w:val="000000"/>
                <w:kern w:val="0"/>
                <w:szCs w:val="21"/>
                <w:highlight w:val="none"/>
                <w:lang w:val="en-US" w:eastAsia="zh-CN"/>
              </w:rPr>
              <w:t>环境空气监测</w:t>
            </w:r>
            <w:r>
              <w:rPr>
                <w:rFonts w:hint="default" w:ascii="Times New Roman" w:hAnsi="Times New Roman" w:eastAsia="仿宋" w:cs="Times New Roman"/>
                <w:b/>
                <w:bCs/>
                <w:color w:val="000000"/>
                <w:kern w:val="0"/>
                <w:szCs w:val="21"/>
                <w:highlight w:val="none"/>
                <w:lang w:val="en-US" w:eastAsia="zh-CN"/>
              </w:rPr>
              <w:t>结果表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33"/>
              <w:gridCol w:w="887"/>
              <w:gridCol w:w="902"/>
              <w:gridCol w:w="872"/>
              <w:gridCol w:w="1357"/>
              <w:gridCol w:w="1357"/>
              <w:gridCol w:w="1359"/>
            </w:tblGrid>
            <w:tr w14:paraId="197D70E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30" w:hRule="atLeast"/>
                <w:tblHeader/>
                <w:jc w:val="center"/>
              </w:trPr>
              <w:tc>
                <w:tcPr>
                  <w:tcW w:w="766" w:type="dxa"/>
                  <w:tcBorders>
                    <w:tl2br w:val="nil"/>
                    <w:tr2bl w:val="nil"/>
                  </w:tcBorders>
                  <w:noWrap w:val="0"/>
                  <w:vAlign w:val="center"/>
                </w:tcPr>
                <w:p w14:paraId="75C4B1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测点</w:t>
                  </w:r>
                </w:p>
                <w:p w14:paraId="5FD4FE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编号</w:t>
                  </w:r>
                </w:p>
              </w:tc>
              <w:tc>
                <w:tcPr>
                  <w:tcW w:w="919" w:type="dxa"/>
                  <w:tcBorders>
                    <w:tl2br w:val="nil"/>
                    <w:tr2bl w:val="nil"/>
                  </w:tcBorders>
                  <w:noWrap w:val="0"/>
                  <w:vAlign w:val="center"/>
                </w:tcPr>
                <w:p w14:paraId="02AC17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检测</w:t>
                  </w:r>
                </w:p>
                <w:p w14:paraId="56E2D4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项目</w:t>
                  </w:r>
                </w:p>
              </w:tc>
              <w:tc>
                <w:tcPr>
                  <w:tcW w:w="920" w:type="dxa"/>
                  <w:tcBorders>
                    <w:tl2br w:val="nil"/>
                    <w:tr2bl w:val="nil"/>
                  </w:tcBorders>
                  <w:noWrap w:val="0"/>
                  <w:vAlign w:val="center"/>
                </w:tcPr>
                <w:p w14:paraId="3D287D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结果</w:t>
                  </w:r>
                </w:p>
                <w:p w14:paraId="0BA3BB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单位</w:t>
                  </w:r>
                </w:p>
              </w:tc>
              <w:tc>
                <w:tcPr>
                  <w:tcW w:w="918" w:type="dxa"/>
                  <w:tcBorders>
                    <w:tl2br w:val="nil"/>
                    <w:tr2bl w:val="nil"/>
                  </w:tcBorders>
                  <w:noWrap w:val="0"/>
                  <w:vAlign w:val="center"/>
                </w:tcPr>
                <w:p w14:paraId="132DD8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检测</w:t>
                  </w:r>
                </w:p>
                <w:p w14:paraId="618AC0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频次</w:t>
                  </w:r>
                </w:p>
              </w:tc>
              <w:tc>
                <w:tcPr>
                  <w:tcW w:w="1442" w:type="dxa"/>
                  <w:tcBorders>
                    <w:tl2br w:val="nil"/>
                    <w:tr2bl w:val="nil"/>
                  </w:tcBorders>
                  <w:noWrap w:val="0"/>
                  <w:vAlign w:val="center"/>
                </w:tcPr>
                <w:p w14:paraId="13BFE6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eastAsia" w:eastAsia="仿宋" w:cs="Times New Roman"/>
                      <w:color w:val="auto"/>
                      <w:sz w:val="21"/>
                      <w:szCs w:val="21"/>
                      <w:highlight w:val="none"/>
                      <w:lang w:val="en-US" w:eastAsia="zh-CN"/>
                    </w:rPr>
                    <w:t>11</w:t>
                  </w:r>
                  <w:r>
                    <w:rPr>
                      <w:rFonts w:hint="default" w:ascii="Times New Roman" w:hAnsi="Times New Roman" w:eastAsia="仿宋" w:cs="Times New Roman"/>
                      <w:color w:val="auto"/>
                      <w:sz w:val="21"/>
                      <w:szCs w:val="21"/>
                      <w:highlight w:val="none"/>
                      <w:lang w:val="en-US" w:eastAsia="zh-CN"/>
                    </w:rPr>
                    <w:t>月</w:t>
                  </w:r>
                  <w:r>
                    <w:rPr>
                      <w:rFonts w:hint="eastAsia" w:eastAsia="仿宋" w:cs="Times New Roman"/>
                      <w:color w:val="auto"/>
                      <w:sz w:val="21"/>
                      <w:szCs w:val="21"/>
                      <w:highlight w:val="none"/>
                      <w:lang w:val="en-US" w:eastAsia="zh-CN"/>
                    </w:rPr>
                    <w:t>22</w:t>
                  </w:r>
                  <w:r>
                    <w:rPr>
                      <w:rFonts w:hint="default" w:ascii="Times New Roman" w:hAnsi="Times New Roman" w:eastAsia="仿宋" w:cs="Times New Roman"/>
                      <w:color w:val="auto"/>
                      <w:sz w:val="21"/>
                      <w:szCs w:val="21"/>
                      <w:highlight w:val="none"/>
                      <w:lang w:val="en-US" w:eastAsia="zh-CN"/>
                    </w:rPr>
                    <w:t>日</w:t>
                  </w:r>
                </w:p>
              </w:tc>
              <w:tc>
                <w:tcPr>
                  <w:tcW w:w="1442" w:type="dxa"/>
                  <w:tcBorders>
                    <w:tl2br w:val="nil"/>
                    <w:tr2bl w:val="nil"/>
                  </w:tcBorders>
                  <w:noWrap w:val="0"/>
                  <w:vAlign w:val="center"/>
                </w:tcPr>
                <w:p w14:paraId="0E4126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eastAsia" w:eastAsia="仿宋" w:cs="Times New Roman"/>
                      <w:color w:val="auto"/>
                      <w:sz w:val="21"/>
                      <w:szCs w:val="21"/>
                      <w:highlight w:val="none"/>
                      <w:lang w:val="en-US" w:eastAsia="zh-CN"/>
                    </w:rPr>
                    <w:t>11</w:t>
                  </w:r>
                  <w:r>
                    <w:rPr>
                      <w:rFonts w:hint="default" w:ascii="Times New Roman" w:hAnsi="Times New Roman" w:eastAsia="仿宋" w:cs="Times New Roman"/>
                      <w:color w:val="auto"/>
                      <w:sz w:val="21"/>
                      <w:szCs w:val="21"/>
                      <w:highlight w:val="none"/>
                      <w:lang w:val="en-US" w:eastAsia="zh-CN"/>
                    </w:rPr>
                    <w:t>月</w:t>
                  </w:r>
                  <w:r>
                    <w:rPr>
                      <w:rFonts w:hint="eastAsia" w:eastAsia="仿宋" w:cs="Times New Roman"/>
                      <w:color w:val="auto"/>
                      <w:sz w:val="21"/>
                      <w:szCs w:val="21"/>
                      <w:highlight w:val="none"/>
                      <w:lang w:val="en-US" w:eastAsia="zh-CN"/>
                    </w:rPr>
                    <w:t>23</w:t>
                  </w:r>
                  <w:r>
                    <w:rPr>
                      <w:rFonts w:hint="default" w:ascii="Times New Roman" w:hAnsi="Times New Roman" w:eastAsia="仿宋" w:cs="Times New Roman"/>
                      <w:color w:val="auto"/>
                      <w:sz w:val="21"/>
                      <w:szCs w:val="21"/>
                      <w:highlight w:val="none"/>
                      <w:lang w:val="en-US" w:eastAsia="zh-CN"/>
                    </w:rPr>
                    <w:t>日</w:t>
                  </w:r>
                </w:p>
              </w:tc>
              <w:tc>
                <w:tcPr>
                  <w:tcW w:w="1444" w:type="dxa"/>
                  <w:tcBorders>
                    <w:tl2br w:val="nil"/>
                    <w:tr2bl w:val="nil"/>
                  </w:tcBorders>
                  <w:noWrap w:val="0"/>
                  <w:vAlign w:val="center"/>
                </w:tcPr>
                <w:p w14:paraId="47B6AB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eastAsia" w:eastAsia="仿宋" w:cs="Times New Roman"/>
                      <w:color w:val="auto"/>
                      <w:sz w:val="21"/>
                      <w:szCs w:val="21"/>
                      <w:highlight w:val="none"/>
                      <w:lang w:val="en-US" w:eastAsia="zh-CN"/>
                    </w:rPr>
                    <w:t>11</w:t>
                  </w:r>
                  <w:r>
                    <w:rPr>
                      <w:rFonts w:hint="default" w:ascii="Times New Roman" w:hAnsi="Times New Roman" w:eastAsia="仿宋" w:cs="Times New Roman"/>
                      <w:color w:val="auto"/>
                      <w:sz w:val="21"/>
                      <w:szCs w:val="21"/>
                      <w:highlight w:val="none"/>
                      <w:lang w:val="en-US" w:eastAsia="zh-CN"/>
                    </w:rPr>
                    <w:t>月</w:t>
                  </w:r>
                  <w:r>
                    <w:rPr>
                      <w:rFonts w:hint="eastAsia" w:eastAsia="仿宋" w:cs="Times New Roman"/>
                      <w:color w:val="auto"/>
                      <w:sz w:val="21"/>
                      <w:szCs w:val="21"/>
                      <w:highlight w:val="none"/>
                      <w:lang w:val="en-US" w:eastAsia="zh-CN"/>
                    </w:rPr>
                    <w:t>24</w:t>
                  </w:r>
                  <w:r>
                    <w:rPr>
                      <w:rFonts w:hint="default" w:ascii="Times New Roman" w:hAnsi="Times New Roman" w:eastAsia="仿宋" w:cs="Times New Roman"/>
                      <w:color w:val="auto"/>
                      <w:sz w:val="21"/>
                      <w:szCs w:val="21"/>
                      <w:highlight w:val="none"/>
                      <w:lang w:val="en-US" w:eastAsia="zh-CN"/>
                    </w:rPr>
                    <w:t>日</w:t>
                  </w:r>
                </w:p>
              </w:tc>
            </w:tr>
            <w:tr w14:paraId="00AE82D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66" w:type="dxa"/>
                  <w:tcBorders>
                    <w:tl2br w:val="nil"/>
                    <w:tr2bl w:val="nil"/>
                  </w:tcBorders>
                  <w:noWrap w:val="0"/>
                  <w:vAlign w:val="center"/>
                </w:tcPr>
                <w:p w14:paraId="0D15CC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1#</w:t>
                  </w:r>
                </w:p>
              </w:tc>
              <w:tc>
                <w:tcPr>
                  <w:tcW w:w="919" w:type="dxa"/>
                  <w:tcBorders>
                    <w:tl2br w:val="nil"/>
                    <w:tr2bl w:val="nil"/>
                  </w:tcBorders>
                  <w:noWrap w:val="0"/>
                  <w:vAlign w:val="center"/>
                </w:tcPr>
                <w:p w14:paraId="58CA3E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TSP</w:t>
                  </w:r>
                </w:p>
              </w:tc>
              <w:tc>
                <w:tcPr>
                  <w:tcW w:w="920" w:type="dxa"/>
                  <w:tcBorders>
                    <w:tl2br w:val="nil"/>
                    <w:tr2bl w:val="nil"/>
                  </w:tcBorders>
                  <w:noWrap w:val="0"/>
                  <w:vAlign w:val="center"/>
                </w:tcPr>
                <w:p w14:paraId="3E6715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μg/m</w:t>
                  </w:r>
                  <w:r>
                    <w:rPr>
                      <w:rFonts w:hint="default" w:ascii="Times New Roman" w:hAnsi="Times New Roman" w:eastAsia="仿宋" w:cs="Times New Roman"/>
                      <w:color w:val="auto"/>
                      <w:sz w:val="21"/>
                      <w:szCs w:val="21"/>
                      <w:highlight w:val="none"/>
                      <w:vertAlign w:val="superscript"/>
                      <w:lang w:val="en-US" w:eastAsia="zh-CN"/>
                    </w:rPr>
                    <w:t>3</w:t>
                  </w:r>
                </w:p>
              </w:tc>
              <w:tc>
                <w:tcPr>
                  <w:tcW w:w="918" w:type="dxa"/>
                  <w:tcBorders>
                    <w:tl2br w:val="nil"/>
                    <w:tr2bl w:val="nil"/>
                  </w:tcBorders>
                  <w:noWrap w:val="0"/>
                  <w:vAlign w:val="center"/>
                </w:tcPr>
                <w:p w14:paraId="5310F8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日均值</w:t>
                  </w:r>
                </w:p>
              </w:tc>
              <w:tc>
                <w:tcPr>
                  <w:tcW w:w="1442" w:type="dxa"/>
                  <w:tcBorders>
                    <w:tl2br w:val="nil"/>
                    <w:tr2bl w:val="nil"/>
                  </w:tcBorders>
                  <w:noWrap w:val="0"/>
                  <w:vAlign w:val="center"/>
                </w:tcPr>
                <w:p w14:paraId="50E9A3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eastAsia" w:eastAsia="仿宋" w:cs="Times New Roman"/>
                      <w:color w:val="auto"/>
                      <w:sz w:val="21"/>
                      <w:szCs w:val="21"/>
                      <w:highlight w:val="none"/>
                      <w:lang w:val="en-US" w:eastAsia="zh-CN"/>
                    </w:rPr>
                    <w:t>187</w:t>
                  </w:r>
                </w:p>
              </w:tc>
              <w:tc>
                <w:tcPr>
                  <w:tcW w:w="1442" w:type="dxa"/>
                  <w:tcBorders>
                    <w:tl2br w:val="nil"/>
                    <w:tr2bl w:val="nil"/>
                  </w:tcBorders>
                  <w:noWrap w:val="0"/>
                  <w:vAlign w:val="center"/>
                </w:tcPr>
                <w:p w14:paraId="262C84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eastAsia" w:eastAsia="仿宋" w:cs="Times New Roman"/>
                      <w:color w:val="auto"/>
                      <w:sz w:val="21"/>
                      <w:szCs w:val="21"/>
                      <w:highlight w:val="none"/>
                      <w:lang w:val="en-US" w:eastAsia="zh-CN"/>
                    </w:rPr>
                    <w:t>261</w:t>
                  </w:r>
                </w:p>
              </w:tc>
              <w:tc>
                <w:tcPr>
                  <w:tcW w:w="1444" w:type="dxa"/>
                  <w:tcBorders>
                    <w:tl2br w:val="nil"/>
                    <w:tr2bl w:val="nil"/>
                  </w:tcBorders>
                  <w:noWrap w:val="0"/>
                  <w:vAlign w:val="center"/>
                </w:tcPr>
                <w:p w14:paraId="531EAC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eastAsia" w:eastAsia="仿宋" w:cs="Times New Roman"/>
                      <w:color w:val="auto"/>
                      <w:sz w:val="21"/>
                      <w:szCs w:val="21"/>
                      <w:highlight w:val="none"/>
                      <w:lang w:val="en-US" w:eastAsia="zh-CN"/>
                    </w:rPr>
                    <w:t>233</w:t>
                  </w:r>
                </w:p>
              </w:tc>
            </w:tr>
            <w:tr w14:paraId="0EF4D4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523" w:type="dxa"/>
                  <w:gridSpan w:val="4"/>
                  <w:tcBorders>
                    <w:tl2br w:val="nil"/>
                    <w:tr2bl w:val="nil"/>
                  </w:tcBorders>
                  <w:noWrap w:val="0"/>
                  <w:vAlign w:val="center"/>
                </w:tcPr>
                <w:p w14:paraId="1A4214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标准限值</w:t>
                  </w:r>
                </w:p>
              </w:tc>
              <w:tc>
                <w:tcPr>
                  <w:tcW w:w="1442" w:type="dxa"/>
                  <w:tcBorders>
                    <w:tl2br w:val="nil"/>
                    <w:tr2bl w:val="nil"/>
                  </w:tcBorders>
                  <w:noWrap w:val="0"/>
                  <w:vAlign w:val="center"/>
                </w:tcPr>
                <w:p w14:paraId="21602E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300</w:t>
                  </w:r>
                </w:p>
              </w:tc>
              <w:tc>
                <w:tcPr>
                  <w:tcW w:w="1442" w:type="dxa"/>
                  <w:tcBorders>
                    <w:tl2br w:val="nil"/>
                    <w:tr2bl w:val="nil"/>
                  </w:tcBorders>
                  <w:noWrap w:val="0"/>
                  <w:vAlign w:val="center"/>
                </w:tcPr>
                <w:p w14:paraId="66BF2A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300</w:t>
                  </w:r>
                </w:p>
              </w:tc>
              <w:tc>
                <w:tcPr>
                  <w:tcW w:w="1444" w:type="dxa"/>
                  <w:tcBorders>
                    <w:tl2br w:val="nil"/>
                    <w:tr2bl w:val="nil"/>
                  </w:tcBorders>
                  <w:noWrap w:val="0"/>
                  <w:vAlign w:val="center"/>
                </w:tcPr>
                <w:p w14:paraId="4F2C93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300</w:t>
                  </w:r>
                </w:p>
              </w:tc>
            </w:tr>
            <w:tr w14:paraId="0306EF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523" w:type="dxa"/>
                  <w:gridSpan w:val="4"/>
                  <w:tcBorders>
                    <w:tl2br w:val="nil"/>
                    <w:tr2bl w:val="nil"/>
                  </w:tcBorders>
                  <w:noWrap w:val="0"/>
                  <w:vAlign w:val="center"/>
                </w:tcPr>
                <w:p w14:paraId="46701D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结果评价</w:t>
                  </w:r>
                </w:p>
              </w:tc>
              <w:tc>
                <w:tcPr>
                  <w:tcW w:w="1442" w:type="dxa"/>
                  <w:tcBorders>
                    <w:tl2br w:val="nil"/>
                    <w:tr2bl w:val="nil"/>
                  </w:tcBorders>
                  <w:noWrap w:val="0"/>
                  <w:vAlign w:val="center"/>
                </w:tcPr>
                <w:p w14:paraId="7CBBBC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达标</w:t>
                  </w:r>
                </w:p>
              </w:tc>
              <w:tc>
                <w:tcPr>
                  <w:tcW w:w="1442" w:type="dxa"/>
                  <w:tcBorders>
                    <w:tl2br w:val="nil"/>
                    <w:tr2bl w:val="nil"/>
                  </w:tcBorders>
                  <w:noWrap w:val="0"/>
                  <w:vAlign w:val="center"/>
                </w:tcPr>
                <w:p w14:paraId="0889C4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达标</w:t>
                  </w:r>
                </w:p>
              </w:tc>
              <w:tc>
                <w:tcPr>
                  <w:tcW w:w="1444" w:type="dxa"/>
                  <w:tcBorders>
                    <w:tl2br w:val="nil"/>
                    <w:tr2bl w:val="nil"/>
                  </w:tcBorders>
                  <w:noWrap w:val="0"/>
                  <w:vAlign w:val="center"/>
                </w:tcPr>
                <w:p w14:paraId="50B799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达标</w:t>
                  </w:r>
                </w:p>
              </w:tc>
            </w:tr>
          </w:tbl>
          <w:p w14:paraId="2CC8715D">
            <w:pPr>
              <w:pStyle w:val="43"/>
              <w:keepNext w:val="0"/>
              <w:keepLines w:val="0"/>
              <w:pageBreakBefore w:val="0"/>
              <w:widowControl w:val="0"/>
              <w:kinsoku/>
              <w:wordWrap/>
              <w:overflowPunct/>
              <w:topLinePunct w:val="0"/>
              <w:autoSpaceDE/>
              <w:autoSpaceDN/>
              <w:bidi w:val="0"/>
              <w:adjustRightInd w:val="0"/>
              <w:snapToGrid w:val="0"/>
              <w:spacing w:before="157" w:beforeLines="50"/>
              <w:ind w:leftChars="0" w:firstLine="480" w:firstLineChars="200"/>
              <w:jc w:val="both"/>
              <w:textAlignment w:val="auto"/>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t>由监测结果可知，本项目</w:t>
            </w:r>
            <w:r>
              <w:rPr>
                <w:rFonts w:hint="default" w:ascii="Times New Roman" w:hAnsi="Times New Roman" w:eastAsia="仿宋" w:cs="Times New Roman"/>
                <w:color w:val="auto"/>
                <w:highlight w:val="none"/>
                <w:lang w:val="en-US" w:eastAsia="zh-CN"/>
              </w:rPr>
              <w:t>TSP浓度</w:t>
            </w:r>
            <w:r>
              <w:rPr>
                <w:rFonts w:hint="default" w:ascii="Times New Roman" w:hAnsi="Times New Roman" w:eastAsia="仿宋" w:cs="Times New Roman"/>
                <w:color w:val="auto"/>
                <w:highlight w:val="none"/>
                <w:lang w:eastAsia="zh-CN"/>
              </w:rPr>
              <w:t>满足《环境空气质量标准》（GB3095-20</w:t>
            </w:r>
            <w:r>
              <w:rPr>
                <w:rFonts w:hint="eastAsia" w:ascii="Times New Roman" w:hAnsi="Times New Roman" w:eastAsia="仿宋" w:cs="Times New Roman"/>
                <w:color w:val="auto"/>
                <w:highlight w:val="none"/>
                <w:lang w:val="en-US" w:eastAsia="zh-CN"/>
              </w:rPr>
              <w:t>26</w:t>
            </w:r>
            <w:r>
              <w:rPr>
                <w:rFonts w:hint="default" w:ascii="Times New Roman" w:hAnsi="Times New Roman" w:eastAsia="仿宋" w:cs="Times New Roman"/>
                <w:color w:val="auto"/>
                <w:highlight w:val="none"/>
                <w:lang w:eastAsia="zh-CN"/>
              </w:rPr>
              <w:t>）二</w:t>
            </w:r>
            <w:r>
              <w:rPr>
                <w:rFonts w:hint="eastAsia" w:ascii="Times New Roman" w:hAnsi="Times New Roman" w:eastAsia="仿宋" w:cs="Times New Roman"/>
                <w:color w:val="auto"/>
                <w:highlight w:val="none"/>
                <w:lang w:val="en-US" w:eastAsia="zh-CN"/>
              </w:rPr>
              <w:t>级</w:t>
            </w:r>
            <w:r>
              <w:rPr>
                <w:rFonts w:hint="default" w:ascii="Times New Roman" w:hAnsi="Times New Roman" w:eastAsia="仿宋" w:cs="Times New Roman"/>
                <w:color w:val="auto"/>
                <w:highlight w:val="none"/>
                <w:lang w:eastAsia="zh-CN"/>
              </w:rPr>
              <w:t>标准</w:t>
            </w:r>
            <w:r>
              <w:rPr>
                <w:rFonts w:hint="eastAsia" w:ascii="Times New Roman" w:hAnsi="Times New Roman" w:eastAsia="仿宋" w:cs="Times New Roman"/>
                <w:color w:val="auto"/>
                <w:highlight w:val="none"/>
                <w:lang w:val="en-US" w:eastAsia="zh-CN"/>
              </w:rPr>
              <w:t>限值</w:t>
            </w:r>
            <w:r>
              <w:rPr>
                <w:rFonts w:hint="default" w:ascii="Times New Roman" w:hAnsi="Times New Roman" w:eastAsia="仿宋" w:cs="Times New Roman"/>
                <w:color w:val="auto"/>
                <w:highlight w:val="none"/>
                <w:lang w:eastAsia="zh-CN"/>
              </w:rPr>
              <w:t>，项目区环境空气质量现状较好。</w:t>
            </w:r>
          </w:p>
          <w:p w14:paraId="0D5F435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eastAsia="仿宋"/>
                <w:b/>
                <w:sz w:val="24"/>
              </w:rPr>
            </w:pPr>
            <w:r>
              <w:rPr>
                <w:rFonts w:hint="eastAsia" w:eastAsia="仿宋"/>
                <w:b/>
                <w:bCs/>
                <w:color w:val="000000"/>
                <w:sz w:val="24"/>
                <w:lang w:val="en-US" w:eastAsia="zh-CN"/>
              </w:rPr>
              <w:t>3.</w:t>
            </w:r>
            <w:r>
              <w:rPr>
                <w:rFonts w:eastAsia="仿宋"/>
                <w:b/>
                <w:sz w:val="24"/>
              </w:rPr>
              <w:t>地表水环境</w:t>
            </w:r>
          </w:p>
          <w:p w14:paraId="4FF9E79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olor w:val="000000"/>
                <w:sz w:val="24"/>
              </w:rPr>
            </w:pPr>
            <w:r>
              <w:rPr>
                <w:rFonts w:hint="eastAsia" w:ascii="仿宋" w:hAnsi="仿宋" w:eastAsia="仿宋"/>
                <w:color w:val="000000"/>
                <w:kern w:val="0"/>
                <w:sz w:val="24"/>
                <w:lang w:val="en-US" w:eastAsia="zh-CN"/>
              </w:rPr>
              <w:t>根</w:t>
            </w:r>
            <w:r>
              <w:rPr>
                <w:rFonts w:hint="default" w:ascii="Times New Roman" w:hAnsi="Times New Roman" w:eastAsia="仿宋" w:cs="Times New Roman"/>
                <w:color w:val="000000"/>
                <w:kern w:val="0"/>
                <w:sz w:val="24"/>
                <w:lang w:val="en-US" w:eastAsia="zh-CN"/>
              </w:rPr>
              <w:t>据现场调查，</w:t>
            </w:r>
            <w:r>
              <w:rPr>
                <w:rFonts w:hint="default" w:ascii="Times New Roman" w:hAnsi="Times New Roman" w:eastAsia="仿宋" w:cs="Times New Roman"/>
                <w:color w:val="000000"/>
                <w:kern w:val="0"/>
                <w:sz w:val="24"/>
              </w:rPr>
              <w:t>本项目</w:t>
            </w:r>
            <w:r>
              <w:rPr>
                <w:rFonts w:hint="eastAsia" w:eastAsia="仿宋" w:cs="Times New Roman"/>
                <w:color w:val="000000"/>
                <w:kern w:val="0"/>
                <w:sz w:val="24"/>
                <w:lang w:val="en-US" w:eastAsia="zh-CN"/>
              </w:rPr>
              <w:t>距离黑河约13km</w:t>
            </w:r>
            <w:r>
              <w:rPr>
                <w:rFonts w:hint="eastAsia" w:ascii="仿宋" w:hAnsi="仿宋" w:eastAsia="仿宋"/>
                <w:color w:val="000000"/>
                <w:kern w:val="0"/>
                <w:sz w:val="24"/>
                <w:lang w:eastAsia="zh-CN"/>
              </w:rPr>
              <w:t>。</w:t>
            </w:r>
            <w:r>
              <w:rPr>
                <w:rFonts w:hint="eastAsia" w:ascii="仿宋" w:hAnsi="仿宋" w:eastAsia="仿宋"/>
                <w:color w:val="000000"/>
                <w:kern w:val="0"/>
                <w:sz w:val="24"/>
              </w:rPr>
              <w:t>根</w:t>
            </w:r>
            <w:r>
              <w:rPr>
                <w:rFonts w:hint="eastAsia" w:ascii="仿宋" w:hAnsi="仿宋" w:eastAsia="仿宋"/>
                <w:color w:val="000000"/>
                <w:sz w:val="24"/>
              </w:rPr>
              <w:t>据甘肃省生态环境厅发布</w:t>
            </w:r>
            <w:r>
              <w:rPr>
                <w:rFonts w:hint="eastAsia" w:eastAsia="仿宋"/>
                <w:color w:val="000000"/>
                <w:kern w:val="0"/>
                <w:sz w:val="24"/>
              </w:rPr>
              <w:t>《</w:t>
            </w:r>
            <w:r>
              <w:rPr>
                <w:rFonts w:hint="eastAsia" w:eastAsia="仿宋"/>
                <w:color w:val="000000"/>
                <w:kern w:val="0"/>
                <w:sz w:val="24"/>
                <w:lang w:val="en-US" w:eastAsia="zh-CN"/>
              </w:rPr>
              <w:t>2025年甘肃省生态环境状况公报</w:t>
            </w:r>
            <w:r>
              <w:rPr>
                <w:rFonts w:hint="eastAsia" w:eastAsia="仿宋"/>
                <w:color w:val="000000"/>
                <w:kern w:val="0"/>
                <w:sz w:val="24"/>
              </w:rPr>
              <w:t>》</w:t>
            </w:r>
            <w:r>
              <w:rPr>
                <w:rFonts w:hint="eastAsia" w:ascii="仿宋" w:hAnsi="仿宋" w:eastAsia="仿宋"/>
                <w:color w:val="000000"/>
                <w:sz w:val="24"/>
              </w:rPr>
              <w:t>地表水环境可知，</w:t>
            </w:r>
            <w:r>
              <w:rPr>
                <w:rFonts w:hint="eastAsia" w:ascii="仿宋" w:hAnsi="仿宋" w:eastAsia="仿宋"/>
                <w:color w:val="000000"/>
                <w:sz w:val="24"/>
                <w:lang w:val="en-US" w:eastAsia="zh-CN"/>
              </w:rPr>
              <w:t>黑河</w:t>
            </w:r>
            <w:r>
              <w:rPr>
                <w:rFonts w:hint="eastAsia" w:ascii="仿宋" w:hAnsi="仿宋" w:eastAsia="仿宋"/>
                <w:color w:val="000000"/>
                <w:sz w:val="24"/>
              </w:rPr>
              <w:t>地表水环境满足《地表水环境质量标准》（</w:t>
            </w:r>
            <w:r>
              <w:rPr>
                <w:rFonts w:eastAsia="仿宋"/>
                <w:color w:val="000000"/>
                <w:sz w:val="24"/>
              </w:rPr>
              <w:t>GB3838-2002</w:t>
            </w:r>
            <w:r>
              <w:rPr>
                <w:rFonts w:hint="eastAsia" w:ascii="仿宋" w:hAnsi="仿宋" w:eastAsia="仿宋"/>
                <w:color w:val="000000"/>
                <w:sz w:val="24"/>
              </w:rPr>
              <w:t>）中水</w:t>
            </w:r>
            <w:r>
              <w:rPr>
                <w:rFonts w:hint="eastAsia" w:ascii="仿宋" w:hAnsi="仿宋" w:eastAsia="仿宋"/>
                <w:color w:val="000000"/>
                <w:sz w:val="24"/>
                <w:lang w:val="en-US" w:eastAsia="zh-CN"/>
              </w:rPr>
              <w:t>质</w:t>
            </w:r>
            <w:r>
              <w:rPr>
                <w:rFonts w:hint="eastAsia" w:ascii="仿宋" w:hAnsi="仿宋" w:eastAsia="仿宋"/>
                <w:color w:val="000000"/>
                <w:sz w:val="24"/>
              </w:rPr>
              <w:t>标准。</w:t>
            </w:r>
          </w:p>
          <w:p w14:paraId="526BC00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仿宋" w:cs="Times New Roman"/>
                <w:b/>
                <w:bCs/>
                <w:color w:val="auto"/>
                <w:sz w:val="24"/>
                <w:szCs w:val="24"/>
                <w:highlight w:val="none"/>
                <w:lang w:val="en-US" w:eastAsia="zh-CN"/>
              </w:rPr>
            </w:pPr>
            <w:r>
              <w:rPr>
                <w:rFonts w:hint="eastAsia" w:eastAsia="仿宋" w:cs="Times New Roman"/>
                <w:b/>
                <w:bCs/>
                <w:color w:val="auto"/>
                <w:sz w:val="24"/>
                <w:szCs w:val="24"/>
                <w:highlight w:val="none"/>
                <w:lang w:val="en-US" w:eastAsia="zh-CN"/>
              </w:rPr>
              <w:t>4.</w:t>
            </w:r>
            <w:r>
              <w:rPr>
                <w:rFonts w:hint="default" w:ascii="Times New Roman" w:hAnsi="Times New Roman" w:eastAsia="仿宋" w:cs="Times New Roman"/>
                <w:b/>
                <w:bCs/>
                <w:color w:val="auto"/>
                <w:sz w:val="24"/>
                <w:szCs w:val="24"/>
                <w:highlight w:val="none"/>
                <w:lang w:val="en-US" w:eastAsia="zh-CN"/>
              </w:rPr>
              <w:t>声环境</w:t>
            </w:r>
          </w:p>
          <w:p w14:paraId="22A865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仿宋"/>
                <w:kern w:val="0"/>
                <w:sz w:val="24"/>
              </w:rPr>
            </w:pPr>
            <w:r>
              <w:rPr>
                <w:rFonts w:hint="eastAsia" w:eastAsia="仿宋"/>
                <w:kern w:val="0"/>
                <w:sz w:val="24"/>
                <w:lang w:val="en-US" w:eastAsia="zh-CN"/>
              </w:rPr>
              <w:t>根据</w:t>
            </w:r>
            <w:r>
              <w:rPr>
                <w:rFonts w:eastAsia="仿宋"/>
                <w:kern w:val="0"/>
                <w:sz w:val="24"/>
              </w:rPr>
              <w:t>现场调查，本项目</w:t>
            </w:r>
            <w:r>
              <w:rPr>
                <w:rFonts w:hint="eastAsia" w:eastAsia="仿宋"/>
                <w:kern w:val="0"/>
                <w:sz w:val="24"/>
                <w:lang w:val="en-US" w:eastAsia="zh-CN"/>
              </w:rPr>
              <w:t>200</w:t>
            </w:r>
            <w:r>
              <w:rPr>
                <w:rFonts w:eastAsia="仿宋"/>
                <w:kern w:val="0"/>
                <w:sz w:val="24"/>
              </w:rPr>
              <w:t>m范围内无声环境敏感目标，因此，本项目不对噪声进行</w:t>
            </w:r>
            <w:r>
              <w:rPr>
                <w:rFonts w:hint="eastAsia" w:eastAsia="仿宋"/>
                <w:kern w:val="0"/>
                <w:sz w:val="24"/>
                <w:lang w:val="en-US" w:eastAsia="zh-CN"/>
              </w:rPr>
              <w:t>监测</w:t>
            </w:r>
            <w:r>
              <w:rPr>
                <w:rFonts w:eastAsia="仿宋"/>
                <w:kern w:val="0"/>
                <w:sz w:val="24"/>
              </w:rPr>
              <w:t>。</w:t>
            </w:r>
          </w:p>
          <w:p w14:paraId="1E37CA9D">
            <w:pPr>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textAlignment w:val="auto"/>
              <w:rPr>
                <w:rFonts w:hint="default" w:ascii="Times New Roman" w:hAnsi="Times New Roman" w:eastAsia="仿宋" w:cs="Times New Roman"/>
                <w:b/>
                <w:bCs/>
                <w:color w:val="auto"/>
                <w:sz w:val="24"/>
                <w:szCs w:val="24"/>
                <w:highlight w:val="none"/>
                <w:lang w:val="en-US" w:eastAsia="zh-CN"/>
              </w:rPr>
            </w:pPr>
            <w:r>
              <w:rPr>
                <w:rFonts w:hint="eastAsia" w:eastAsia="仿宋" w:cs="Times New Roman"/>
                <w:b/>
                <w:bCs/>
                <w:color w:val="auto"/>
                <w:sz w:val="24"/>
                <w:szCs w:val="24"/>
                <w:highlight w:val="none"/>
                <w:lang w:val="en-US" w:eastAsia="zh-CN"/>
              </w:rPr>
              <w:t>5.</w:t>
            </w:r>
            <w:r>
              <w:rPr>
                <w:rFonts w:hint="default" w:ascii="Times New Roman" w:hAnsi="Times New Roman" w:eastAsia="仿宋" w:cs="Times New Roman"/>
                <w:b/>
                <w:bCs/>
                <w:color w:val="auto"/>
                <w:sz w:val="24"/>
                <w:szCs w:val="24"/>
                <w:highlight w:val="none"/>
                <w:lang w:val="en-US" w:eastAsia="zh-CN"/>
              </w:rPr>
              <w:t>地下水、土壤环境现状</w:t>
            </w:r>
          </w:p>
          <w:p w14:paraId="78596CED">
            <w:pPr>
              <w:pStyle w:val="28"/>
              <w:keepNext w:val="0"/>
              <w:keepLines w:val="0"/>
              <w:pageBreakBefore w:val="0"/>
              <w:kinsoku/>
              <w:wordWrap/>
              <w:overflowPunct/>
              <w:topLinePunct w:val="0"/>
              <w:autoSpaceDE/>
              <w:autoSpaceDN/>
              <w:bidi w:val="0"/>
              <w:adjustRightInd w:val="0"/>
              <w:snapToGrid w:val="0"/>
              <w:ind w:left="0" w:firstLine="480"/>
              <w:jc w:val="both"/>
              <w:textAlignment w:val="auto"/>
              <w:rPr>
                <w:rFonts w:hint="default" w:ascii="Times New Roman" w:hAnsi="Times New Roman" w:eastAsia="仿宋" w:cs="Times New Roman"/>
                <w:color w:val="000000"/>
                <w:lang w:val="en-US" w:eastAsia="zh-CN"/>
              </w:rPr>
            </w:pPr>
            <w:r>
              <w:rPr>
                <w:rFonts w:ascii="Times New Roman" w:hAnsi="Times New Roman" w:eastAsia="仿宋" w:cs="Times New Roman"/>
                <w:color w:val="000000"/>
              </w:rPr>
              <w:fldChar w:fldCharType="begin"/>
            </w:r>
            <w:r>
              <w:rPr>
                <w:rFonts w:ascii="Times New Roman" w:hAnsi="Times New Roman" w:eastAsia="仿宋" w:cs="Times New Roman"/>
                <w:color w:val="000000"/>
              </w:rPr>
              <w:instrText xml:space="preserve"> = 1 \* GB2 </w:instrText>
            </w:r>
            <w:r>
              <w:rPr>
                <w:rFonts w:ascii="Times New Roman" w:hAnsi="Times New Roman" w:eastAsia="仿宋" w:cs="Times New Roman"/>
                <w:color w:val="000000"/>
              </w:rPr>
              <w:fldChar w:fldCharType="separate"/>
            </w:r>
            <w:r>
              <w:rPr>
                <w:rFonts w:hint="eastAsia" w:ascii="宋体" w:hAnsi="宋体"/>
                <w:color w:val="000000"/>
              </w:rPr>
              <w:t>⑴</w:t>
            </w:r>
            <w:r>
              <w:rPr>
                <w:rFonts w:ascii="Times New Roman" w:hAnsi="Times New Roman" w:eastAsia="仿宋" w:cs="Times New Roman"/>
                <w:color w:val="000000"/>
              </w:rPr>
              <w:fldChar w:fldCharType="end"/>
            </w:r>
            <w:r>
              <w:rPr>
                <w:rFonts w:hint="eastAsia" w:ascii="Times New Roman" w:hAnsi="Times New Roman" w:eastAsia="仿宋" w:cs="Times New Roman"/>
                <w:color w:val="000000"/>
                <w:lang w:val="en-US" w:eastAsia="zh-CN"/>
              </w:rPr>
              <w:t>地下水环境质量现状</w:t>
            </w:r>
          </w:p>
          <w:p w14:paraId="050BEEEC">
            <w:pPr>
              <w:pStyle w:val="43"/>
              <w:keepNext w:val="0"/>
              <w:keepLines w:val="0"/>
              <w:pageBreakBefore w:val="0"/>
              <w:widowControl w:val="0"/>
              <w:kinsoku/>
              <w:wordWrap/>
              <w:overflowPunct/>
              <w:topLinePunct w:val="0"/>
              <w:autoSpaceDE/>
              <w:autoSpaceDN/>
              <w:bidi w:val="0"/>
              <w:adjustRightInd w:val="0"/>
              <w:snapToGrid w:val="0"/>
              <w:ind w:left="0" w:firstLine="480" w:firstLineChars="200"/>
              <w:jc w:val="both"/>
              <w:textAlignment w:val="auto"/>
              <w:rPr>
                <w:rFonts w:hint="eastAsia"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rPr>
              <w:t>根据《环境影响评价技术导则</w:t>
            </w:r>
            <w:r>
              <w:rPr>
                <w:rFonts w:hint="eastAsia" w:ascii="Times New Roman" w:hAnsi="Times New Roman"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rPr>
              <w:t>地下水环境》（H610-2016）附录A，本项目为</w:t>
            </w:r>
            <w:r>
              <w:rPr>
                <w:rFonts w:hint="eastAsia" w:ascii="Times New Roman" w:hAnsi="Times New Roman" w:eastAsia="仿宋" w:cs="Times New Roman"/>
                <w:color w:val="auto"/>
                <w:sz w:val="24"/>
                <w:highlight w:val="none"/>
                <w:lang w:val="en-US" w:eastAsia="zh-CN"/>
              </w:rPr>
              <w:t>Ⅳ</w:t>
            </w:r>
            <w:r>
              <w:rPr>
                <w:rFonts w:hint="default" w:ascii="Times New Roman" w:hAnsi="Times New Roman" w:eastAsia="仿宋" w:cs="Times New Roman"/>
                <w:color w:val="auto"/>
                <w:sz w:val="24"/>
                <w:highlight w:val="none"/>
              </w:rPr>
              <w:t>类建设项目，无需开展地下水评价，因此不再开展地下水环境现状调查及监测</w:t>
            </w:r>
            <w:r>
              <w:rPr>
                <w:rFonts w:hint="eastAsia" w:ascii="Times New Roman" w:hAnsi="Times New Roman" w:eastAsia="仿宋" w:cs="Times New Roman"/>
                <w:color w:val="auto"/>
                <w:sz w:val="24"/>
                <w:highlight w:val="none"/>
                <w:lang w:eastAsia="zh-CN"/>
              </w:rPr>
              <w:t>。</w:t>
            </w:r>
          </w:p>
          <w:p w14:paraId="65FFFB4C">
            <w:pPr>
              <w:keepNext w:val="0"/>
              <w:keepLines w:val="0"/>
              <w:pageBreakBefore w:val="0"/>
              <w:kinsoku/>
              <w:wordWrap/>
              <w:overflowPunct/>
              <w:topLinePunct w:val="0"/>
              <w:autoSpaceDE/>
              <w:autoSpaceDN/>
              <w:bidi w:val="0"/>
              <w:adjustRightInd w:val="0"/>
              <w:snapToGrid w:val="0"/>
              <w:spacing w:line="360" w:lineRule="auto"/>
              <w:ind w:left="0" w:firstLine="482"/>
              <w:jc w:val="both"/>
              <w:textAlignment w:val="auto"/>
              <w:rPr>
                <w:rFonts w:hint="default" w:eastAsia="仿宋"/>
                <w:bCs/>
                <w:color w:val="000000"/>
                <w:sz w:val="24"/>
                <w:lang w:val="en-US" w:eastAsia="zh-CN"/>
              </w:rPr>
            </w:pPr>
            <w:r>
              <w:rPr>
                <w:rFonts w:eastAsia="仿宋"/>
                <w:bCs/>
                <w:color w:val="000000"/>
                <w:sz w:val="24"/>
              </w:rPr>
              <w:fldChar w:fldCharType="begin"/>
            </w:r>
            <w:r>
              <w:rPr>
                <w:rFonts w:eastAsia="仿宋"/>
                <w:bCs/>
                <w:color w:val="000000"/>
                <w:sz w:val="24"/>
              </w:rPr>
              <w:instrText xml:space="preserve"> = 2 \* GB2 </w:instrText>
            </w:r>
            <w:r>
              <w:rPr>
                <w:rFonts w:eastAsia="仿宋"/>
                <w:bCs/>
                <w:color w:val="000000"/>
                <w:sz w:val="24"/>
              </w:rPr>
              <w:fldChar w:fldCharType="separate"/>
            </w:r>
            <w:r>
              <w:rPr>
                <w:rFonts w:hint="eastAsia" w:ascii="宋体" w:hAnsi="宋体" w:cs="宋体"/>
                <w:bCs/>
                <w:color w:val="000000"/>
                <w:sz w:val="24"/>
              </w:rPr>
              <w:t>⑵</w:t>
            </w:r>
            <w:r>
              <w:rPr>
                <w:rFonts w:eastAsia="仿宋"/>
                <w:bCs/>
                <w:color w:val="000000"/>
                <w:sz w:val="24"/>
              </w:rPr>
              <w:fldChar w:fldCharType="end"/>
            </w:r>
            <w:r>
              <w:rPr>
                <w:rFonts w:hint="eastAsia" w:eastAsia="仿宋"/>
                <w:bCs/>
                <w:color w:val="000000"/>
                <w:sz w:val="24"/>
                <w:lang w:val="en-US" w:eastAsia="zh-CN"/>
              </w:rPr>
              <w:t>土壤环境质量现状</w:t>
            </w:r>
          </w:p>
          <w:p w14:paraId="5557EDFF">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仿宋" w:cs="Times New Roman"/>
                <w:kern w:val="0"/>
                <w:sz w:val="24"/>
                <w:lang w:val="en-US" w:eastAsia="zh-CN"/>
              </w:rPr>
            </w:pPr>
            <w:r>
              <w:rPr>
                <w:rFonts w:ascii="Times New Roman" w:hAnsi="Times New Roman" w:eastAsia="仿宋" w:cs="Times New Roman"/>
                <w:kern w:val="0"/>
                <w:sz w:val="24"/>
              </w:rPr>
              <w:t>根据《环境影响评价技术导则</w:t>
            </w:r>
            <w:r>
              <w:rPr>
                <w:rFonts w:hint="eastAsia" w:eastAsia="仿宋" w:cs="Times New Roman"/>
                <w:kern w:val="0"/>
                <w:sz w:val="24"/>
                <w:lang w:val="en-US" w:eastAsia="zh-CN"/>
              </w:rPr>
              <w:t>-</w:t>
            </w:r>
            <w:r>
              <w:rPr>
                <w:rFonts w:hint="eastAsia" w:ascii="Times New Roman" w:hAnsi="Times New Roman" w:eastAsia="仿宋" w:cs="Times New Roman"/>
                <w:kern w:val="0"/>
                <w:sz w:val="24"/>
                <w:lang w:val="en-US" w:eastAsia="zh-CN"/>
              </w:rPr>
              <w:t>土壤</w:t>
            </w:r>
            <w:r>
              <w:rPr>
                <w:rFonts w:ascii="Times New Roman" w:hAnsi="Times New Roman" w:eastAsia="仿宋" w:cs="Times New Roman"/>
                <w:kern w:val="0"/>
                <w:sz w:val="24"/>
              </w:rPr>
              <w:t>环境</w:t>
            </w:r>
            <w:r>
              <w:rPr>
                <w:rFonts w:hint="eastAsia" w:ascii="Times New Roman" w:hAnsi="Times New Roman" w:eastAsia="仿宋" w:cs="Times New Roman"/>
                <w:kern w:val="0"/>
                <w:sz w:val="24"/>
                <w:lang w:eastAsia="zh-CN"/>
              </w:rPr>
              <w:t>（</w:t>
            </w:r>
            <w:r>
              <w:rPr>
                <w:rFonts w:hint="eastAsia" w:ascii="Times New Roman" w:hAnsi="Times New Roman" w:eastAsia="仿宋" w:cs="Times New Roman"/>
                <w:kern w:val="0"/>
                <w:sz w:val="24"/>
                <w:lang w:val="en-US" w:eastAsia="zh-CN"/>
              </w:rPr>
              <w:t>试行</w:t>
            </w:r>
            <w:r>
              <w:rPr>
                <w:rFonts w:hint="eastAsia" w:ascii="Times New Roman" w:hAnsi="Times New Roman" w:eastAsia="仿宋" w:cs="Times New Roman"/>
                <w:kern w:val="0"/>
                <w:sz w:val="24"/>
                <w:lang w:eastAsia="zh-CN"/>
              </w:rPr>
              <w:t>）</w:t>
            </w:r>
            <w:r>
              <w:rPr>
                <w:rFonts w:ascii="Times New Roman" w:hAnsi="Times New Roman" w:eastAsia="仿宋" w:cs="Times New Roman"/>
                <w:kern w:val="0"/>
                <w:sz w:val="24"/>
              </w:rPr>
              <w:t>》（HJ</w:t>
            </w:r>
            <w:r>
              <w:rPr>
                <w:rFonts w:hint="eastAsia" w:ascii="Times New Roman" w:hAnsi="Times New Roman" w:eastAsia="仿宋" w:cs="Times New Roman"/>
                <w:kern w:val="0"/>
                <w:sz w:val="24"/>
                <w:lang w:val="en-US" w:eastAsia="zh-CN"/>
              </w:rPr>
              <w:t>964</w:t>
            </w:r>
            <w:r>
              <w:rPr>
                <w:rFonts w:ascii="Times New Roman" w:hAnsi="Times New Roman" w:eastAsia="仿宋" w:cs="Times New Roman"/>
                <w:kern w:val="0"/>
                <w:sz w:val="24"/>
              </w:rPr>
              <w:t>-201</w:t>
            </w:r>
            <w:r>
              <w:rPr>
                <w:rFonts w:hint="eastAsia" w:ascii="Times New Roman" w:hAnsi="Times New Roman" w:eastAsia="仿宋" w:cs="Times New Roman"/>
                <w:kern w:val="0"/>
                <w:sz w:val="24"/>
                <w:lang w:val="en-US" w:eastAsia="zh-CN"/>
              </w:rPr>
              <w:t>8</w:t>
            </w:r>
            <w:r>
              <w:rPr>
                <w:rFonts w:ascii="Times New Roman" w:hAnsi="Times New Roman" w:eastAsia="仿宋" w:cs="Times New Roman"/>
                <w:kern w:val="0"/>
                <w:sz w:val="24"/>
              </w:rPr>
              <w:t>）</w:t>
            </w:r>
            <w:r>
              <w:rPr>
                <w:rFonts w:hint="eastAsia" w:ascii="Times New Roman" w:hAnsi="Times New Roman" w:eastAsia="仿宋" w:cs="Times New Roman"/>
                <w:kern w:val="0"/>
                <w:sz w:val="24"/>
                <w:lang w:val="en-US" w:eastAsia="zh-CN"/>
              </w:rPr>
              <w:t>附录A，本项目属于Ⅲ类项目，且本项目属于生态影响型。</w:t>
            </w:r>
          </w:p>
          <w:p w14:paraId="64B77794">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仿宋" w:cs="Times New Roman"/>
                <w:b/>
                <w:color w:val="000000"/>
                <w:kern w:val="0"/>
                <w:szCs w:val="21"/>
                <w:lang w:val="en-US" w:eastAsia="zh-CN"/>
              </w:rPr>
            </w:pPr>
            <w:r>
              <w:rPr>
                <w:rFonts w:ascii="Times New Roman" w:hAnsi="Times New Roman" w:eastAsia="仿宋" w:cs="Times New Roman"/>
                <w:b/>
                <w:color w:val="000000"/>
                <w:kern w:val="0"/>
                <w:szCs w:val="21"/>
              </w:rPr>
              <w:t>表</w:t>
            </w:r>
            <w:r>
              <w:rPr>
                <w:rFonts w:hint="eastAsia" w:eastAsia="仿宋" w:cs="Times New Roman"/>
                <w:b/>
                <w:color w:val="000000"/>
                <w:kern w:val="0"/>
                <w:szCs w:val="21"/>
                <w:lang w:val="en-US" w:eastAsia="zh-CN"/>
              </w:rPr>
              <w:t>24</w:t>
            </w:r>
            <w:r>
              <w:rPr>
                <w:rFonts w:ascii="Times New Roman" w:hAnsi="Times New Roman" w:eastAsia="仿宋" w:cs="Times New Roman"/>
                <w:b/>
                <w:color w:val="000000"/>
                <w:kern w:val="0"/>
                <w:szCs w:val="21"/>
              </w:rPr>
              <w:t xml:space="preserve">   </w:t>
            </w:r>
            <w:r>
              <w:rPr>
                <w:rFonts w:hint="eastAsia" w:ascii="Times New Roman" w:hAnsi="Times New Roman" w:eastAsia="仿宋" w:cs="Times New Roman"/>
                <w:b/>
                <w:color w:val="000000"/>
                <w:kern w:val="0"/>
                <w:szCs w:val="21"/>
                <w:lang w:val="en-US" w:eastAsia="zh-CN"/>
              </w:rPr>
              <w:t>生态影响型敏感程度分级表</w:t>
            </w:r>
          </w:p>
          <w:tbl>
            <w:tblPr>
              <w:tblStyle w:val="23"/>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113"/>
              <w:gridCol w:w="3415"/>
              <w:gridCol w:w="1436"/>
              <w:gridCol w:w="1503"/>
            </w:tblGrid>
            <w:tr w14:paraId="27BE44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71" w:type="dxa"/>
                  <w:vMerge w:val="restart"/>
                  <w:noWrap w:val="0"/>
                  <w:vAlign w:val="center"/>
                </w:tcPr>
                <w:p w14:paraId="47973DF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敏感程度</w:t>
                  </w:r>
                </w:p>
              </w:tc>
              <w:tc>
                <w:tcPr>
                  <w:tcW w:w="6686" w:type="dxa"/>
                  <w:gridSpan w:val="3"/>
                  <w:noWrap w:val="0"/>
                  <w:vAlign w:val="center"/>
                </w:tcPr>
                <w:p w14:paraId="5938F79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判别依据</w:t>
                  </w:r>
                </w:p>
              </w:tc>
            </w:tr>
            <w:tr w14:paraId="536EE7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71" w:type="dxa"/>
                  <w:vMerge w:val="continue"/>
                  <w:noWrap w:val="0"/>
                  <w:vAlign w:val="center"/>
                </w:tcPr>
                <w:p w14:paraId="6C79CBE1">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 w:cs="Times New Roman"/>
                      <w:bCs/>
                      <w:color w:val="000000"/>
                      <w:szCs w:val="21"/>
                    </w:rPr>
                  </w:pPr>
                </w:p>
              </w:tc>
              <w:tc>
                <w:tcPr>
                  <w:tcW w:w="3644" w:type="dxa"/>
                  <w:noWrap w:val="0"/>
                  <w:vAlign w:val="center"/>
                </w:tcPr>
                <w:p w14:paraId="533245A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盐化</w:t>
                  </w:r>
                </w:p>
              </w:tc>
              <w:tc>
                <w:tcPr>
                  <w:tcW w:w="1485" w:type="dxa"/>
                  <w:noWrap w:val="0"/>
                  <w:vAlign w:val="center"/>
                </w:tcPr>
                <w:p w14:paraId="5B9F5DE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酸化</w:t>
                  </w:r>
                </w:p>
              </w:tc>
              <w:tc>
                <w:tcPr>
                  <w:tcW w:w="1557" w:type="dxa"/>
                  <w:noWrap w:val="0"/>
                  <w:vAlign w:val="center"/>
                </w:tcPr>
                <w:p w14:paraId="5334D47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碱化</w:t>
                  </w:r>
                </w:p>
              </w:tc>
            </w:tr>
            <w:tr w14:paraId="34D6DB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71" w:type="dxa"/>
                  <w:noWrap w:val="0"/>
                  <w:vAlign w:val="center"/>
                </w:tcPr>
                <w:p w14:paraId="0A36329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敏感</w:t>
                  </w:r>
                </w:p>
              </w:tc>
              <w:tc>
                <w:tcPr>
                  <w:tcW w:w="3644" w:type="dxa"/>
                  <w:noWrap w:val="0"/>
                  <w:vAlign w:val="center"/>
                </w:tcPr>
                <w:p w14:paraId="2CBAAAE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建设项目所在地干燥度＞2.5且常年地下水位平均埋深＜1.5m的地势平坦区域；或土壤含盐量＞4g/kg的区域</w:t>
                  </w:r>
                </w:p>
              </w:tc>
              <w:tc>
                <w:tcPr>
                  <w:tcW w:w="1485" w:type="dxa"/>
                  <w:noWrap w:val="0"/>
                  <w:vAlign w:val="center"/>
                </w:tcPr>
                <w:p w14:paraId="071ACF5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pH≤4.5</w:t>
                  </w:r>
                </w:p>
              </w:tc>
              <w:tc>
                <w:tcPr>
                  <w:tcW w:w="1557" w:type="dxa"/>
                  <w:noWrap w:val="0"/>
                  <w:vAlign w:val="center"/>
                </w:tcPr>
                <w:p w14:paraId="63E518C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pH≥9.0</w:t>
                  </w:r>
                </w:p>
              </w:tc>
            </w:tr>
            <w:tr w14:paraId="712114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71" w:type="dxa"/>
                  <w:noWrap w:val="0"/>
                  <w:vAlign w:val="center"/>
                </w:tcPr>
                <w:p w14:paraId="1EDDE69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较敏感</w:t>
                  </w:r>
                </w:p>
              </w:tc>
              <w:tc>
                <w:tcPr>
                  <w:tcW w:w="3644" w:type="dxa"/>
                  <w:noWrap w:val="0"/>
                  <w:vAlign w:val="center"/>
                </w:tcPr>
                <w:p w14:paraId="0C974FB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建设项目所在地干燥度＞2.5且常年地下水位平均埋深≥1.5m的，或1.8＜干燥度≤2.5且常年地下水位平均埋深＜1.8m的地势平坦区域；建设项目所在地干燥度＞2.5或常年地下水位平均埋深＜1.5m的平原区；或2g/kg＜土壤含盐量≤4g/kg的区域</w:t>
                  </w:r>
                </w:p>
              </w:tc>
              <w:tc>
                <w:tcPr>
                  <w:tcW w:w="1485" w:type="dxa"/>
                  <w:noWrap w:val="0"/>
                  <w:vAlign w:val="center"/>
                </w:tcPr>
                <w:p w14:paraId="0634C43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4.5&lt;pH≤5.5</w:t>
                  </w:r>
                </w:p>
              </w:tc>
              <w:tc>
                <w:tcPr>
                  <w:tcW w:w="1557" w:type="dxa"/>
                  <w:noWrap w:val="0"/>
                  <w:vAlign w:val="center"/>
                </w:tcPr>
                <w:p w14:paraId="0278FE1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rPr>
                  </w:pPr>
                  <w:r>
                    <w:rPr>
                      <w:rFonts w:hint="eastAsia" w:ascii="Times New Roman" w:hAnsi="Times New Roman" w:eastAsia="仿宋" w:cs="Times New Roman"/>
                      <w:bCs/>
                      <w:color w:val="000000"/>
                      <w:szCs w:val="21"/>
                      <w:lang w:val="en-US" w:eastAsia="zh-CN"/>
                    </w:rPr>
                    <w:t>8.5≤pH&lt;9.0</w:t>
                  </w:r>
                </w:p>
              </w:tc>
            </w:tr>
            <w:tr w14:paraId="49E83E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71" w:type="dxa"/>
                  <w:noWrap w:val="0"/>
                  <w:vAlign w:val="center"/>
                </w:tcPr>
                <w:p w14:paraId="633DC2B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不敏感</w:t>
                  </w:r>
                </w:p>
              </w:tc>
              <w:tc>
                <w:tcPr>
                  <w:tcW w:w="3644" w:type="dxa"/>
                  <w:noWrap w:val="0"/>
                  <w:vAlign w:val="center"/>
                </w:tcPr>
                <w:p w14:paraId="1863C41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其他</w:t>
                  </w:r>
                </w:p>
              </w:tc>
              <w:tc>
                <w:tcPr>
                  <w:tcW w:w="3042" w:type="dxa"/>
                  <w:gridSpan w:val="2"/>
                  <w:noWrap w:val="0"/>
                  <w:vAlign w:val="center"/>
                </w:tcPr>
                <w:p w14:paraId="3F433BC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5.5&lt;pH&lt;8.5</w:t>
                  </w:r>
                </w:p>
              </w:tc>
            </w:tr>
          </w:tbl>
          <w:p w14:paraId="1D33D972">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仿宋" w:cs="Times New Roman"/>
                <w:b/>
                <w:color w:val="000000"/>
                <w:kern w:val="0"/>
                <w:szCs w:val="21"/>
                <w:lang w:val="en-US" w:eastAsia="zh-CN"/>
              </w:rPr>
            </w:pPr>
            <w:r>
              <w:rPr>
                <w:rFonts w:ascii="Times New Roman" w:hAnsi="Times New Roman" w:eastAsia="仿宋" w:cs="Times New Roman"/>
                <w:b/>
                <w:color w:val="000000"/>
                <w:kern w:val="0"/>
                <w:szCs w:val="21"/>
              </w:rPr>
              <w:t>表</w:t>
            </w:r>
            <w:r>
              <w:rPr>
                <w:rFonts w:hint="eastAsia" w:eastAsia="仿宋" w:cs="Times New Roman"/>
                <w:b/>
                <w:color w:val="000000"/>
                <w:kern w:val="0"/>
                <w:szCs w:val="21"/>
                <w:lang w:val="en-US" w:eastAsia="zh-CN"/>
              </w:rPr>
              <w:t>25</w:t>
            </w:r>
            <w:r>
              <w:rPr>
                <w:rFonts w:ascii="Times New Roman" w:hAnsi="Times New Roman" w:eastAsia="仿宋" w:cs="Times New Roman"/>
                <w:b/>
                <w:color w:val="000000"/>
                <w:kern w:val="0"/>
                <w:szCs w:val="21"/>
              </w:rPr>
              <w:t xml:space="preserve">   </w:t>
            </w:r>
            <w:r>
              <w:rPr>
                <w:rFonts w:hint="eastAsia" w:ascii="Times New Roman" w:hAnsi="Times New Roman" w:eastAsia="仿宋" w:cs="Times New Roman"/>
                <w:b/>
                <w:color w:val="000000"/>
                <w:kern w:val="0"/>
                <w:szCs w:val="21"/>
                <w:lang w:val="en-US" w:eastAsia="zh-CN"/>
              </w:rPr>
              <w:t>生态影响型评价工作等级划分表</w:t>
            </w:r>
          </w:p>
          <w:tbl>
            <w:tblPr>
              <w:tblStyle w:val="23"/>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050"/>
              <w:gridCol w:w="1952"/>
              <w:gridCol w:w="1825"/>
              <w:gridCol w:w="1640"/>
            </w:tblGrid>
            <w:tr w14:paraId="7603FA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55" w:hRule="atLeast"/>
                <w:jc w:val="center"/>
              </w:trPr>
              <w:tc>
                <w:tcPr>
                  <w:tcW w:w="2160" w:type="dxa"/>
                  <w:noWrap w:val="0"/>
                  <w:vAlign w:val="center"/>
                </w:tcPr>
                <w:p w14:paraId="592DC42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000000"/>
                      <w:szCs w:val="21"/>
                      <w:lang w:val="en-US"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-59055</wp:posOffset>
                            </wp:positionH>
                            <wp:positionV relativeFrom="paragraph">
                              <wp:posOffset>635</wp:posOffset>
                            </wp:positionV>
                            <wp:extent cx="1355090" cy="826135"/>
                            <wp:effectExtent l="2540" t="3810" r="13970" b="8255"/>
                            <wp:wrapNone/>
                            <wp:docPr id="4" name="直接连接符 4"/>
                            <wp:cNvGraphicFramePr/>
                            <a:graphic xmlns:a="http://schemas.openxmlformats.org/drawingml/2006/main">
                              <a:graphicData uri="http://schemas.microsoft.com/office/word/2010/wordprocessingShape">
                                <wps:wsp>
                                  <wps:cNvCnPr/>
                                  <wps:spPr>
                                    <a:xfrm>
                                      <a:off x="0" y="0"/>
                                      <a:ext cx="1355090" cy="8261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65pt;margin-top:0.05pt;height:65.05pt;width:106.7pt;z-index:251662336;mso-width-relative:page;mso-height-relative:page;" filled="f" stroked="t" coordsize="21600,21600" o:gfxdata="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04io91AAAAAcBAAAPAAAAAAAAAAEAIAAAACIAAABkcnMvZG93bnJldi54bWxQSwEC&#10;FAAUAAAACACHTuJApE+ahvgBAADpAwAADgAAAAAAAAABACAAAAAjAQAAZHJzL2Uyb0RvYy54bWxQ&#10;SwUGAAAAAAYABgBZAQAAjQUAAAAA&#10;">
                            <v:fill on="f" focussize="0,0"/>
                            <v:stroke color="#000000" joinstyle="round"/>
                            <v:imagedata o:title=""/>
                            <o:lock v:ext="edit" aspectratio="f"/>
                          </v:line>
                        </w:pict>
                      </mc:Fallback>
                    </mc:AlternateContent>
                  </w:r>
                  <w:r>
                    <w:rPr>
                      <w:rFonts w:hint="eastAsia" w:ascii="Times New Roman" w:hAnsi="Times New Roman" w:eastAsia="仿宋" w:cs="Times New Roman"/>
                      <w:bCs/>
                      <w:color w:val="000000"/>
                      <w:szCs w:val="21"/>
                      <w:lang w:val="en-US" w:eastAsia="zh-CN"/>
                    </w:rPr>
                    <w:t xml:space="preserve">       项目类别</w:t>
                  </w:r>
                </w:p>
                <w:p w14:paraId="0961E0C0">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Times New Roman" w:hAnsi="Times New Roman" w:eastAsia="仿宋" w:cs="Times New Roman"/>
                      <w:bCs/>
                      <w:color w:val="000000"/>
                      <w:szCs w:val="21"/>
                      <w:lang w:val="en-US" w:eastAsia="zh-CN"/>
                    </w:rPr>
                  </w:pPr>
                </w:p>
                <w:p w14:paraId="47ADCB27">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Times New Roman" w:hAnsi="Times New Roman" w:eastAsia="仿宋" w:cs="Times New Roman"/>
                      <w:bCs/>
                      <w:color w:val="000000"/>
                      <w:szCs w:val="21"/>
                      <w:lang w:val="en-US"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-68580</wp:posOffset>
                            </wp:positionH>
                            <wp:positionV relativeFrom="paragraph">
                              <wp:posOffset>170180</wp:posOffset>
                            </wp:positionV>
                            <wp:extent cx="1381125" cy="314325"/>
                            <wp:effectExtent l="1270" t="4445" r="8255" b="5080"/>
                            <wp:wrapNone/>
                            <wp:docPr id="2" name="直接连接符 2"/>
                            <wp:cNvGraphicFramePr/>
                            <a:graphic xmlns:a="http://schemas.openxmlformats.org/drawingml/2006/main">
                              <a:graphicData uri="http://schemas.microsoft.com/office/word/2010/wordprocessingShape">
                                <wps:wsp>
                                  <wps:cNvCnPr/>
                                  <wps:spPr>
                                    <a:xfrm>
                                      <a:off x="0" y="0"/>
                                      <a:ext cx="1381125" cy="3143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4pt;margin-top:13.4pt;height:24.75pt;width:108.75pt;z-index:251663360;mso-width-relative:page;mso-height-relative:page;" filled="f" stroked="t" coordsize="21600,21600" o:gfxdata="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pNw2R2AAAAAkBAAAPAAAAAAAAAAEAIAAAACIAAABkcnMvZG93bnJldi54bWxQ&#10;SwECFAAUAAAACACHTuJA1mOraPcBAADpAwAADgAAAAAAAAABACAAAAAnAQAAZHJzL2Uyb0RvYy54&#10;bWxQSwUGAAAAAAYABgBZAQAAkAUAAAAA&#10;">
                            <v:fill on="f" focussize="0,0"/>
                            <v:stroke color="#000000" joinstyle="round"/>
                            <v:imagedata o:title=""/>
                            <o:lock v:ext="edit" aspectratio="f"/>
                          </v:line>
                        </w:pict>
                      </mc:Fallback>
                    </mc:AlternateContent>
                  </w:r>
                  <w:r>
                    <w:rPr>
                      <w:rFonts w:hint="eastAsia" w:ascii="Times New Roman" w:hAnsi="Times New Roman" w:eastAsia="仿宋" w:cs="Times New Roman"/>
                      <w:bCs/>
                      <w:color w:val="000000"/>
                      <w:szCs w:val="21"/>
                      <w:lang w:val="en-US" w:eastAsia="zh-CN"/>
                    </w:rPr>
                    <w:t>评价工作等级</w:t>
                  </w:r>
                </w:p>
                <w:p w14:paraId="1431116A">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Times New Roman" w:hAnsi="Times New Roman" w:eastAsia="仿宋" w:cs="Times New Roman"/>
                      <w:bCs/>
                      <w:color w:val="000000"/>
                      <w:szCs w:val="21"/>
                      <w:lang w:val="en-US" w:eastAsia="zh-CN"/>
                    </w:rPr>
                  </w:pPr>
                </w:p>
                <w:p w14:paraId="718C65D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敏感程度</w:t>
                  </w:r>
                </w:p>
              </w:tc>
              <w:tc>
                <w:tcPr>
                  <w:tcW w:w="2055" w:type="dxa"/>
                  <w:noWrap w:val="0"/>
                  <w:vAlign w:val="center"/>
                </w:tcPr>
                <w:p w14:paraId="559957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Ⅰ类</w:t>
                  </w:r>
                </w:p>
              </w:tc>
              <w:tc>
                <w:tcPr>
                  <w:tcW w:w="1920" w:type="dxa"/>
                  <w:noWrap w:val="0"/>
                  <w:vAlign w:val="center"/>
                </w:tcPr>
                <w:p w14:paraId="74FFB5C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Ⅱ类</w:t>
                  </w:r>
                </w:p>
              </w:tc>
              <w:tc>
                <w:tcPr>
                  <w:tcW w:w="1722" w:type="dxa"/>
                  <w:noWrap w:val="0"/>
                  <w:vAlign w:val="center"/>
                </w:tcPr>
                <w:p w14:paraId="29D8C36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Ⅲ类</w:t>
                  </w:r>
                </w:p>
              </w:tc>
            </w:tr>
            <w:tr w14:paraId="7FD07E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160" w:type="dxa"/>
                  <w:noWrap w:val="0"/>
                  <w:vAlign w:val="center"/>
                </w:tcPr>
                <w:p w14:paraId="50D2511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敏感</w:t>
                  </w:r>
                </w:p>
              </w:tc>
              <w:tc>
                <w:tcPr>
                  <w:tcW w:w="2055" w:type="dxa"/>
                  <w:noWrap w:val="0"/>
                  <w:vAlign w:val="center"/>
                </w:tcPr>
                <w:p w14:paraId="63FB791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一级</w:t>
                  </w:r>
                </w:p>
              </w:tc>
              <w:tc>
                <w:tcPr>
                  <w:tcW w:w="1920" w:type="dxa"/>
                  <w:noWrap w:val="0"/>
                  <w:vAlign w:val="center"/>
                </w:tcPr>
                <w:p w14:paraId="1BE9EF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二级</w:t>
                  </w:r>
                </w:p>
              </w:tc>
              <w:tc>
                <w:tcPr>
                  <w:tcW w:w="1722" w:type="dxa"/>
                  <w:noWrap w:val="0"/>
                  <w:vAlign w:val="center"/>
                </w:tcPr>
                <w:p w14:paraId="3F9D3D3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三级</w:t>
                  </w:r>
                </w:p>
              </w:tc>
            </w:tr>
            <w:tr w14:paraId="376F09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jc w:val="center"/>
              </w:trPr>
              <w:tc>
                <w:tcPr>
                  <w:tcW w:w="2160" w:type="dxa"/>
                  <w:noWrap w:val="0"/>
                  <w:vAlign w:val="center"/>
                </w:tcPr>
                <w:p w14:paraId="68C99EF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较敏感</w:t>
                  </w:r>
                </w:p>
              </w:tc>
              <w:tc>
                <w:tcPr>
                  <w:tcW w:w="2055" w:type="dxa"/>
                  <w:noWrap w:val="0"/>
                  <w:vAlign w:val="center"/>
                </w:tcPr>
                <w:p w14:paraId="0C80409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二级</w:t>
                  </w:r>
                </w:p>
              </w:tc>
              <w:tc>
                <w:tcPr>
                  <w:tcW w:w="1920" w:type="dxa"/>
                  <w:noWrap w:val="0"/>
                  <w:vAlign w:val="center"/>
                </w:tcPr>
                <w:p w14:paraId="1678912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二级</w:t>
                  </w:r>
                </w:p>
              </w:tc>
              <w:tc>
                <w:tcPr>
                  <w:tcW w:w="1722" w:type="dxa"/>
                  <w:noWrap w:val="0"/>
                  <w:vAlign w:val="center"/>
                </w:tcPr>
                <w:p w14:paraId="7EC3B7C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三级</w:t>
                  </w:r>
                </w:p>
              </w:tc>
            </w:tr>
            <w:tr w14:paraId="08497F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160" w:type="dxa"/>
                  <w:noWrap w:val="0"/>
                  <w:vAlign w:val="center"/>
                </w:tcPr>
                <w:p w14:paraId="537393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不敏感</w:t>
                  </w:r>
                </w:p>
              </w:tc>
              <w:tc>
                <w:tcPr>
                  <w:tcW w:w="2055" w:type="dxa"/>
                  <w:noWrap w:val="0"/>
                  <w:vAlign w:val="center"/>
                </w:tcPr>
                <w:p w14:paraId="7968F80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二级</w:t>
                  </w:r>
                </w:p>
              </w:tc>
              <w:tc>
                <w:tcPr>
                  <w:tcW w:w="1920" w:type="dxa"/>
                  <w:noWrap w:val="0"/>
                  <w:vAlign w:val="center"/>
                </w:tcPr>
                <w:p w14:paraId="3B6A166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三级</w:t>
                  </w:r>
                </w:p>
              </w:tc>
              <w:tc>
                <w:tcPr>
                  <w:tcW w:w="1722" w:type="dxa"/>
                  <w:noWrap w:val="0"/>
                  <w:vAlign w:val="center"/>
                </w:tcPr>
                <w:p w14:paraId="246C350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w:t>
                  </w:r>
                </w:p>
              </w:tc>
            </w:tr>
            <w:tr w14:paraId="64296B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857" w:type="dxa"/>
                  <w:gridSpan w:val="4"/>
                  <w:noWrap w:val="0"/>
                  <w:vAlign w:val="center"/>
                </w:tcPr>
                <w:p w14:paraId="68DBB8B8">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bCs/>
                      <w:color w:val="000000"/>
                      <w:szCs w:val="21"/>
                      <w:lang w:val="en-US" w:eastAsia="zh-CN"/>
                    </w:rPr>
                  </w:pPr>
                  <w:r>
                    <w:rPr>
                      <w:rFonts w:hint="eastAsia" w:ascii="Times New Roman" w:hAnsi="Times New Roman" w:eastAsia="仿宋" w:cs="Times New Roman"/>
                      <w:bCs/>
                      <w:color w:val="000000"/>
                      <w:szCs w:val="21"/>
                      <w:lang w:val="en-US" w:eastAsia="zh-CN"/>
                    </w:rPr>
                    <w:t>注：“－”表示可不开展土壤环境影响评价工作。</w:t>
                  </w:r>
                </w:p>
              </w:tc>
            </w:tr>
          </w:tbl>
          <w:p w14:paraId="570AC68B">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eastAsia="仿宋"/>
                <w:b w:val="0"/>
                <w:bCs w:val="0"/>
                <w:color w:val="000000"/>
                <w:sz w:val="24"/>
                <w:szCs w:val="24"/>
                <w:highlight w:val="none"/>
                <w:lang w:val="en-US" w:eastAsia="zh-CN"/>
              </w:rPr>
            </w:pPr>
            <w:r>
              <w:rPr>
                <w:rFonts w:hint="eastAsia" w:eastAsia="仿宋"/>
                <w:b w:val="0"/>
                <w:bCs w:val="0"/>
                <w:color w:val="000000"/>
                <w:sz w:val="24"/>
                <w:szCs w:val="24"/>
                <w:highlight w:val="none"/>
                <w:lang w:val="en-US" w:eastAsia="zh-CN"/>
              </w:rPr>
              <w:t>2026年5月9日，甘肃亿源环境检测科技有限公司对矿区土壤进行监测，监测结果表明，pH值7.9，全盐量为1.6g/kg，因此，本项目土壤敏感程度为不敏感，土壤不开展评价工作。</w:t>
            </w:r>
          </w:p>
          <w:p w14:paraId="5F3A58CA">
            <w:pPr>
              <w:keepNext w:val="0"/>
              <w:keepLines w:val="0"/>
              <w:pageBreakBefore w:val="0"/>
              <w:widowControl w:val="0"/>
              <w:tabs>
                <w:tab w:val="left" w:pos="1271"/>
              </w:tabs>
              <w:kinsoku/>
              <w:wordWrap/>
              <w:overflowPunct/>
              <w:topLinePunct w:val="0"/>
              <w:autoSpaceDE/>
              <w:autoSpaceDN/>
              <w:bidi w:val="0"/>
              <w:adjustRightInd w:val="0"/>
              <w:snapToGrid w:val="0"/>
              <w:spacing w:line="360" w:lineRule="auto"/>
              <w:ind w:firstLine="480"/>
              <w:textAlignment w:val="auto"/>
              <w:rPr>
                <w:rFonts w:eastAsia="仿宋"/>
                <w:color w:val="000000"/>
                <w:sz w:val="24"/>
                <w:szCs w:val="24"/>
                <w:highlight w:val="none"/>
              </w:rPr>
            </w:pPr>
            <w:r>
              <w:rPr>
                <w:rFonts w:hint="eastAsia" w:eastAsia="仿宋"/>
                <w:color w:val="000000"/>
                <w:sz w:val="24"/>
                <w:szCs w:val="24"/>
                <w:highlight w:val="none"/>
              </w:rPr>
              <w:t>为</w:t>
            </w:r>
            <w:r>
              <w:rPr>
                <w:rFonts w:hint="eastAsia" w:eastAsia="仿宋"/>
                <w:color w:val="000000"/>
                <w:sz w:val="24"/>
                <w:szCs w:val="24"/>
                <w:highlight w:val="none"/>
                <w:lang w:eastAsia="zh-CN"/>
              </w:rPr>
              <w:t>了解</w:t>
            </w:r>
            <w:r>
              <w:rPr>
                <w:rFonts w:hint="eastAsia" w:eastAsia="仿宋"/>
                <w:color w:val="000000"/>
                <w:sz w:val="24"/>
                <w:szCs w:val="24"/>
                <w:highlight w:val="none"/>
              </w:rPr>
              <w:t>本项目所在区域</w:t>
            </w:r>
            <w:r>
              <w:rPr>
                <w:rFonts w:hint="eastAsia" w:eastAsia="仿宋"/>
                <w:color w:val="000000"/>
                <w:sz w:val="24"/>
                <w:szCs w:val="24"/>
                <w:highlight w:val="none"/>
                <w:lang w:val="en-US" w:eastAsia="zh-CN"/>
              </w:rPr>
              <w:t>土壤</w:t>
            </w:r>
            <w:r>
              <w:rPr>
                <w:rFonts w:hint="eastAsia" w:eastAsia="仿宋"/>
                <w:color w:val="000000"/>
                <w:sz w:val="24"/>
                <w:szCs w:val="24"/>
                <w:highlight w:val="none"/>
              </w:rPr>
              <w:t>环境质量现状，建设单位委托</w:t>
            </w:r>
            <w:r>
              <w:rPr>
                <w:rFonts w:hint="eastAsia" w:eastAsia="仿宋"/>
                <w:b w:val="0"/>
                <w:bCs w:val="0"/>
                <w:color w:val="000000"/>
                <w:sz w:val="24"/>
                <w:szCs w:val="24"/>
                <w:highlight w:val="none"/>
                <w:lang w:val="en-US" w:eastAsia="zh-CN"/>
              </w:rPr>
              <w:t>甘肃亿源环境检测科技有限公司</w:t>
            </w:r>
            <w:r>
              <w:rPr>
                <w:rFonts w:hint="eastAsia" w:eastAsia="仿宋"/>
                <w:color w:val="000000"/>
                <w:sz w:val="24"/>
                <w:szCs w:val="24"/>
                <w:highlight w:val="none"/>
              </w:rPr>
              <w:t>于202</w:t>
            </w:r>
            <w:r>
              <w:rPr>
                <w:rFonts w:hint="eastAsia" w:eastAsia="仿宋"/>
                <w:color w:val="000000"/>
                <w:sz w:val="24"/>
                <w:szCs w:val="24"/>
                <w:highlight w:val="none"/>
                <w:lang w:val="en-US" w:eastAsia="zh-CN"/>
              </w:rPr>
              <w:t>6</w:t>
            </w:r>
            <w:r>
              <w:rPr>
                <w:rFonts w:hint="eastAsia" w:eastAsia="仿宋"/>
                <w:color w:val="000000"/>
                <w:sz w:val="24"/>
                <w:szCs w:val="24"/>
                <w:highlight w:val="none"/>
              </w:rPr>
              <w:t>年</w:t>
            </w:r>
            <w:r>
              <w:rPr>
                <w:rFonts w:hint="eastAsia" w:eastAsia="仿宋"/>
                <w:color w:val="000000"/>
                <w:sz w:val="24"/>
                <w:szCs w:val="24"/>
                <w:highlight w:val="none"/>
                <w:lang w:val="en-US" w:eastAsia="zh-CN"/>
              </w:rPr>
              <w:t>5</w:t>
            </w:r>
            <w:r>
              <w:rPr>
                <w:rFonts w:hint="eastAsia" w:eastAsia="仿宋"/>
                <w:color w:val="000000"/>
                <w:sz w:val="24"/>
                <w:szCs w:val="24"/>
                <w:highlight w:val="none"/>
              </w:rPr>
              <w:t>月</w:t>
            </w:r>
            <w:r>
              <w:rPr>
                <w:rFonts w:hint="eastAsia" w:eastAsia="仿宋"/>
                <w:color w:val="000000"/>
                <w:sz w:val="24"/>
                <w:szCs w:val="24"/>
                <w:highlight w:val="none"/>
                <w:lang w:val="en-US" w:eastAsia="zh-CN"/>
              </w:rPr>
              <w:t>9</w:t>
            </w:r>
            <w:r>
              <w:rPr>
                <w:rFonts w:hint="eastAsia" w:eastAsia="仿宋"/>
                <w:color w:val="000000"/>
                <w:sz w:val="24"/>
                <w:szCs w:val="24"/>
                <w:highlight w:val="none"/>
              </w:rPr>
              <w:t>日</w:t>
            </w:r>
            <w:r>
              <w:rPr>
                <w:rFonts w:hint="eastAsia" w:eastAsia="仿宋"/>
                <w:color w:val="000000"/>
                <w:sz w:val="24"/>
                <w:szCs w:val="24"/>
                <w:highlight w:val="none"/>
                <w:lang w:val="en-US" w:eastAsia="zh-CN"/>
              </w:rPr>
              <w:t>对石油烃</w:t>
            </w:r>
            <w:r>
              <w:rPr>
                <w:rFonts w:hint="eastAsia" w:eastAsia="仿宋"/>
                <w:color w:val="000000"/>
                <w:sz w:val="24"/>
                <w:szCs w:val="24"/>
                <w:highlight w:val="none"/>
              </w:rPr>
              <w:t>进行监测。</w:t>
            </w:r>
          </w:p>
          <w:p w14:paraId="251E0F68">
            <w:pPr>
              <w:keepNext w:val="0"/>
              <w:keepLines w:val="0"/>
              <w:pageBreakBefore w:val="0"/>
              <w:widowControl w:val="0"/>
              <w:tabs>
                <w:tab w:val="left" w:pos="1271"/>
              </w:tabs>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仿宋" w:cs="Times New Roman"/>
                <w:color w:val="000000"/>
                <w:sz w:val="24"/>
                <w:szCs w:val="24"/>
                <w:highlight w:val="none"/>
              </w:rPr>
            </w:pPr>
            <w:r>
              <w:rPr>
                <w:rFonts w:hint="default" w:ascii="Times New Roman" w:hAnsi="Times New Roman" w:eastAsia="微软雅黑" w:cs="Times New Roman"/>
                <w:color w:val="000000"/>
                <w:sz w:val="24"/>
                <w:szCs w:val="24"/>
                <w:highlight w:val="none"/>
              </w:rPr>
              <w:t>①</w:t>
            </w:r>
            <w:r>
              <w:rPr>
                <w:rFonts w:hint="default" w:ascii="Times New Roman" w:hAnsi="Times New Roman" w:eastAsia="仿宋" w:cs="Times New Roman"/>
                <w:color w:val="000000"/>
                <w:sz w:val="24"/>
                <w:szCs w:val="24"/>
                <w:highlight w:val="none"/>
              </w:rPr>
              <w:t>监测点位</w:t>
            </w:r>
          </w:p>
          <w:p w14:paraId="2D096C76">
            <w:pPr>
              <w:keepNext w:val="0"/>
              <w:keepLines w:val="0"/>
              <w:pageBreakBefore w:val="0"/>
              <w:widowControl/>
              <w:kinsoku/>
              <w:wordWrap/>
              <w:overflowPunct/>
              <w:topLinePunct w:val="0"/>
              <w:autoSpaceDE/>
              <w:autoSpaceDN/>
              <w:bidi w:val="0"/>
              <w:adjustRightInd w:val="0"/>
              <w:snapToGrid w:val="0"/>
              <w:spacing w:line="360" w:lineRule="auto"/>
              <w:ind w:firstLine="482"/>
              <w:textAlignment w:val="auto"/>
              <w:rPr>
                <w:rFonts w:hint="eastAsia" w:eastAsia="仿宋"/>
                <w:kern w:val="0"/>
                <w:sz w:val="24"/>
                <w:szCs w:val="24"/>
                <w:highlight w:val="none"/>
                <w:lang w:val="en-US" w:eastAsia="zh-CN" w:bidi="ar"/>
              </w:rPr>
            </w:pPr>
            <w:r>
              <w:rPr>
                <w:rFonts w:hint="eastAsia" w:eastAsia="仿宋"/>
                <w:kern w:val="0"/>
                <w:sz w:val="24"/>
                <w:szCs w:val="24"/>
                <w:highlight w:val="none"/>
                <w:lang w:val="en-US" w:eastAsia="zh-CN" w:bidi="ar"/>
              </w:rPr>
              <w:t>矿区中部</w:t>
            </w:r>
          </w:p>
          <w:p w14:paraId="15A13DF0">
            <w:pPr>
              <w:keepNext w:val="0"/>
              <w:keepLines w:val="0"/>
              <w:pageBreakBefore w:val="0"/>
              <w:tabs>
                <w:tab w:val="left" w:pos="1271"/>
              </w:tabs>
              <w:kinsoku/>
              <w:wordWrap/>
              <w:overflowPunct/>
              <w:topLinePunct w:val="0"/>
              <w:autoSpaceDE/>
              <w:autoSpaceDN/>
              <w:bidi w:val="0"/>
              <w:adjustRightInd w:val="0"/>
              <w:snapToGrid w:val="0"/>
              <w:spacing w:line="360" w:lineRule="auto"/>
              <w:ind w:firstLine="482"/>
              <w:textAlignment w:val="auto"/>
              <w:rPr>
                <w:rFonts w:hint="default" w:ascii="Times New Roman" w:hAnsi="Times New Roman" w:eastAsia="仿宋" w:cs="Times New Roman"/>
                <w:color w:val="000000"/>
                <w:sz w:val="24"/>
                <w:szCs w:val="24"/>
                <w:highlight w:val="none"/>
              </w:rPr>
            </w:pPr>
            <w:r>
              <w:rPr>
                <w:rFonts w:hint="default" w:ascii="Times New Roman" w:hAnsi="Times New Roman" w:eastAsia="微软雅黑" w:cs="Times New Roman"/>
                <w:color w:val="000000"/>
                <w:sz w:val="24"/>
                <w:szCs w:val="24"/>
                <w:highlight w:val="none"/>
              </w:rPr>
              <w:t>②</w:t>
            </w:r>
            <w:r>
              <w:rPr>
                <w:rFonts w:hint="default" w:ascii="Times New Roman" w:hAnsi="Times New Roman" w:eastAsia="仿宋" w:cs="Times New Roman"/>
                <w:color w:val="000000"/>
                <w:sz w:val="24"/>
                <w:szCs w:val="24"/>
                <w:highlight w:val="none"/>
              </w:rPr>
              <w:t>监测项目</w:t>
            </w:r>
          </w:p>
          <w:p w14:paraId="579C8B77">
            <w:pPr>
              <w:keepNext w:val="0"/>
              <w:keepLines w:val="0"/>
              <w:pageBreakBefore w:val="0"/>
              <w:widowControl/>
              <w:kinsoku/>
              <w:wordWrap/>
              <w:overflowPunct/>
              <w:topLinePunct w:val="0"/>
              <w:autoSpaceDE/>
              <w:autoSpaceDN/>
              <w:bidi w:val="0"/>
              <w:adjustRightInd w:val="0"/>
              <w:snapToGrid w:val="0"/>
              <w:spacing w:line="360" w:lineRule="auto"/>
              <w:ind w:firstLine="482"/>
              <w:textAlignment w:val="auto"/>
              <w:rPr>
                <w:rFonts w:eastAsia="仿宋"/>
                <w:kern w:val="0"/>
                <w:sz w:val="24"/>
                <w:szCs w:val="24"/>
                <w:highlight w:val="none"/>
                <w:lang w:bidi="ar"/>
              </w:rPr>
            </w:pPr>
            <w:r>
              <w:rPr>
                <w:rFonts w:eastAsia="仿宋"/>
                <w:kern w:val="0"/>
                <w:sz w:val="24"/>
                <w:szCs w:val="24"/>
                <w:highlight w:val="none"/>
                <w:lang w:bidi="ar"/>
              </w:rPr>
              <w:t>石油烃。</w:t>
            </w:r>
          </w:p>
          <w:p w14:paraId="41BF9DBE">
            <w:pPr>
              <w:keepNext w:val="0"/>
              <w:keepLines w:val="0"/>
              <w:pageBreakBefore w:val="0"/>
              <w:tabs>
                <w:tab w:val="left" w:pos="1271"/>
              </w:tabs>
              <w:kinsoku/>
              <w:wordWrap/>
              <w:overflowPunct/>
              <w:topLinePunct w:val="0"/>
              <w:autoSpaceDE/>
              <w:autoSpaceDN/>
              <w:bidi w:val="0"/>
              <w:adjustRightInd w:val="0"/>
              <w:snapToGrid w:val="0"/>
              <w:spacing w:line="360" w:lineRule="auto"/>
              <w:ind w:firstLine="482"/>
              <w:textAlignment w:val="auto"/>
              <w:rPr>
                <w:rFonts w:hint="default" w:ascii="Times New Roman" w:hAnsi="Times New Roman" w:eastAsia="仿宋" w:cs="Times New Roman"/>
                <w:color w:val="000000"/>
                <w:sz w:val="24"/>
                <w:szCs w:val="24"/>
                <w:highlight w:val="none"/>
              </w:rPr>
            </w:pPr>
            <w:r>
              <w:rPr>
                <w:rFonts w:hint="default" w:ascii="Times New Roman" w:hAnsi="Times New Roman" w:eastAsia="微软雅黑" w:cs="Times New Roman"/>
                <w:color w:val="000000"/>
                <w:sz w:val="24"/>
                <w:szCs w:val="24"/>
                <w:highlight w:val="none"/>
              </w:rPr>
              <w:t>③</w:t>
            </w:r>
            <w:r>
              <w:rPr>
                <w:rFonts w:hint="default" w:ascii="Times New Roman" w:hAnsi="Times New Roman" w:eastAsia="仿宋" w:cs="Times New Roman"/>
                <w:color w:val="000000"/>
                <w:sz w:val="24"/>
                <w:szCs w:val="24"/>
                <w:highlight w:val="none"/>
              </w:rPr>
              <w:t>监测结果</w:t>
            </w:r>
          </w:p>
          <w:p w14:paraId="34CF7810">
            <w:pPr>
              <w:pStyle w:val="11"/>
              <w:keepNext w:val="0"/>
              <w:keepLines w:val="0"/>
              <w:pageBreakBefore w:val="0"/>
              <w:kinsoku/>
              <w:wordWrap/>
              <w:overflowPunct/>
              <w:topLinePunct w:val="0"/>
              <w:autoSpaceDE/>
              <w:autoSpaceDN/>
              <w:bidi w:val="0"/>
              <w:adjustRightInd w:val="0"/>
              <w:snapToGrid w:val="0"/>
              <w:spacing w:after="0" w:line="360" w:lineRule="auto"/>
              <w:ind w:firstLine="482"/>
              <w:textAlignment w:val="auto"/>
              <w:rPr>
                <w:rFonts w:eastAsia="仿宋"/>
                <w:color w:val="000000"/>
                <w:sz w:val="24"/>
                <w:szCs w:val="24"/>
                <w:highlight w:val="none"/>
              </w:rPr>
            </w:pPr>
            <w:r>
              <w:rPr>
                <w:rFonts w:eastAsia="仿宋"/>
                <w:color w:val="000000"/>
                <w:sz w:val="24"/>
                <w:szCs w:val="24"/>
                <w:highlight w:val="none"/>
              </w:rPr>
              <w:t>监测结果如下表所示：</w:t>
            </w:r>
          </w:p>
          <w:p w14:paraId="77194E3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仿宋" w:cs="Times New Roman"/>
                <w:b/>
                <w:color w:val="000000"/>
                <w:kern w:val="0"/>
                <w:szCs w:val="21"/>
                <w:highlight w:val="none"/>
                <w:lang w:val="en-US"/>
              </w:rPr>
            </w:pPr>
            <w:r>
              <w:rPr>
                <w:rFonts w:ascii="Times New Roman" w:hAnsi="Times New Roman" w:eastAsia="仿宋" w:cs="Times New Roman"/>
                <w:b/>
                <w:color w:val="000000"/>
                <w:kern w:val="0"/>
                <w:szCs w:val="21"/>
                <w:highlight w:val="none"/>
                <w:lang w:val="zh-CN"/>
              </w:rPr>
              <w:t>表</w:t>
            </w:r>
            <w:r>
              <w:rPr>
                <w:rFonts w:hint="eastAsia" w:eastAsia="仿宋" w:cs="Times New Roman"/>
                <w:b/>
                <w:color w:val="000000"/>
                <w:kern w:val="0"/>
                <w:szCs w:val="21"/>
                <w:highlight w:val="none"/>
                <w:lang w:val="en-US" w:eastAsia="zh-CN"/>
              </w:rPr>
              <w:t>26</w:t>
            </w:r>
            <w:r>
              <w:rPr>
                <w:rFonts w:hint="eastAsia" w:ascii="Times New Roman" w:hAnsi="Times New Roman" w:eastAsia="仿宋" w:cs="Times New Roman"/>
                <w:b/>
                <w:color w:val="000000"/>
                <w:kern w:val="0"/>
                <w:szCs w:val="21"/>
                <w:highlight w:val="none"/>
                <w:lang w:val="en-US" w:eastAsia="zh-CN"/>
              </w:rPr>
              <w:t xml:space="preserve">  监测结果一览表</w:t>
            </w:r>
          </w:p>
          <w:tbl>
            <w:tblPr>
              <w:tblStyle w:val="24"/>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3949"/>
              <w:gridCol w:w="3513"/>
              <w:gridCol w:w="5"/>
            </w:tblGrid>
            <w:tr w14:paraId="62183CD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2" w:type="pct"/>
                <w:jc w:val="center"/>
              </w:trPr>
              <w:tc>
                <w:tcPr>
                  <w:tcW w:w="2644" w:type="pct"/>
                  <w:vMerge w:val="restart"/>
                  <w:tcBorders>
                    <w:tl2br w:val="nil"/>
                    <w:tr2bl w:val="nil"/>
                  </w:tcBorders>
                  <w:noWrap w:val="0"/>
                  <w:vAlign w:val="center"/>
                </w:tcPr>
                <w:p w14:paraId="2D113D2D">
                  <w:pPr>
                    <w:adjustRightInd w:val="0"/>
                    <w:snapToGrid w:val="0"/>
                    <w:spacing w:line="240" w:lineRule="auto"/>
                    <w:ind w:firstLine="0" w:firstLineChars="0"/>
                    <w:jc w:val="center"/>
                    <w:rPr>
                      <w:rFonts w:eastAsia="仿宋"/>
                      <w:b/>
                      <w:bCs/>
                      <w:sz w:val="21"/>
                      <w:szCs w:val="21"/>
                      <w:highlight w:val="none"/>
                    </w:rPr>
                  </w:pPr>
                  <w:r>
                    <w:rPr>
                      <w:rFonts w:hint="eastAsia" w:eastAsia="仿宋"/>
                      <w:b/>
                      <w:bCs/>
                      <w:sz w:val="21"/>
                      <w:szCs w:val="21"/>
                      <w:highlight w:val="none"/>
                    </w:rPr>
                    <w:t>检测项目</w:t>
                  </w:r>
                </w:p>
              </w:tc>
              <w:tc>
                <w:tcPr>
                  <w:tcW w:w="2352" w:type="pct"/>
                  <w:tcBorders>
                    <w:tl2br w:val="nil"/>
                    <w:tr2bl w:val="nil"/>
                  </w:tcBorders>
                  <w:noWrap w:val="0"/>
                  <w:vAlign w:val="center"/>
                </w:tcPr>
                <w:p w14:paraId="4DBA567A">
                  <w:pPr>
                    <w:adjustRightInd w:val="0"/>
                    <w:snapToGrid w:val="0"/>
                    <w:spacing w:line="240" w:lineRule="auto"/>
                    <w:ind w:firstLine="0" w:firstLineChars="0"/>
                    <w:jc w:val="center"/>
                    <w:rPr>
                      <w:rFonts w:hint="eastAsia" w:eastAsia="仿宋"/>
                      <w:b/>
                      <w:bCs/>
                      <w:sz w:val="21"/>
                      <w:szCs w:val="21"/>
                      <w:highlight w:val="none"/>
                    </w:rPr>
                  </w:pPr>
                </w:p>
              </w:tc>
            </w:tr>
            <w:tr w14:paraId="3E7A11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644" w:type="pct"/>
                  <w:vMerge w:val="continue"/>
                  <w:tcBorders>
                    <w:tl2br w:val="nil"/>
                    <w:tr2bl w:val="nil"/>
                  </w:tcBorders>
                  <w:noWrap w:val="0"/>
                  <w:vAlign w:val="center"/>
                </w:tcPr>
                <w:p w14:paraId="7336E1BB">
                  <w:pPr>
                    <w:adjustRightInd w:val="0"/>
                    <w:snapToGrid w:val="0"/>
                    <w:spacing w:line="240" w:lineRule="auto"/>
                    <w:ind w:firstLine="0" w:firstLineChars="0"/>
                    <w:jc w:val="center"/>
                    <w:rPr>
                      <w:rFonts w:eastAsia="仿宋"/>
                      <w:sz w:val="21"/>
                      <w:szCs w:val="21"/>
                      <w:highlight w:val="none"/>
                    </w:rPr>
                  </w:pPr>
                </w:p>
              </w:tc>
              <w:tc>
                <w:tcPr>
                  <w:tcW w:w="2355" w:type="pct"/>
                  <w:gridSpan w:val="2"/>
                  <w:tcBorders>
                    <w:tl2br w:val="nil"/>
                    <w:tr2bl w:val="nil"/>
                  </w:tcBorders>
                  <w:noWrap w:val="0"/>
                  <w:vAlign w:val="center"/>
                </w:tcPr>
                <w:p w14:paraId="714D6BF3">
                  <w:pPr>
                    <w:adjustRightInd w:val="0"/>
                    <w:snapToGrid w:val="0"/>
                    <w:spacing w:line="240" w:lineRule="auto"/>
                    <w:ind w:firstLine="0" w:firstLineChars="0"/>
                    <w:jc w:val="center"/>
                    <w:rPr>
                      <w:rFonts w:eastAsia="仿宋"/>
                      <w:sz w:val="21"/>
                      <w:szCs w:val="21"/>
                      <w:highlight w:val="none"/>
                    </w:rPr>
                  </w:pPr>
                  <w:r>
                    <w:rPr>
                      <w:rFonts w:hint="eastAsia" w:eastAsia="仿宋"/>
                      <w:sz w:val="21"/>
                      <w:szCs w:val="21"/>
                      <w:highlight w:val="none"/>
                      <w:lang w:val="en-US" w:eastAsia="zh-CN"/>
                    </w:rPr>
                    <w:t>矿区中部</w:t>
                  </w:r>
                </w:p>
              </w:tc>
            </w:tr>
            <w:tr w14:paraId="24A565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644" w:type="pct"/>
                  <w:tcBorders>
                    <w:tl2br w:val="nil"/>
                    <w:tr2bl w:val="nil"/>
                  </w:tcBorders>
                  <w:noWrap w:val="0"/>
                  <w:vAlign w:val="center"/>
                </w:tcPr>
                <w:p w14:paraId="0CF81862">
                  <w:pPr>
                    <w:adjustRightInd w:val="0"/>
                    <w:snapToGrid w:val="0"/>
                    <w:spacing w:line="240" w:lineRule="auto"/>
                    <w:ind w:firstLine="0" w:firstLineChars="0"/>
                    <w:jc w:val="center"/>
                    <w:rPr>
                      <w:rFonts w:eastAsia="仿宋"/>
                      <w:sz w:val="21"/>
                      <w:szCs w:val="21"/>
                      <w:highlight w:val="none"/>
                    </w:rPr>
                  </w:pPr>
                  <w:r>
                    <w:rPr>
                      <w:rFonts w:hint="eastAsia" w:eastAsia="仿宋"/>
                      <w:sz w:val="21"/>
                      <w:szCs w:val="21"/>
                      <w:highlight w:val="none"/>
                      <w:lang w:val="en-US" w:eastAsia="zh-CN"/>
                    </w:rPr>
                    <w:t>石油烃</w:t>
                  </w:r>
                  <w:r>
                    <w:rPr>
                      <w:rFonts w:eastAsia="仿宋"/>
                      <w:sz w:val="21"/>
                      <w:szCs w:val="21"/>
                      <w:highlight w:val="none"/>
                    </w:rPr>
                    <w:t>（C10-C40）（mg/kg）</w:t>
                  </w:r>
                </w:p>
              </w:tc>
              <w:tc>
                <w:tcPr>
                  <w:tcW w:w="2355" w:type="pct"/>
                  <w:gridSpan w:val="2"/>
                  <w:tcBorders>
                    <w:tl2br w:val="nil"/>
                    <w:tr2bl w:val="nil"/>
                  </w:tcBorders>
                  <w:noWrap w:val="0"/>
                  <w:vAlign w:val="center"/>
                </w:tcPr>
                <w:p w14:paraId="5A178459">
                  <w:pPr>
                    <w:adjustRightInd w:val="0"/>
                    <w:snapToGrid w:val="0"/>
                    <w:spacing w:line="240" w:lineRule="auto"/>
                    <w:ind w:firstLine="0" w:firstLineChars="0"/>
                    <w:jc w:val="center"/>
                    <w:rPr>
                      <w:rFonts w:hint="default" w:eastAsia="仿宋"/>
                      <w:sz w:val="21"/>
                      <w:szCs w:val="21"/>
                      <w:highlight w:val="none"/>
                      <w:lang w:val="en-US" w:eastAsia="zh-CN"/>
                    </w:rPr>
                  </w:pPr>
                  <w:r>
                    <w:rPr>
                      <w:rFonts w:hint="eastAsia" w:eastAsia="仿宋"/>
                      <w:sz w:val="21"/>
                      <w:szCs w:val="21"/>
                      <w:highlight w:val="none"/>
                      <w:lang w:val="en-US" w:eastAsia="zh-CN"/>
                    </w:rPr>
                    <w:t>未检出</w:t>
                  </w:r>
                </w:p>
              </w:tc>
            </w:tr>
          </w:tbl>
          <w:p w14:paraId="0AE77F47">
            <w:pPr>
              <w:pStyle w:val="43"/>
              <w:keepNext w:val="0"/>
              <w:keepLines w:val="0"/>
              <w:pageBreakBefore w:val="0"/>
              <w:widowControl w:val="0"/>
              <w:kinsoku/>
              <w:wordWrap/>
              <w:overflowPunct/>
              <w:topLinePunct w:val="0"/>
              <w:autoSpaceDE/>
              <w:autoSpaceDN/>
              <w:bidi w:val="0"/>
              <w:adjustRightInd w:val="0"/>
              <w:snapToGrid w:val="0"/>
              <w:spacing w:before="157" w:beforeLines="50"/>
              <w:ind w:firstLine="480" w:firstLineChars="200"/>
              <w:jc w:val="both"/>
              <w:textAlignment w:val="auto"/>
              <w:rPr>
                <w:rFonts w:hint="default" w:ascii="Times New Roman" w:hAnsi="Times New Roman" w:eastAsia="仿宋" w:cs="Times New Roman"/>
                <w:color w:val="auto"/>
                <w:sz w:val="24"/>
                <w:highlight w:val="none"/>
              </w:rPr>
            </w:pPr>
            <w:r>
              <w:rPr>
                <w:rFonts w:hint="eastAsia" w:ascii="Times New Roman" w:hAnsi="Times New Roman" w:eastAsia="仿宋" w:cs="Times New Roman"/>
                <w:color w:val="000000"/>
                <w:highlight w:val="none"/>
              </w:rPr>
              <w:t>根据监测结果可知，土壤监测点污染物满足</w:t>
            </w:r>
            <w:r>
              <w:rPr>
                <w:rFonts w:ascii="Times New Roman" w:hAnsi="Times New Roman" w:eastAsia="仿宋" w:cs="Times New Roman"/>
                <w:color w:val="000000"/>
                <w:highlight w:val="none"/>
              </w:rPr>
              <w:t>《土壤环境质量</w:t>
            </w:r>
            <w:r>
              <w:rPr>
                <w:rFonts w:hint="eastAsia" w:ascii="Times New Roman" w:hAnsi="Times New Roman" w:eastAsia="仿宋" w:cs="Times New Roman"/>
                <w:color w:val="000000"/>
                <w:highlight w:val="none"/>
              </w:rPr>
              <w:t xml:space="preserve"> </w:t>
            </w:r>
            <w:r>
              <w:rPr>
                <w:rFonts w:ascii="Times New Roman" w:hAnsi="Times New Roman" w:eastAsia="仿宋" w:cs="Times New Roman"/>
                <w:color w:val="000000"/>
                <w:highlight w:val="none"/>
              </w:rPr>
              <w:t>建设用地土壤污染风险管控标准（试行）》（GB36600</w:t>
            </w:r>
            <w:r>
              <w:rPr>
                <w:rFonts w:hint="eastAsia" w:ascii="Times New Roman" w:hAnsi="Times New Roman" w:eastAsia="仿宋" w:cs="Times New Roman"/>
                <w:color w:val="000000"/>
                <w:highlight w:val="none"/>
              </w:rPr>
              <w:t>-</w:t>
            </w:r>
            <w:r>
              <w:rPr>
                <w:rFonts w:ascii="Times New Roman" w:hAnsi="Times New Roman" w:eastAsia="仿宋" w:cs="Times New Roman"/>
                <w:color w:val="000000"/>
                <w:highlight w:val="none"/>
              </w:rPr>
              <w:t>2018）</w:t>
            </w:r>
            <w:r>
              <w:rPr>
                <w:rFonts w:hint="eastAsia" w:ascii="Times New Roman" w:hAnsi="Times New Roman" w:eastAsia="仿宋" w:cs="Times New Roman"/>
                <w:color w:val="000000"/>
                <w:highlight w:val="none"/>
                <w:lang w:val="en-US" w:eastAsia="zh-CN"/>
              </w:rPr>
              <w:t>标准值要求</w:t>
            </w:r>
            <w:r>
              <w:rPr>
                <w:rFonts w:hint="eastAsia" w:ascii="Times New Roman" w:hAnsi="Times New Roman" w:eastAsia="仿宋" w:cs="Times New Roman"/>
                <w:color w:val="000000"/>
                <w:highlight w:val="none"/>
              </w:rPr>
              <w:t>。</w:t>
            </w:r>
          </w:p>
        </w:tc>
      </w:tr>
      <w:tr w14:paraId="18EF67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91" w:type="pct"/>
            <w:noWrap w:val="0"/>
            <w:vAlign w:val="center"/>
          </w:tcPr>
          <w:p w14:paraId="28DE0CD8">
            <w:pPr>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ascii="Times New Roman" w:hAnsi="Times New Roman" w:eastAsia="仿宋" w:cs="Times New Roman"/>
                <w:color w:val="auto"/>
                <w:kern w:val="0"/>
                <w:sz w:val="24"/>
                <w:highlight w:val="none"/>
              </w:rPr>
            </w:pPr>
            <w:r>
              <w:rPr>
                <w:rFonts w:hint="default" w:ascii="Times New Roman" w:hAnsi="Times New Roman" w:eastAsia="仿宋" w:cs="Times New Roman"/>
                <w:color w:val="auto"/>
                <w:spacing w:val="0"/>
                <w:sz w:val="24"/>
                <w:highlight w:val="none"/>
              </w:rPr>
              <w:t>与项目有关的原有环境污染和生态破坏问题</w:t>
            </w:r>
          </w:p>
        </w:tc>
        <w:tc>
          <w:tcPr>
            <w:tcW w:w="4508" w:type="pct"/>
            <w:noWrap w:val="0"/>
            <w:vAlign w:val="center"/>
          </w:tcPr>
          <w:p w14:paraId="238BFEBD">
            <w:pPr>
              <w:adjustRightInd w:val="0"/>
              <w:snapToGrid w:val="0"/>
              <w:spacing w:line="360" w:lineRule="auto"/>
              <w:ind w:firstLine="482" w:firstLineChars="200"/>
              <w:rPr>
                <w:rFonts w:eastAsia="仿宋"/>
                <w:color w:val="FF0000"/>
                <w:kern w:val="0"/>
                <w:sz w:val="24"/>
              </w:rPr>
            </w:pPr>
            <w:r>
              <w:rPr>
                <w:rFonts w:eastAsia="仿宋"/>
                <w:b/>
                <w:color w:val="FF0000"/>
                <w:kern w:val="0"/>
                <w:sz w:val="24"/>
              </w:rPr>
              <w:t>一、</w:t>
            </w:r>
            <w:r>
              <w:rPr>
                <w:rFonts w:hint="eastAsia" w:eastAsia="仿宋"/>
                <w:b/>
                <w:color w:val="FF0000"/>
                <w:kern w:val="0"/>
                <w:sz w:val="24"/>
                <w:lang w:val="en-US" w:eastAsia="zh-CN"/>
              </w:rPr>
              <w:t>现有工程</w:t>
            </w:r>
            <w:r>
              <w:rPr>
                <w:rFonts w:eastAsia="仿宋"/>
                <w:b/>
                <w:color w:val="FF0000"/>
                <w:kern w:val="0"/>
                <w:sz w:val="24"/>
              </w:rPr>
              <w:t>履行环境影响评价、竣工环境保护验收、排污许可手续等情况</w:t>
            </w:r>
          </w:p>
          <w:p w14:paraId="7B0B1873">
            <w:pPr>
              <w:adjustRightInd w:val="0"/>
              <w:snapToGrid w:val="0"/>
              <w:spacing w:line="360" w:lineRule="auto"/>
              <w:ind w:firstLine="480" w:firstLineChars="200"/>
              <w:rPr>
                <w:rFonts w:hint="eastAsia" w:eastAsia="仿宋"/>
                <w:color w:val="FF0000"/>
                <w:sz w:val="24"/>
                <w:lang w:eastAsia="zh-CN"/>
              </w:rPr>
            </w:pPr>
            <w:r>
              <w:rPr>
                <w:rFonts w:eastAsia="仿宋"/>
                <w:color w:val="FF0000"/>
                <w:sz w:val="24"/>
              </w:rPr>
              <w:t>2019年</w:t>
            </w:r>
            <w:r>
              <w:rPr>
                <w:rFonts w:hint="eastAsia" w:eastAsia="仿宋"/>
                <w:color w:val="FF0000"/>
                <w:sz w:val="24"/>
                <w:lang w:val="en-US" w:eastAsia="zh-CN"/>
              </w:rPr>
              <w:t>11</w:t>
            </w:r>
            <w:r>
              <w:rPr>
                <w:rFonts w:eastAsia="仿宋"/>
                <w:color w:val="FF0000"/>
                <w:sz w:val="24"/>
              </w:rPr>
              <w:t>月</w:t>
            </w:r>
            <w:r>
              <w:rPr>
                <w:rFonts w:hint="eastAsia" w:eastAsia="仿宋"/>
                <w:color w:val="FF0000"/>
                <w:sz w:val="24"/>
              </w:rPr>
              <w:t>委托</w:t>
            </w:r>
            <w:r>
              <w:rPr>
                <w:rFonts w:hint="eastAsia" w:eastAsia="仿宋"/>
                <w:color w:val="FF0000"/>
                <w:sz w:val="24"/>
                <w:lang w:val="en-US" w:eastAsia="zh-CN"/>
              </w:rPr>
              <w:t>毕节市环境科学研究所有限公司</w:t>
            </w:r>
            <w:r>
              <w:rPr>
                <w:rFonts w:hint="eastAsia" w:eastAsia="仿宋"/>
                <w:color w:val="FF0000"/>
                <w:sz w:val="24"/>
              </w:rPr>
              <w:t>编制</w:t>
            </w:r>
            <w:r>
              <w:rPr>
                <w:rFonts w:eastAsia="仿宋"/>
                <w:color w:val="FF0000"/>
                <w:sz w:val="24"/>
              </w:rPr>
              <w:t>《</w:t>
            </w:r>
            <w:r>
              <w:rPr>
                <w:rFonts w:hint="eastAsia" w:eastAsia="仿宋"/>
                <w:color w:val="FF0000"/>
                <w:sz w:val="24"/>
                <w:lang w:val="en-US" w:eastAsia="zh-CN"/>
              </w:rPr>
              <w:t>临泽县金源矿业有限责任公司平川镇羊圈湾冶金用石英岩矿项目</w:t>
            </w:r>
            <w:r>
              <w:rPr>
                <w:rFonts w:eastAsia="仿宋"/>
                <w:color w:val="FF0000"/>
                <w:sz w:val="24"/>
              </w:rPr>
              <w:t>环境影响报告</w:t>
            </w:r>
            <w:r>
              <w:rPr>
                <w:rFonts w:hint="eastAsia" w:eastAsia="仿宋"/>
                <w:color w:val="FF0000"/>
                <w:sz w:val="24"/>
                <w:lang w:val="en-US" w:eastAsia="zh-CN"/>
              </w:rPr>
              <w:t>书</w:t>
            </w:r>
            <w:r>
              <w:rPr>
                <w:rFonts w:eastAsia="仿宋"/>
                <w:color w:val="FF0000"/>
                <w:sz w:val="24"/>
              </w:rPr>
              <w:t>》，并于2019年</w:t>
            </w:r>
            <w:r>
              <w:rPr>
                <w:rFonts w:hint="eastAsia" w:eastAsia="仿宋"/>
                <w:color w:val="FF0000"/>
                <w:sz w:val="24"/>
                <w:lang w:val="en-US" w:eastAsia="zh-CN"/>
              </w:rPr>
              <w:t>12</w:t>
            </w:r>
            <w:r>
              <w:rPr>
                <w:rFonts w:eastAsia="仿宋"/>
                <w:color w:val="FF0000"/>
                <w:sz w:val="24"/>
              </w:rPr>
              <w:t>月</w:t>
            </w:r>
            <w:r>
              <w:rPr>
                <w:rFonts w:hint="eastAsia" w:eastAsia="仿宋"/>
                <w:color w:val="FF0000"/>
                <w:sz w:val="24"/>
                <w:lang w:val="en-US" w:eastAsia="zh-CN"/>
              </w:rPr>
              <w:t>25</w:t>
            </w:r>
            <w:r>
              <w:rPr>
                <w:rFonts w:eastAsia="仿宋"/>
                <w:color w:val="FF0000"/>
                <w:sz w:val="24"/>
              </w:rPr>
              <w:t>日取得环境影响报告</w:t>
            </w:r>
            <w:r>
              <w:rPr>
                <w:rFonts w:hint="eastAsia" w:eastAsia="仿宋"/>
                <w:color w:val="FF0000"/>
                <w:sz w:val="24"/>
                <w:lang w:val="en-US" w:eastAsia="zh-CN"/>
              </w:rPr>
              <w:t>书</w:t>
            </w:r>
            <w:r>
              <w:rPr>
                <w:rFonts w:eastAsia="仿宋"/>
                <w:color w:val="FF0000"/>
                <w:sz w:val="24"/>
              </w:rPr>
              <w:t>的批复（</w:t>
            </w:r>
            <w:r>
              <w:rPr>
                <w:rFonts w:hint="eastAsia" w:eastAsia="仿宋"/>
                <w:color w:val="FF0000"/>
                <w:sz w:val="24"/>
                <w:lang w:val="en-US" w:eastAsia="zh-CN"/>
              </w:rPr>
              <w:t>张环环评发</w:t>
            </w:r>
            <w:r>
              <w:rPr>
                <w:rFonts w:eastAsia="仿宋"/>
                <w:color w:val="FF0000"/>
                <w:sz w:val="24"/>
              </w:rPr>
              <w:t>〔2019〕</w:t>
            </w:r>
            <w:r>
              <w:rPr>
                <w:rFonts w:hint="eastAsia" w:eastAsia="仿宋"/>
                <w:color w:val="FF0000"/>
                <w:sz w:val="24"/>
                <w:lang w:val="en-US" w:eastAsia="zh-CN"/>
              </w:rPr>
              <w:t>25</w:t>
            </w:r>
            <w:r>
              <w:rPr>
                <w:rFonts w:eastAsia="仿宋"/>
                <w:color w:val="FF0000"/>
                <w:sz w:val="24"/>
              </w:rPr>
              <w:t>号）</w:t>
            </w:r>
            <w:r>
              <w:rPr>
                <w:rFonts w:hint="eastAsia" w:eastAsia="仿宋"/>
                <w:color w:val="FF0000"/>
                <w:sz w:val="24"/>
                <w:lang w:eastAsia="zh-CN"/>
              </w:rPr>
              <w:t>。</w:t>
            </w:r>
          </w:p>
          <w:p w14:paraId="1C867883">
            <w:pPr>
              <w:adjustRightInd w:val="0"/>
              <w:snapToGrid w:val="0"/>
              <w:spacing w:line="360" w:lineRule="auto"/>
              <w:ind w:firstLine="480" w:firstLineChars="200"/>
              <w:rPr>
                <w:rFonts w:hint="eastAsia" w:eastAsia="仿宋"/>
                <w:color w:val="FF0000"/>
                <w:sz w:val="24"/>
                <w:lang w:eastAsia="zh-CN"/>
              </w:rPr>
            </w:pPr>
            <w:r>
              <w:rPr>
                <w:rFonts w:hint="eastAsia" w:ascii="Times New Roman" w:hAnsi="Times New Roman" w:eastAsia="仿宋" w:cs="Times New Roman"/>
                <w:color w:val="FF0000"/>
                <w:kern w:val="2"/>
                <w:sz w:val="24"/>
                <w:szCs w:val="24"/>
                <w:lang w:val="en-US" w:eastAsia="zh-CN"/>
              </w:rPr>
              <w:t>根据调查，</w:t>
            </w:r>
            <w:r>
              <w:rPr>
                <w:rFonts w:hint="eastAsia" w:eastAsia="仿宋" w:cs="Times New Roman"/>
                <w:color w:val="FF0000"/>
                <w:kern w:val="2"/>
                <w:sz w:val="24"/>
                <w:szCs w:val="24"/>
                <w:lang w:val="en-US" w:eastAsia="zh-CN"/>
              </w:rPr>
              <w:t>现有工程</w:t>
            </w:r>
            <w:r>
              <w:rPr>
                <w:rFonts w:hint="eastAsia" w:eastAsia="仿宋" w:cs="Times New Roman"/>
                <w:b w:val="0"/>
                <w:bCs w:val="0"/>
                <w:color w:val="FF0000"/>
                <w:kern w:val="2"/>
                <w:sz w:val="24"/>
                <w:szCs w:val="24"/>
                <w:lang w:val="en-US" w:eastAsia="zh-CN"/>
              </w:rPr>
              <w:t>2021年至2022年1月进行了开采加工，由于受到市场经济影响，2022年1月至今一直处于停产状态，所以现有工程未进行竣工环保验收和突发环境事件应急预案编制；2020年6月22日临泽县金源矿业有限责任公司首次申请排污许可登记管理，2025年6月4日进行延续，登记编号91620723551253848P001W，有效期2025年6月22日至2030年6月21日。</w:t>
            </w:r>
          </w:p>
          <w:p w14:paraId="7069A83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rPr>
                <w:rFonts w:eastAsia="仿宋"/>
                <w:b/>
                <w:color w:val="FF0000"/>
                <w:kern w:val="0"/>
                <w:sz w:val="24"/>
              </w:rPr>
            </w:pPr>
            <w:r>
              <w:rPr>
                <w:rFonts w:hint="eastAsia" w:eastAsia="仿宋"/>
                <w:b/>
                <w:color w:val="FF0000"/>
                <w:kern w:val="0"/>
                <w:sz w:val="24"/>
                <w:lang w:eastAsia="zh-CN"/>
              </w:rPr>
              <w:t>2.</w:t>
            </w:r>
            <w:r>
              <w:rPr>
                <w:rFonts w:hint="eastAsia" w:eastAsia="仿宋"/>
                <w:b/>
                <w:color w:val="FF0000"/>
                <w:kern w:val="0"/>
                <w:sz w:val="24"/>
                <w:lang w:val="en-US" w:eastAsia="zh-CN"/>
              </w:rPr>
              <w:t>现有工程</w:t>
            </w:r>
            <w:r>
              <w:rPr>
                <w:rFonts w:eastAsia="仿宋"/>
                <w:b/>
                <w:color w:val="FF0000"/>
                <w:kern w:val="0"/>
                <w:sz w:val="24"/>
              </w:rPr>
              <w:t>污染物产排情况</w:t>
            </w:r>
          </w:p>
          <w:p w14:paraId="240DF735">
            <w:pPr>
              <w:autoSpaceDE w:val="0"/>
              <w:autoSpaceDN w:val="0"/>
              <w:adjustRightInd w:val="0"/>
              <w:snapToGrid w:val="0"/>
              <w:spacing w:line="360" w:lineRule="auto"/>
              <w:ind w:firstLine="480" w:firstLineChars="200"/>
              <w:jc w:val="both"/>
              <w:rPr>
                <w:rFonts w:hint="eastAsia" w:ascii="Times New Roman" w:hAnsi="Times New Roman" w:eastAsia="仿宋" w:cs="Times New Roman"/>
                <w:color w:val="FF0000"/>
                <w:kern w:val="2"/>
                <w:sz w:val="24"/>
                <w:szCs w:val="24"/>
                <w:lang w:val="en-US" w:eastAsia="zh-CN"/>
              </w:rPr>
            </w:pPr>
            <w:r>
              <w:rPr>
                <w:rFonts w:hint="eastAsia" w:eastAsia="仿宋" w:cs="Times New Roman"/>
                <w:b w:val="0"/>
                <w:bCs w:val="0"/>
                <w:color w:val="FF0000"/>
                <w:kern w:val="2"/>
                <w:sz w:val="24"/>
                <w:szCs w:val="24"/>
                <w:lang w:val="en-US" w:eastAsia="zh-CN"/>
              </w:rPr>
              <w:t>本次环评对现有工程污染物产排污情况依据《临泽县金源矿业有限责任公司平川镇羊圈湾冶金用石英岩矿项目环境影响报告书》。</w:t>
            </w:r>
          </w:p>
          <w:p w14:paraId="7C42E9BA">
            <w:pPr>
              <w:pStyle w:val="11"/>
              <w:keepNext w:val="0"/>
              <w:keepLines w:val="0"/>
              <w:pageBreakBefore w:val="0"/>
              <w:widowControl w:val="0"/>
              <w:kinsoku/>
              <w:wordWrap/>
              <w:overflowPunct/>
              <w:topLinePunct w:val="0"/>
              <w:autoSpaceDE/>
              <w:autoSpaceDN/>
              <w:bidi w:val="0"/>
              <w:adjustRightInd w:val="0"/>
              <w:snapToGrid w:val="0"/>
              <w:spacing w:after="0" w:line="360" w:lineRule="auto"/>
              <w:ind w:right="0" w:firstLine="482" w:firstLineChars="200"/>
              <w:rPr>
                <w:rFonts w:hint="default" w:ascii="Times New Roman" w:hAnsi="Times New Roman" w:eastAsia="仿宋" w:cs="Times New Roman"/>
                <w:b/>
                <w:bCs/>
                <w:color w:val="FF0000"/>
                <w:sz w:val="24"/>
                <w:szCs w:val="32"/>
              </w:rPr>
            </w:pPr>
          </w:p>
          <w:p w14:paraId="3D3AD0AA">
            <w:pPr>
              <w:pStyle w:val="11"/>
              <w:keepNext w:val="0"/>
              <w:keepLines w:val="0"/>
              <w:pageBreakBefore w:val="0"/>
              <w:widowControl w:val="0"/>
              <w:kinsoku/>
              <w:wordWrap/>
              <w:overflowPunct/>
              <w:topLinePunct w:val="0"/>
              <w:autoSpaceDE/>
              <w:autoSpaceDN/>
              <w:bidi w:val="0"/>
              <w:adjustRightInd w:val="0"/>
              <w:snapToGrid w:val="0"/>
              <w:spacing w:after="0" w:line="360" w:lineRule="auto"/>
              <w:ind w:right="0" w:firstLine="482" w:firstLineChars="200"/>
              <w:rPr>
                <w:rFonts w:hint="default" w:ascii="Times New Roman" w:hAnsi="Times New Roman" w:eastAsia="仿宋" w:cs="Times New Roman"/>
                <w:b/>
                <w:bCs/>
                <w:color w:val="FF0000"/>
                <w:sz w:val="24"/>
                <w:szCs w:val="32"/>
              </w:rPr>
            </w:pPr>
          </w:p>
          <w:p w14:paraId="6817EB3C">
            <w:pPr>
              <w:pStyle w:val="11"/>
              <w:keepNext w:val="0"/>
              <w:keepLines w:val="0"/>
              <w:pageBreakBefore w:val="0"/>
              <w:widowControl w:val="0"/>
              <w:kinsoku/>
              <w:wordWrap/>
              <w:overflowPunct/>
              <w:topLinePunct w:val="0"/>
              <w:autoSpaceDE/>
              <w:autoSpaceDN/>
              <w:bidi w:val="0"/>
              <w:adjustRightInd w:val="0"/>
              <w:snapToGrid w:val="0"/>
              <w:spacing w:after="0" w:line="360" w:lineRule="auto"/>
              <w:ind w:right="0" w:firstLine="482" w:firstLineChars="200"/>
              <w:rPr>
                <w:rFonts w:hint="default" w:ascii="Times New Roman" w:hAnsi="Times New Roman" w:eastAsia="仿宋" w:cs="Times New Roman"/>
                <w:b/>
                <w:bCs/>
                <w:color w:val="FF0000"/>
                <w:sz w:val="24"/>
                <w:szCs w:val="32"/>
                <w:lang w:val="en-US" w:eastAsia="zh-CN"/>
              </w:rPr>
            </w:pPr>
            <w:r>
              <w:rPr>
                <w:rFonts w:hint="default" w:ascii="Times New Roman" w:hAnsi="Times New Roman" w:eastAsia="仿宋" w:cs="Times New Roman"/>
                <w:b/>
                <w:bCs/>
                <w:color w:val="FF0000"/>
                <w:sz w:val="24"/>
                <w:szCs w:val="32"/>
              </w:rPr>
              <w:t>2.1</w:t>
            </w:r>
            <w:r>
              <w:rPr>
                <w:rFonts w:hint="default" w:ascii="Times New Roman" w:hAnsi="Times New Roman" w:eastAsia="仿宋" w:cs="Times New Roman"/>
                <w:b/>
                <w:bCs/>
                <w:color w:val="FF0000"/>
                <w:sz w:val="24"/>
                <w:szCs w:val="32"/>
                <w:lang w:val="en-US" w:eastAsia="zh-CN"/>
              </w:rPr>
              <w:t>废气</w:t>
            </w:r>
          </w:p>
          <w:p w14:paraId="74F0438D">
            <w:pPr>
              <w:adjustRightInd w:val="0"/>
              <w:snapToGrid w:val="0"/>
              <w:spacing w:line="360" w:lineRule="auto"/>
              <w:ind w:firstLine="480" w:firstLineChars="200"/>
              <w:rPr>
                <w:rFonts w:hint="default" w:ascii="Times New Roman" w:hAnsi="Times New Roman" w:eastAsia="仿宋" w:cs="Times New Roman"/>
                <w:color w:val="FF0000"/>
                <w:kern w:val="2"/>
                <w:sz w:val="24"/>
                <w:szCs w:val="24"/>
                <w:lang w:val="en-US" w:eastAsia="zh-CN" w:bidi="ar-SA"/>
              </w:rPr>
            </w:pPr>
            <w:r>
              <w:rPr>
                <w:rFonts w:hint="default" w:ascii="Times New Roman" w:hAnsi="Times New Roman" w:eastAsia="仿宋" w:cs="Times New Roman"/>
                <w:color w:val="FF0000"/>
                <w:kern w:val="2"/>
                <w:sz w:val="24"/>
                <w:szCs w:val="24"/>
                <w:lang w:val="en-US" w:eastAsia="zh-CN" w:bidi="ar-SA"/>
              </w:rPr>
              <w:t>⑴采矿粉尘</w:t>
            </w:r>
          </w:p>
          <w:p w14:paraId="7708D193">
            <w:pPr>
              <w:adjustRightInd w:val="0"/>
              <w:snapToGrid w:val="0"/>
              <w:spacing w:line="360" w:lineRule="auto"/>
              <w:ind w:firstLine="480" w:firstLineChars="200"/>
              <w:rPr>
                <w:rFonts w:hint="default" w:ascii="Times New Roman" w:hAnsi="Times New Roman" w:eastAsia="仿宋" w:cs="Times New Roman"/>
                <w:b w:val="0"/>
                <w:bCs/>
                <w:color w:val="FF0000"/>
                <w:kern w:val="0"/>
                <w:sz w:val="24"/>
              </w:rPr>
            </w:pPr>
            <w:r>
              <w:rPr>
                <w:rFonts w:hint="default" w:ascii="Times New Roman" w:hAnsi="Times New Roman" w:eastAsia="仿宋" w:cs="Times New Roman"/>
                <w:b w:val="0"/>
                <w:bCs/>
                <w:color w:val="FF0000"/>
                <w:kern w:val="0"/>
                <w:sz w:val="24"/>
              </w:rPr>
              <w:t>①剥离扬尘</w:t>
            </w:r>
          </w:p>
          <w:p w14:paraId="7AE426FA">
            <w:pPr>
              <w:adjustRightInd w:val="0"/>
              <w:snapToGrid w:val="0"/>
              <w:spacing w:line="360" w:lineRule="auto"/>
              <w:ind w:firstLine="480" w:firstLineChars="200"/>
              <w:rPr>
                <w:rFonts w:hint="default" w:ascii="Times New Roman" w:hAnsi="Times New Roman" w:eastAsia="仿宋" w:cs="Times New Roman"/>
                <w:b w:val="0"/>
                <w:bCs/>
                <w:color w:val="FF0000"/>
                <w:kern w:val="0"/>
                <w:sz w:val="24"/>
              </w:rPr>
            </w:pPr>
            <w:r>
              <w:rPr>
                <w:rFonts w:hint="default" w:ascii="Times New Roman" w:hAnsi="Times New Roman" w:eastAsia="仿宋" w:cs="Times New Roman"/>
                <w:b w:val="0"/>
                <w:bCs/>
                <w:color w:val="FF0000"/>
                <w:kern w:val="0"/>
                <w:sz w:val="24"/>
              </w:rPr>
              <w:t>剥离扬尘主要为表土剥离过程产生的扬尘，呈无组织排放，剥离时采用雾炮机喷雾洒水降尘，抑尘率约为80%，则表层剥离扬尘排放量为0.19t</w:t>
            </w:r>
            <w:r>
              <w:rPr>
                <w:rFonts w:hint="eastAsia" w:ascii="Times New Roman" w:hAnsi="Times New Roman" w:eastAsia="仿宋" w:cs="Times New Roman"/>
                <w:b w:val="0"/>
                <w:bCs/>
                <w:color w:val="FF0000"/>
                <w:kern w:val="0"/>
                <w:sz w:val="24"/>
                <w:lang w:val="en-US" w:eastAsia="zh-CN"/>
              </w:rPr>
              <w:t>/</w:t>
            </w:r>
            <w:r>
              <w:rPr>
                <w:rFonts w:hint="default" w:ascii="Times New Roman" w:hAnsi="Times New Roman" w:eastAsia="仿宋" w:cs="Times New Roman"/>
                <w:b w:val="0"/>
                <w:bCs/>
                <w:color w:val="FF0000"/>
                <w:kern w:val="0"/>
                <w:sz w:val="24"/>
              </w:rPr>
              <w:t>a。</w:t>
            </w:r>
          </w:p>
          <w:p w14:paraId="50EF462F">
            <w:pPr>
              <w:adjustRightInd w:val="0"/>
              <w:snapToGrid w:val="0"/>
              <w:spacing w:line="360" w:lineRule="auto"/>
              <w:ind w:firstLine="480" w:firstLineChars="200"/>
              <w:rPr>
                <w:rFonts w:hint="default" w:ascii="Times New Roman" w:hAnsi="Times New Roman" w:eastAsia="仿宋" w:cs="Times New Roman"/>
                <w:b w:val="0"/>
                <w:bCs/>
                <w:color w:val="FF0000"/>
                <w:kern w:val="0"/>
                <w:sz w:val="24"/>
              </w:rPr>
            </w:pPr>
            <w:r>
              <w:rPr>
                <w:rFonts w:hint="default" w:ascii="Times New Roman" w:hAnsi="Times New Roman" w:eastAsia="仿宋" w:cs="Times New Roman"/>
                <w:b w:val="0"/>
                <w:bCs/>
                <w:color w:val="FF0000"/>
                <w:kern w:val="0"/>
                <w:sz w:val="24"/>
              </w:rPr>
              <w:t>②穿孔起尘</w:t>
            </w:r>
          </w:p>
          <w:p w14:paraId="2B2DED86">
            <w:pPr>
              <w:adjustRightInd w:val="0"/>
              <w:snapToGrid w:val="0"/>
              <w:spacing w:line="360" w:lineRule="auto"/>
              <w:ind w:firstLine="480" w:firstLineChars="200"/>
              <w:rPr>
                <w:rFonts w:hint="eastAsia" w:ascii="Times New Roman" w:hAnsi="Times New Roman" w:eastAsia="仿宋" w:cs="Times New Roman"/>
                <w:b w:val="0"/>
                <w:bCs/>
                <w:color w:val="FF0000"/>
                <w:kern w:val="0"/>
                <w:sz w:val="24"/>
                <w:lang w:val="en-US" w:eastAsia="zh-CN"/>
              </w:rPr>
            </w:pPr>
            <w:r>
              <w:rPr>
                <w:rFonts w:hint="default" w:ascii="Times New Roman" w:hAnsi="Times New Roman" w:eastAsia="仿宋" w:cs="Times New Roman"/>
                <w:b w:val="0"/>
                <w:bCs/>
                <w:color w:val="FF0000"/>
                <w:kern w:val="0"/>
                <w:sz w:val="24"/>
              </w:rPr>
              <w:t>本项目开采过程中使用带捕尘装置的钻孔设备，采取湿式凿岩法，粉尘产生非常</w:t>
            </w:r>
            <w:r>
              <w:rPr>
                <w:rFonts w:hint="eastAsia" w:ascii="Times New Roman" w:hAnsi="Times New Roman" w:eastAsia="仿宋" w:cs="Times New Roman"/>
                <w:b w:val="0"/>
                <w:bCs/>
                <w:color w:val="FF0000"/>
                <w:kern w:val="0"/>
                <w:sz w:val="24"/>
                <w:lang w:val="en-US" w:eastAsia="zh-CN"/>
              </w:rPr>
              <w:t>小。</w:t>
            </w:r>
          </w:p>
          <w:p w14:paraId="46223A31">
            <w:pPr>
              <w:adjustRightInd w:val="0"/>
              <w:snapToGrid w:val="0"/>
              <w:spacing w:line="360" w:lineRule="auto"/>
              <w:ind w:firstLine="480" w:firstLineChars="200"/>
              <w:rPr>
                <w:rFonts w:hint="default" w:ascii="Times New Roman" w:hAnsi="Times New Roman" w:eastAsia="仿宋" w:cs="Times New Roman"/>
                <w:b w:val="0"/>
                <w:bCs/>
                <w:color w:val="FF0000"/>
                <w:kern w:val="0"/>
                <w:sz w:val="24"/>
              </w:rPr>
            </w:pPr>
            <w:r>
              <w:rPr>
                <w:rFonts w:hint="default" w:ascii="Times New Roman" w:hAnsi="Times New Roman" w:eastAsia="仿宋" w:cs="Times New Roman"/>
                <w:b w:val="0"/>
                <w:bCs/>
                <w:color w:val="FF0000"/>
                <w:kern w:val="0"/>
                <w:sz w:val="24"/>
              </w:rPr>
              <w:t>③爆破烟尘及粉尘</w:t>
            </w:r>
          </w:p>
          <w:p w14:paraId="2EB3DD74">
            <w:pPr>
              <w:adjustRightInd w:val="0"/>
              <w:snapToGrid w:val="0"/>
              <w:spacing w:line="360" w:lineRule="auto"/>
              <w:ind w:firstLine="480" w:firstLineChars="200"/>
              <w:rPr>
                <w:rFonts w:hint="default" w:ascii="Times New Roman" w:hAnsi="Times New Roman" w:eastAsia="仿宋" w:cs="Times New Roman"/>
                <w:b w:val="0"/>
                <w:bCs/>
                <w:color w:val="FF0000"/>
                <w:kern w:val="0"/>
                <w:sz w:val="24"/>
              </w:rPr>
            </w:pPr>
            <w:r>
              <w:rPr>
                <w:rFonts w:hint="default" w:ascii="Times New Roman" w:hAnsi="Times New Roman" w:eastAsia="仿宋" w:cs="Times New Roman"/>
                <w:b w:val="0"/>
                <w:bCs/>
                <w:color w:val="FF0000"/>
                <w:kern w:val="0"/>
                <w:sz w:val="24"/>
              </w:rPr>
              <w:t>由于矿石爆破过程使用炸药，本项目采用铵油炸药，其混合物爆炸的氧平衡接近于0%，本项目炸药爆炸的烟气成分以N</w:t>
            </w:r>
            <w:r>
              <w:rPr>
                <w:rFonts w:hint="default" w:ascii="Times New Roman" w:hAnsi="Times New Roman" w:eastAsia="仿宋" w:cs="Times New Roman"/>
                <w:b w:val="0"/>
                <w:bCs/>
                <w:color w:val="FF0000"/>
                <w:kern w:val="0"/>
                <w:sz w:val="24"/>
                <w:vertAlign w:val="subscript"/>
              </w:rPr>
              <w:t>2</w:t>
            </w:r>
            <w:r>
              <w:rPr>
                <w:rFonts w:hint="default" w:ascii="Times New Roman" w:hAnsi="Times New Roman" w:eastAsia="仿宋" w:cs="Times New Roman"/>
                <w:b w:val="0"/>
                <w:bCs/>
                <w:color w:val="FF0000"/>
                <w:kern w:val="0"/>
                <w:sz w:val="24"/>
              </w:rPr>
              <w:t>、H</w:t>
            </w:r>
            <w:r>
              <w:rPr>
                <w:rFonts w:hint="default" w:ascii="Times New Roman" w:hAnsi="Times New Roman" w:eastAsia="仿宋" w:cs="Times New Roman"/>
                <w:b w:val="0"/>
                <w:bCs/>
                <w:color w:val="FF0000"/>
                <w:kern w:val="0"/>
                <w:sz w:val="24"/>
                <w:vertAlign w:val="subscript"/>
              </w:rPr>
              <w:t>2</w:t>
            </w:r>
            <w:r>
              <w:rPr>
                <w:rFonts w:hint="default" w:ascii="Times New Roman" w:hAnsi="Times New Roman" w:eastAsia="仿宋" w:cs="Times New Roman"/>
                <w:b w:val="0"/>
                <w:bCs/>
                <w:color w:val="FF0000"/>
                <w:kern w:val="0"/>
                <w:sz w:val="24"/>
              </w:rPr>
              <w:t>O、C为主，基本不产生氮氧化物。矿石爆破将产生一定量的粉尘，根据类似相关爆破实况记录，爆破时爆破区域产生粉尘浓度较高，每次爆破产生的30m高的灰尘，爆破粉尘中99%以上粒径大于10um，这些粉尘全部为无组织排放，约在爆破后5min内在爆破区域周围50m范围沉降下来，其余部分粒径较小的在15min内可空气稀释扩散，扩散距离一般在300m范围内。</w:t>
            </w:r>
          </w:p>
          <w:p w14:paraId="12352BD8">
            <w:pPr>
              <w:adjustRightInd w:val="0"/>
              <w:snapToGrid w:val="0"/>
              <w:spacing w:line="360" w:lineRule="auto"/>
              <w:ind w:firstLine="480" w:firstLineChars="200"/>
              <w:rPr>
                <w:rFonts w:hint="default" w:ascii="Times New Roman" w:hAnsi="Times New Roman" w:eastAsia="仿宋" w:cs="Times New Roman"/>
                <w:b w:val="0"/>
                <w:bCs/>
                <w:color w:val="FF0000"/>
                <w:kern w:val="0"/>
                <w:sz w:val="24"/>
                <w:lang w:val="en-US" w:eastAsia="zh-CN"/>
              </w:rPr>
            </w:pPr>
            <w:r>
              <w:rPr>
                <w:rFonts w:hint="default" w:ascii="Times New Roman" w:hAnsi="Times New Roman" w:eastAsia="仿宋" w:cs="Times New Roman"/>
                <w:b w:val="0"/>
                <w:bCs/>
                <w:color w:val="FF0000"/>
                <w:kern w:val="0"/>
                <w:sz w:val="24"/>
              </w:rPr>
              <w:t>④</w:t>
            </w:r>
            <w:r>
              <w:rPr>
                <w:rFonts w:hint="default" w:ascii="Times New Roman" w:hAnsi="Times New Roman" w:eastAsia="仿宋" w:cs="Times New Roman"/>
                <w:b w:val="0"/>
                <w:bCs/>
                <w:color w:val="FF0000"/>
                <w:kern w:val="0"/>
                <w:sz w:val="24"/>
                <w:lang w:val="en-US" w:eastAsia="zh-CN"/>
              </w:rPr>
              <w:t>液压</w:t>
            </w:r>
            <w:r>
              <w:rPr>
                <w:rFonts w:hint="eastAsia" w:eastAsia="仿宋" w:cs="Times New Roman"/>
                <w:b w:val="0"/>
                <w:bCs/>
                <w:color w:val="FF0000"/>
                <w:kern w:val="0"/>
                <w:sz w:val="24"/>
                <w:lang w:val="en-US" w:eastAsia="zh-CN"/>
              </w:rPr>
              <w:t>二次</w:t>
            </w:r>
            <w:r>
              <w:rPr>
                <w:rFonts w:hint="default" w:ascii="Times New Roman" w:hAnsi="Times New Roman" w:eastAsia="仿宋" w:cs="Times New Roman"/>
                <w:b w:val="0"/>
                <w:bCs/>
                <w:color w:val="FF0000"/>
                <w:kern w:val="0"/>
                <w:sz w:val="24"/>
                <w:lang w:val="en-US" w:eastAsia="zh-CN"/>
              </w:rPr>
              <w:t>锤破碎粉尘</w:t>
            </w:r>
          </w:p>
          <w:p w14:paraId="2EC7FBC1">
            <w:pPr>
              <w:adjustRightInd w:val="0"/>
              <w:snapToGrid w:val="0"/>
              <w:spacing w:line="360" w:lineRule="auto"/>
              <w:ind w:firstLine="480" w:firstLineChars="200"/>
              <w:rPr>
                <w:rFonts w:hint="default" w:ascii="Times New Roman" w:hAnsi="Times New Roman" w:eastAsia="仿宋" w:cs="Times New Roman"/>
                <w:b w:val="0"/>
                <w:bCs/>
                <w:color w:val="FF0000"/>
                <w:kern w:val="0"/>
                <w:sz w:val="24"/>
              </w:rPr>
            </w:pPr>
            <w:r>
              <w:rPr>
                <w:rFonts w:hint="default" w:ascii="Times New Roman" w:hAnsi="Times New Roman" w:eastAsia="仿宋" w:cs="Times New Roman"/>
                <w:b w:val="0"/>
                <w:bCs/>
                <w:color w:val="FF0000"/>
                <w:kern w:val="0"/>
                <w:sz w:val="24"/>
              </w:rPr>
              <w:t>采场开采爆破后难免产生个别大块矿石，这些大块矿石需要进行破碎处理，本项目采用</w:t>
            </w:r>
            <w:r>
              <w:rPr>
                <w:rFonts w:hint="eastAsia" w:eastAsia="仿宋" w:cs="Times New Roman"/>
                <w:b w:val="0"/>
                <w:bCs/>
                <w:color w:val="FF0000"/>
                <w:kern w:val="0"/>
                <w:sz w:val="24"/>
                <w:lang w:eastAsia="zh-CN"/>
              </w:rPr>
              <w:t>挖掘机</w:t>
            </w:r>
            <w:r>
              <w:rPr>
                <w:rFonts w:hint="default" w:ascii="Times New Roman" w:hAnsi="Times New Roman" w:eastAsia="仿宋" w:cs="Times New Roman"/>
                <w:b w:val="0"/>
                <w:bCs/>
                <w:color w:val="FF0000"/>
                <w:kern w:val="0"/>
                <w:sz w:val="24"/>
              </w:rPr>
              <w:t>液压锤破碎法在矿石临时堆场对大块矿石进行破碎处理。破碎粉尘主要在液压锤锤破那一瞬间，粉尘产生量较小，本次评价要求建设单位在破碎过程中采用雾炮机喷雾降尘，采取上述措施后，破碎粉尘排放量较小，可忽略不计。</w:t>
            </w:r>
          </w:p>
          <w:p w14:paraId="0EA719B4">
            <w:pPr>
              <w:adjustRightInd w:val="0"/>
              <w:snapToGrid w:val="0"/>
              <w:spacing w:line="360" w:lineRule="auto"/>
              <w:ind w:firstLine="480" w:firstLineChars="200"/>
              <w:rPr>
                <w:rFonts w:hint="default" w:ascii="Times New Roman" w:hAnsi="Times New Roman" w:eastAsia="仿宋" w:cs="Times New Roman"/>
                <w:b w:val="0"/>
                <w:bCs/>
                <w:color w:val="FF0000"/>
                <w:kern w:val="0"/>
                <w:sz w:val="24"/>
                <w:lang w:val="en-US" w:eastAsia="zh-CN"/>
              </w:rPr>
            </w:pPr>
            <w:r>
              <w:rPr>
                <w:rFonts w:hint="default" w:ascii="Times New Roman" w:hAnsi="Times New Roman" w:eastAsia="仿宋" w:cs="Times New Roman"/>
                <w:b w:val="0"/>
                <w:bCs/>
                <w:color w:val="FF0000"/>
                <w:kern w:val="0"/>
                <w:sz w:val="24"/>
              </w:rPr>
              <w:t>⑤</w:t>
            </w:r>
            <w:r>
              <w:rPr>
                <w:rFonts w:hint="eastAsia" w:ascii="Times New Roman" w:hAnsi="Times New Roman" w:eastAsia="仿宋" w:cs="Times New Roman"/>
                <w:b w:val="0"/>
                <w:bCs/>
                <w:color w:val="FF0000"/>
                <w:kern w:val="0"/>
                <w:sz w:val="24"/>
                <w:lang w:val="en-US" w:eastAsia="zh-CN"/>
              </w:rPr>
              <w:t>矿石临时堆场扬尘</w:t>
            </w:r>
          </w:p>
          <w:p w14:paraId="38827FA8">
            <w:pPr>
              <w:adjustRightInd w:val="0"/>
              <w:snapToGrid w:val="0"/>
              <w:spacing w:line="360" w:lineRule="auto"/>
              <w:ind w:firstLine="480" w:firstLineChars="200"/>
              <w:rPr>
                <w:rFonts w:hint="default" w:ascii="Times New Roman" w:hAnsi="Times New Roman" w:eastAsia="仿宋" w:cs="Times New Roman"/>
                <w:b w:val="0"/>
                <w:bCs/>
                <w:color w:val="FF0000"/>
                <w:kern w:val="0"/>
                <w:sz w:val="24"/>
              </w:rPr>
            </w:pPr>
            <w:r>
              <w:rPr>
                <w:rFonts w:hint="default" w:ascii="Times New Roman" w:hAnsi="Times New Roman" w:eastAsia="仿宋" w:cs="Times New Roman"/>
                <w:b w:val="0"/>
                <w:bCs/>
                <w:color w:val="FF0000"/>
                <w:kern w:val="0"/>
                <w:sz w:val="24"/>
              </w:rPr>
              <w:t>矿石临时堆场扬尘主要在矿石临时堆放过程中因风蚀作用下产生。由于矿石粒径较大，项目区域平均风速小于风蚀起尘阈值摩擦风速，矿石堆存风蚀过程不起尘。但为了保证临时堆场矿石堆存、装卸和破碎粉尘逸散，本次评价要求建设单位在矿石临时堆场周边设置不低于6m</w:t>
            </w:r>
            <w:r>
              <w:rPr>
                <w:rFonts w:hint="eastAsia" w:ascii="Times New Roman" w:hAnsi="Times New Roman" w:eastAsia="仿宋" w:cs="Times New Roman"/>
                <w:b w:val="0"/>
                <w:bCs/>
                <w:color w:val="FF0000"/>
                <w:kern w:val="0"/>
                <w:sz w:val="24"/>
                <w:lang w:eastAsia="zh-CN"/>
              </w:rPr>
              <w:t>（</w:t>
            </w:r>
            <w:r>
              <w:rPr>
                <w:rFonts w:hint="default" w:ascii="Times New Roman" w:hAnsi="Times New Roman" w:eastAsia="仿宋" w:cs="Times New Roman"/>
                <w:b w:val="0"/>
                <w:bCs/>
                <w:color w:val="FF0000"/>
                <w:kern w:val="0"/>
                <w:sz w:val="24"/>
              </w:rPr>
              <w:t>堆高为5m，原则不低于堆高1.1倍</w:t>
            </w:r>
            <w:r>
              <w:rPr>
                <w:rFonts w:hint="eastAsia" w:ascii="Times New Roman" w:hAnsi="Times New Roman" w:eastAsia="仿宋" w:cs="Times New Roman"/>
                <w:b w:val="0"/>
                <w:bCs/>
                <w:color w:val="FF0000"/>
                <w:kern w:val="0"/>
                <w:sz w:val="24"/>
                <w:lang w:eastAsia="zh-CN"/>
              </w:rPr>
              <w:t>）</w:t>
            </w:r>
            <w:r>
              <w:rPr>
                <w:rFonts w:hint="default" w:ascii="Times New Roman" w:hAnsi="Times New Roman" w:eastAsia="仿宋" w:cs="Times New Roman"/>
                <w:b w:val="0"/>
                <w:bCs/>
                <w:color w:val="FF0000"/>
                <w:kern w:val="0"/>
                <w:sz w:val="24"/>
              </w:rPr>
              <w:t>的防风抑尘网。</w:t>
            </w:r>
          </w:p>
          <w:p w14:paraId="7223EA3D">
            <w:pPr>
              <w:adjustRightInd w:val="0"/>
              <w:snapToGrid w:val="0"/>
              <w:spacing w:line="360" w:lineRule="auto"/>
              <w:ind w:firstLine="480" w:firstLineChars="200"/>
              <w:rPr>
                <w:rFonts w:hint="default" w:ascii="Times New Roman" w:hAnsi="Times New Roman" w:eastAsia="仿宋" w:cs="Times New Roman"/>
                <w:b w:val="0"/>
                <w:bCs/>
                <w:color w:val="FF0000"/>
                <w:kern w:val="0"/>
                <w:sz w:val="24"/>
                <w:lang w:val="en-US" w:eastAsia="zh-CN"/>
              </w:rPr>
            </w:pPr>
            <w:r>
              <w:rPr>
                <w:rFonts w:hint="default" w:ascii="Times New Roman" w:hAnsi="Times New Roman" w:eastAsia="仿宋" w:cs="Times New Roman"/>
                <w:b w:val="0"/>
                <w:bCs/>
                <w:color w:val="FF0000"/>
                <w:kern w:val="0"/>
                <w:sz w:val="24"/>
              </w:rPr>
              <w:t>⑥</w:t>
            </w:r>
            <w:r>
              <w:rPr>
                <w:rFonts w:hint="eastAsia" w:ascii="Times New Roman" w:hAnsi="Times New Roman" w:eastAsia="仿宋" w:cs="Times New Roman"/>
                <w:b w:val="0"/>
                <w:bCs/>
                <w:color w:val="FF0000"/>
                <w:kern w:val="0"/>
                <w:sz w:val="24"/>
                <w:lang w:val="en-US" w:eastAsia="zh-CN"/>
              </w:rPr>
              <w:t>采场铲装扬尘</w:t>
            </w:r>
          </w:p>
          <w:p w14:paraId="04DB00D1">
            <w:pPr>
              <w:adjustRightInd w:val="0"/>
              <w:snapToGrid w:val="0"/>
              <w:spacing w:line="360" w:lineRule="auto"/>
              <w:ind w:firstLine="480" w:firstLineChars="200"/>
              <w:rPr>
                <w:rFonts w:hint="default" w:ascii="Times New Roman" w:hAnsi="Times New Roman" w:eastAsia="仿宋" w:cs="Times New Roman"/>
                <w:b w:val="0"/>
                <w:bCs/>
                <w:color w:val="FF0000"/>
                <w:kern w:val="0"/>
                <w:sz w:val="24"/>
              </w:rPr>
            </w:pPr>
            <w:r>
              <w:rPr>
                <w:rFonts w:hint="default" w:ascii="Times New Roman" w:hAnsi="Times New Roman" w:eastAsia="仿宋" w:cs="Times New Roman"/>
                <w:b w:val="0"/>
                <w:bCs/>
                <w:color w:val="FF0000"/>
                <w:kern w:val="0"/>
                <w:sz w:val="24"/>
              </w:rPr>
              <w:t>本项目装卸过程采用雾炮机喷雾降尘，控制效率取74%。则铲装扬尘产生量为</w:t>
            </w:r>
            <w:r>
              <w:rPr>
                <w:rFonts w:hint="eastAsia" w:eastAsia="仿宋" w:cs="Times New Roman"/>
                <w:b w:val="0"/>
                <w:bCs/>
                <w:color w:val="FF0000"/>
                <w:kern w:val="0"/>
                <w:sz w:val="24"/>
                <w:lang w:val="en-US" w:eastAsia="zh-CN"/>
              </w:rPr>
              <w:t>0.005</w:t>
            </w:r>
            <w:r>
              <w:rPr>
                <w:rFonts w:hint="default" w:ascii="Times New Roman" w:hAnsi="Times New Roman" w:eastAsia="仿宋" w:cs="Times New Roman"/>
                <w:b w:val="0"/>
                <w:bCs/>
                <w:color w:val="FF0000"/>
                <w:kern w:val="0"/>
                <w:sz w:val="24"/>
              </w:rPr>
              <w:t>t/a。</w:t>
            </w:r>
          </w:p>
          <w:p w14:paraId="50B1AB16">
            <w:pPr>
              <w:adjustRightInd w:val="0"/>
              <w:snapToGrid w:val="0"/>
              <w:spacing w:line="360" w:lineRule="auto"/>
              <w:ind w:firstLine="480" w:firstLineChars="200"/>
              <w:rPr>
                <w:rFonts w:hint="default" w:ascii="Times New Roman" w:hAnsi="Times New Roman" w:eastAsia="仿宋" w:cs="Times New Roman"/>
                <w:b w:val="0"/>
                <w:bCs/>
                <w:color w:val="FF0000"/>
                <w:kern w:val="0"/>
                <w:sz w:val="24"/>
                <w:lang w:val="en-US" w:eastAsia="zh-CN"/>
              </w:rPr>
            </w:pPr>
            <w:r>
              <w:rPr>
                <w:rFonts w:hint="default" w:ascii="Times New Roman" w:hAnsi="Times New Roman" w:eastAsia="仿宋" w:cs="Times New Roman"/>
                <w:b w:val="0"/>
                <w:bCs/>
                <w:color w:val="FF0000"/>
                <w:kern w:val="0"/>
                <w:sz w:val="24"/>
              </w:rPr>
              <w:t>⑵</w:t>
            </w:r>
            <w:r>
              <w:rPr>
                <w:rFonts w:hint="default" w:ascii="Times New Roman" w:hAnsi="Times New Roman" w:eastAsia="仿宋" w:cs="Times New Roman"/>
                <w:b w:val="0"/>
                <w:bCs/>
                <w:color w:val="FF0000"/>
                <w:kern w:val="0"/>
                <w:sz w:val="24"/>
                <w:lang w:val="en-US" w:eastAsia="zh-CN"/>
              </w:rPr>
              <w:t>道路扬尘</w:t>
            </w:r>
          </w:p>
          <w:p w14:paraId="4EBC6D4C">
            <w:pPr>
              <w:adjustRightInd w:val="0"/>
              <w:snapToGrid w:val="0"/>
              <w:spacing w:line="360" w:lineRule="auto"/>
              <w:ind w:firstLine="480" w:firstLineChars="200"/>
              <w:rPr>
                <w:rFonts w:hint="eastAsia" w:ascii="Times New Roman" w:hAnsi="Times New Roman" w:eastAsia="仿宋" w:cs="Times New Roman"/>
                <w:b w:val="0"/>
                <w:bCs/>
                <w:color w:val="FF0000"/>
                <w:kern w:val="0"/>
                <w:sz w:val="24"/>
              </w:rPr>
            </w:pPr>
            <w:r>
              <w:rPr>
                <w:rFonts w:hint="eastAsia" w:ascii="Times New Roman" w:hAnsi="Times New Roman" w:eastAsia="仿宋" w:cs="Times New Roman"/>
                <w:b w:val="0"/>
                <w:bCs/>
                <w:color w:val="FF0000"/>
                <w:kern w:val="0"/>
                <w:sz w:val="24"/>
              </w:rPr>
              <w:t>本</w:t>
            </w:r>
            <w:r>
              <w:rPr>
                <w:rFonts w:hint="eastAsia" w:eastAsia="仿宋" w:cs="Times New Roman"/>
                <w:b w:val="0"/>
                <w:bCs/>
                <w:color w:val="FF0000"/>
                <w:kern w:val="0"/>
                <w:sz w:val="24"/>
                <w:lang w:val="en-US" w:eastAsia="zh-CN"/>
              </w:rPr>
              <w:t>项目</w:t>
            </w:r>
            <w:r>
              <w:rPr>
                <w:rFonts w:hint="eastAsia" w:ascii="Times New Roman" w:hAnsi="Times New Roman" w:eastAsia="仿宋" w:cs="Times New Roman"/>
                <w:b w:val="0"/>
                <w:bCs/>
                <w:color w:val="FF0000"/>
                <w:kern w:val="0"/>
                <w:sz w:val="24"/>
              </w:rPr>
              <w:t>路面采用砾石压盖，并洒水降尘，抑尘效率可达78%，道路扬尘产生量为</w:t>
            </w:r>
            <w:r>
              <w:rPr>
                <w:rFonts w:hint="eastAsia" w:eastAsia="仿宋" w:cs="Times New Roman"/>
                <w:b w:val="0"/>
                <w:bCs/>
                <w:color w:val="FF0000"/>
                <w:kern w:val="0"/>
                <w:sz w:val="24"/>
                <w:lang w:val="en-US" w:eastAsia="zh-CN"/>
              </w:rPr>
              <w:t>5.358</w:t>
            </w:r>
            <w:r>
              <w:rPr>
                <w:rFonts w:hint="eastAsia" w:ascii="Times New Roman" w:hAnsi="Times New Roman" w:eastAsia="仿宋" w:cs="Times New Roman"/>
                <w:b w:val="0"/>
                <w:bCs/>
                <w:color w:val="FF0000"/>
                <w:kern w:val="0"/>
                <w:sz w:val="24"/>
              </w:rPr>
              <w:t>t/a。</w:t>
            </w:r>
          </w:p>
          <w:p w14:paraId="01D61871">
            <w:pPr>
              <w:adjustRightInd w:val="0"/>
              <w:snapToGrid w:val="0"/>
              <w:spacing w:line="360" w:lineRule="auto"/>
              <w:ind w:firstLine="480" w:firstLineChars="200"/>
              <w:rPr>
                <w:rFonts w:hint="default" w:ascii="Times New Roman" w:hAnsi="Times New Roman" w:eastAsia="仿宋" w:cs="Times New Roman"/>
                <w:b w:val="0"/>
                <w:bCs/>
                <w:color w:val="FF0000"/>
                <w:kern w:val="0"/>
                <w:sz w:val="24"/>
                <w:lang w:val="en-US" w:eastAsia="zh-CN"/>
              </w:rPr>
            </w:pPr>
            <w:r>
              <w:rPr>
                <w:rFonts w:hint="default" w:ascii="Times New Roman" w:hAnsi="Times New Roman" w:eastAsia="仿宋" w:cs="Times New Roman"/>
                <w:b w:val="0"/>
                <w:bCs/>
                <w:color w:val="FF0000"/>
                <w:kern w:val="0"/>
                <w:sz w:val="24"/>
              </w:rPr>
              <w:t>⑶</w:t>
            </w:r>
            <w:r>
              <w:rPr>
                <w:rFonts w:hint="default" w:ascii="Times New Roman" w:hAnsi="Times New Roman" w:eastAsia="仿宋" w:cs="Times New Roman"/>
                <w:b w:val="0"/>
                <w:bCs/>
                <w:color w:val="FF0000"/>
                <w:kern w:val="0"/>
                <w:sz w:val="24"/>
                <w:lang w:val="en-US" w:eastAsia="zh-CN"/>
              </w:rPr>
              <w:t>排土场风蚀扬尘</w:t>
            </w:r>
          </w:p>
          <w:p w14:paraId="0862B490">
            <w:pPr>
              <w:adjustRightInd w:val="0"/>
              <w:snapToGrid w:val="0"/>
              <w:spacing w:line="360" w:lineRule="auto"/>
              <w:ind w:firstLine="480" w:firstLineChars="200"/>
              <w:rPr>
                <w:rFonts w:hint="eastAsia" w:ascii="Times New Roman" w:hAnsi="Times New Roman" w:eastAsia="仿宋" w:cs="Times New Roman"/>
                <w:b w:val="0"/>
                <w:bCs/>
                <w:color w:val="FF0000"/>
                <w:kern w:val="0"/>
                <w:sz w:val="24"/>
              </w:rPr>
            </w:pPr>
            <w:r>
              <w:rPr>
                <w:rFonts w:hint="eastAsia" w:ascii="Times New Roman" w:hAnsi="Times New Roman" w:eastAsia="仿宋" w:cs="Times New Roman"/>
                <w:b w:val="0"/>
                <w:bCs/>
                <w:color w:val="FF0000"/>
                <w:kern w:val="0"/>
                <w:sz w:val="24"/>
              </w:rPr>
              <w:t>排土场剥离表土、废石</w:t>
            </w:r>
            <w:r>
              <w:rPr>
                <w:rFonts w:hint="eastAsia" w:ascii="Times New Roman" w:hAnsi="Times New Roman" w:eastAsia="仿宋" w:cs="Times New Roman"/>
                <w:b w:val="0"/>
                <w:bCs/>
                <w:color w:val="FF0000"/>
                <w:kern w:val="0"/>
                <w:sz w:val="24"/>
                <w:lang w:val="en-US" w:eastAsia="zh-CN"/>
              </w:rPr>
              <w:t>会产生扬尘</w:t>
            </w:r>
            <w:r>
              <w:rPr>
                <w:rFonts w:hint="eastAsia" w:eastAsia="仿宋" w:cs="Times New Roman"/>
                <w:b w:val="0"/>
                <w:bCs/>
                <w:color w:val="FF0000"/>
                <w:kern w:val="0"/>
                <w:sz w:val="24"/>
                <w:lang w:eastAsia="zh-CN"/>
              </w:rPr>
              <w:t>，</w:t>
            </w:r>
            <w:r>
              <w:rPr>
                <w:rFonts w:hint="eastAsia" w:ascii="Times New Roman" w:hAnsi="Times New Roman" w:eastAsia="仿宋" w:cs="Times New Roman"/>
                <w:b w:val="0"/>
                <w:bCs/>
                <w:color w:val="FF0000"/>
                <w:kern w:val="0"/>
                <w:sz w:val="24"/>
              </w:rPr>
              <w:t>本</w:t>
            </w:r>
            <w:r>
              <w:rPr>
                <w:rFonts w:hint="eastAsia" w:eastAsia="仿宋" w:cs="Times New Roman"/>
                <w:b w:val="0"/>
                <w:bCs/>
                <w:color w:val="FF0000"/>
                <w:kern w:val="0"/>
                <w:sz w:val="24"/>
                <w:lang w:val="en-US" w:eastAsia="zh-CN"/>
              </w:rPr>
              <w:t>项目</w:t>
            </w:r>
            <w:r>
              <w:rPr>
                <w:rFonts w:hint="eastAsia" w:ascii="Times New Roman" w:hAnsi="Times New Roman" w:eastAsia="仿宋" w:cs="Times New Roman"/>
                <w:b w:val="0"/>
                <w:bCs/>
                <w:color w:val="FF0000"/>
                <w:kern w:val="0"/>
                <w:sz w:val="24"/>
              </w:rPr>
              <w:t>在排土过程中采用雾炮降尘，排土后及时碾压，并采用防尘网苫盖，抑尘效率可达90%以上，则采取措施后排土场风蚀扬尘排放量为2.722t/a。</w:t>
            </w:r>
          </w:p>
          <w:p w14:paraId="274590AA">
            <w:pPr>
              <w:adjustRightInd w:val="0"/>
              <w:snapToGrid w:val="0"/>
              <w:spacing w:line="360" w:lineRule="auto"/>
              <w:ind w:firstLine="480" w:firstLineChars="200"/>
              <w:rPr>
                <w:rFonts w:hint="eastAsia" w:ascii="Times New Roman" w:hAnsi="Times New Roman" w:eastAsia="仿宋" w:cs="Times New Roman"/>
                <w:b w:val="0"/>
                <w:bCs/>
                <w:color w:val="FF0000"/>
                <w:kern w:val="0"/>
                <w:sz w:val="24"/>
                <w:lang w:val="en-US" w:eastAsia="zh-CN"/>
              </w:rPr>
            </w:pPr>
            <w:r>
              <w:rPr>
                <w:rFonts w:hint="default" w:ascii="Times New Roman" w:hAnsi="Times New Roman" w:eastAsia="仿宋" w:cs="Times New Roman"/>
                <w:b w:val="0"/>
                <w:bCs/>
                <w:color w:val="FF0000"/>
                <w:kern w:val="0"/>
                <w:sz w:val="24"/>
              </w:rPr>
              <w:t>⑷</w:t>
            </w:r>
            <w:r>
              <w:rPr>
                <w:rFonts w:hint="eastAsia" w:ascii="Times New Roman" w:hAnsi="Times New Roman" w:eastAsia="仿宋" w:cs="Times New Roman"/>
                <w:b w:val="0"/>
                <w:bCs/>
                <w:color w:val="FF0000"/>
                <w:kern w:val="0"/>
                <w:sz w:val="24"/>
                <w:lang w:val="en-US" w:eastAsia="zh-CN"/>
              </w:rPr>
              <w:t>食堂油烟废气</w:t>
            </w:r>
          </w:p>
          <w:p w14:paraId="6CFE5D2C">
            <w:pPr>
              <w:adjustRightInd w:val="0"/>
              <w:snapToGrid w:val="0"/>
              <w:spacing w:line="360" w:lineRule="auto"/>
              <w:ind w:firstLine="480" w:firstLineChars="200"/>
              <w:rPr>
                <w:rFonts w:hint="eastAsia" w:ascii="Times New Roman" w:hAnsi="Times New Roman" w:eastAsia="仿宋" w:cs="Times New Roman"/>
                <w:b w:val="0"/>
                <w:bCs/>
                <w:color w:val="FF0000"/>
                <w:kern w:val="0"/>
                <w:sz w:val="24"/>
                <w:lang w:eastAsia="zh-CN"/>
              </w:rPr>
            </w:pPr>
            <w:r>
              <w:rPr>
                <w:rFonts w:hint="default" w:ascii="Times New Roman" w:hAnsi="Times New Roman" w:eastAsia="仿宋" w:cs="Times New Roman"/>
                <w:b w:val="0"/>
                <w:bCs/>
                <w:color w:val="FF0000"/>
                <w:kern w:val="0"/>
                <w:sz w:val="24"/>
              </w:rPr>
              <w:t>本项目运营期食堂会有油烟废气产生</w:t>
            </w:r>
            <w:r>
              <w:rPr>
                <w:rFonts w:hint="eastAsia" w:ascii="Times New Roman" w:hAnsi="Times New Roman" w:eastAsia="仿宋" w:cs="Times New Roman"/>
                <w:b w:val="0"/>
                <w:bCs/>
                <w:color w:val="FF0000"/>
                <w:kern w:val="0"/>
                <w:sz w:val="24"/>
                <w:lang w:eastAsia="zh-CN"/>
              </w:rPr>
              <w:t>，</w:t>
            </w:r>
            <w:r>
              <w:rPr>
                <w:rFonts w:hint="default" w:ascii="Times New Roman" w:hAnsi="Times New Roman" w:eastAsia="仿宋" w:cs="Times New Roman"/>
                <w:b w:val="0"/>
                <w:bCs/>
                <w:color w:val="FF0000"/>
                <w:kern w:val="0"/>
                <w:sz w:val="24"/>
              </w:rPr>
              <w:t>本环评要求建设单位安装小型油烟净化器，净化效率按60%计，则油烟排放量为1.08kg/a，排放浓度为1.2mg/m</w:t>
            </w:r>
            <w:r>
              <w:rPr>
                <w:rFonts w:hint="default" w:ascii="Times New Roman" w:hAnsi="Times New Roman" w:eastAsia="仿宋" w:cs="Times New Roman"/>
                <w:b w:val="0"/>
                <w:bCs/>
                <w:color w:val="FF0000"/>
                <w:kern w:val="0"/>
                <w:sz w:val="24"/>
                <w:vertAlign w:val="superscript"/>
              </w:rPr>
              <w:t>3</w:t>
            </w:r>
            <w:r>
              <w:rPr>
                <w:rFonts w:hint="eastAsia" w:ascii="Times New Roman" w:hAnsi="Times New Roman" w:eastAsia="仿宋" w:cs="Times New Roman"/>
                <w:b w:val="0"/>
                <w:bCs/>
                <w:color w:val="FF0000"/>
                <w:kern w:val="0"/>
                <w:sz w:val="24"/>
                <w:lang w:eastAsia="zh-CN"/>
              </w:rPr>
              <w:t>。</w:t>
            </w:r>
          </w:p>
          <w:p w14:paraId="1AAD6FA7">
            <w:pPr>
              <w:adjustRightInd w:val="0"/>
              <w:snapToGrid w:val="0"/>
              <w:spacing w:line="360" w:lineRule="auto"/>
              <w:ind w:firstLine="480" w:firstLineChars="200"/>
              <w:rPr>
                <w:rFonts w:hint="default" w:ascii="Times New Roman" w:hAnsi="Times New Roman" w:eastAsia="仿宋" w:cs="Times New Roman"/>
                <w:b w:val="0"/>
                <w:bCs/>
                <w:color w:val="FF0000"/>
                <w:kern w:val="0"/>
                <w:sz w:val="24"/>
                <w:lang w:val="en-US" w:eastAsia="zh-CN"/>
              </w:rPr>
            </w:pPr>
            <w:r>
              <w:rPr>
                <w:rFonts w:hint="default" w:ascii="Times New Roman" w:hAnsi="Times New Roman" w:eastAsia="仿宋" w:cs="Times New Roman"/>
                <w:b w:val="0"/>
                <w:bCs/>
                <w:color w:val="FF0000"/>
                <w:kern w:val="0"/>
                <w:sz w:val="24"/>
              </w:rPr>
              <w:t>⑸</w:t>
            </w:r>
            <w:r>
              <w:rPr>
                <w:rFonts w:hint="eastAsia" w:ascii="Times New Roman" w:hAnsi="Times New Roman" w:eastAsia="仿宋" w:cs="Times New Roman"/>
                <w:b w:val="0"/>
                <w:bCs/>
                <w:color w:val="FF0000"/>
                <w:kern w:val="0"/>
                <w:sz w:val="24"/>
                <w:lang w:val="en-US" w:eastAsia="zh-CN"/>
              </w:rPr>
              <w:t>燃油机械尾气</w:t>
            </w:r>
          </w:p>
          <w:p w14:paraId="3C728797">
            <w:pPr>
              <w:adjustRightInd w:val="0"/>
              <w:snapToGrid w:val="0"/>
              <w:spacing w:line="360" w:lineRule="auto"/>
              <w:ind w:firstLine="480" w:firstLineChars="200"/>
              <w:rPr>
                <w:rFonts w:hint="default" w:ascii="Times New Roman" w:hAnsi="Times New Roman" w:eastAsia="仿宋" w:cs="Times New Roman"/>
                <w:b w:val="0"/>
                <w:bCs/>
                <w:color w:val="FF0000"/>
                <w:kern w:val="0"/>
                <w:sz w:val="24"/>
                <w:lang w:val="en-US" w:eastAsia="zh-CN"/>
              </w:rPr>
            </w:pPr>
            <w:r>
              <w:rPr>
                <w:rFonts w:hint="eastAsia" w:ascii="Times New Roman" w:hAnsi="Times New Roman" w:eastAsia="仿宋" w:cs="Times New Roman"/>
                <w:b w:val="0"/>
                <w:bCs/>
                <w:color w:val="FF0000"/>
                <w:kern w:val="0"/>
                <w:sz w:val="24"/>
              </w:rPr>
              <w:t>本项目在生产过程中，矿山开采机械、自卸汽车、装载机、发电机等使用柴油作为燃</w:t>
            </w:r>
            <w:r>
              <w:rPr>
                <w:rFonts w:hint="eastAsia" w:ascii="Times New Roman" w:hAnsi="Times New Roman" w:eastAsia="仿宋" w:cs="Times New Roman"/>
                <w:b w:val="0"/>
                <w:bCs/>
                <w:color w:val="FF0000"/>
                <w:kern w:val="0"/>
                <w:sz w:val="24"/>
                <w:lang w:val="en-US" w:eastAsia="zh-CN"/>
              </w:rPr>
              <w:t>料。SO</w:t>
            </w:r>
            <w:r>
              <w:rPr>
                <w:rFonts w:hint="eastAsia" w:ascii="Times New Roman" w:hAnsi="Times New Roman" w:eastAsia="仿宋" w:cs="Times New Roman"/>
                <w:b w:val="0"/>
                <w:bCs/>
                <w:color w:val="FF0000"/>
                <w:kern w:val="0"/>
                <w:sz w:val="24"/>
                <w:vertAlign w:val="subscript"/>
                <w:lang w:val="en-US" w:eastAsia="zh-CN"/>
              </w:rPr>
              <w:t>2</w:t>
            </w:r>
            <w:r>
              <w:rPr>
                <w:rFonts w:hint="eastAsia" w:ascii="Times New Roman" w:hAnsi="Times New Roman" w:eastAsia="仿宋" w:cs="Times New Roman"/>
                <w:b w:val="0"/>
                <w:bCs/>
                <w:color w:val="FF0000"/>
                <w:kern w:val="0"/>
                <w:sz w:val="24"/>
                <w:lang w:val="en-US" w:eastAsia="zh-CN"/>
              </w:rPr>
              <w:t>产生量为0.021t/a、烟尘产生量为0.03t/a。</w:t>
            </w:r>
          </w:p>
          <w:p w14:paraId="0932111B">
            <w:pPr>
              <w:adjustRightInd w:val="0"/>
              <w:snapToGrid w:val="0"/>
              <w:spacing w:line="360" w:lineRule="auto"/>
              <w:ind w:firstLine="482" w:firstLineChars="200"/>
              <w:rPr>
                <w:rFonts w:hint="default" w:eastAsia="仿宋"/>
                <w:b/>
                <w:color w:val="FF0000"/>
                <w:kern w:val="0"/>
                <w:sz w:val="24"/>
                <w:lang w:val="en-US" w:eastAsia="zh-CN"/>
              </w:rPr>
            </w:pPr>
            <w:r>
              <w:rPr>
                <w:rFonts w:hint="eastAsia" w:eastAsia="仿宋"/>
                <w:b/>
                <w:color w:val="FF0000"/>
                <w:kern w:val="0"/>
                <w:sz w:val="24"/>
                <w:lang w:val="en-US" w:eastAsia="zh-CN"/>
              </w:rPr>
              <w:t>2.2废水</w:t>
            </w:r>
          </w:p>
          <w:p w14:paraId="1BD18652">
            <w:pPr>
              <w:adjustRightInd w:val="0"/>
              <w:snapToGrid w:val="0"/>
              <w:spacing w:line="360" w:lineRule="auto"/>
              <w:ind w:firstLine="480" w:firstLineChars="200"/>
              <w:rPr>
                <w:rFonts w:hint="eastAsia" w:eastAsia="仿宋"/>
                <w:b w:val="0"/>
                <w:bCs w:val="0"/>
                <w:color w:val="FF0000"/>
                <w:kern w:val="0"/>
                <w:sz w:val="24"/>
              </w:rPr>
            </w:pPr>
            <w:r>
              <w:rPr>
                <w:rFonts w:hint="default" w:ascii="Times New Roman" w:hAnsi="Times New Roman" w:eastAsia="仿宋" w:cs="Times New Roman"/>
                <w:b w:val="0"/>
                <w:bCs w:val="0"/>
                <w:color w:val="FF0000"/>
                <w:kern w:val="2"/>
                <w:sz w:val="24"/>
                <w:szCs w:val="24"/>
                <w:lang w:val="en-US" w:eastAsia="zh-CN" w:bidi="ar-SA"/>
              </w:rPr>
              <w:t>⑴</w:t>
            </w:r>
            <w:r>
              <w:rPr>
                <w:rFonts w:hint="eastAsia" w:eastAsia="仿宋"/>
                <w:b w:val="0"/>
                <w:bCs w:val="0"/>
                <w:color w:val="FF0000"/>
                <w:kern w:val="0"/>
                <w:sz w:val="24"/>
              </w:rPr>
              <w:t>生产废水</w:t>
            </w:r>
          </w:p>
          <w:p w14:paraId="090B3490">
            <w:pPr>
              <w:adjustRightInd w:val="0"/>
              <w:snapToGrid w:val="0"/>
              <w:spacing w:line="360" w:lineRule="auto"/>
              <w:ind w:firstLine="480" w:firstLineChars="200"/>
              <w:rPr>
                <w:rFonts w:hint="eastAsia" w:eastAsia="仿宋"/>
                <w:b w:val="0"/>
                <w:bCs w:val="0"/>
                <w:color w:val="FF0000"/>
                <w:kern w:val="0"/>
                <w:sz w:val="24"/>
              </w:rPr>
            </w:pPr>
            <w:r>
              <w:rPr>
                <w:rFonts w:hint="eastAsia" w:eastAsia="仿宋"/>
                <w:b w:val="0"/>
                <w:bCs w:val="0"/>
                <w:color w:val="FF0000"/>
                <w:kern w:val="0"/>
                <w:sz w:val="24"/>
              </w:rPr>
              <w:t>生产用水主要包括矿区降尘洒水、凿岩用水、排土场降尘水及道路洒水。本项目凿岩采用湿式作业，生产过程使用雾炮和洒水车对矿区、排土场、装卸过程和运输道路洒水降尘，生产用水量为10.2m</w:t>
            </w:r>
            <w:r>
              <w:rPr>
                <w:rFonts w:hint="eastAsia" w:eastAsia="仿宋"/>
                <w:b w:val="0"/>
                <w:bCs w:val="0"/>
                <w:color w:val="FF0000"/>
                <w:kern w:val="0"/>
                <w:sz w:val="24"/>
                <w:vertAlign w:val="superscript"/>
              </w:rPr>
              <w:t>3</w:t>
            </w:r>
            <w:r>
              <w:rPr>
                <w:rFonts w:hint="eastAsia" w:eastAsia="仿宋"/>
                <w:b w:val="0"/>
                <w:bCs w:val="0"/>
                <w:color w:val="FF0000"/>
                <w:kern w:val="0"/>
                <w:sz w:val="24"/>
              </w:rPr>
              <w:t>/d，生产用水全部损耗，无废水产生。</w:t>
            </w:r>
          </w:p>
          <w:p w14:paraId="302A7DB0">
            <w:pPr>
              <w:adjustRightInd w:val="0"/>
              <w:snapToGrid w:val="0"/>
              <w:spacing w:line="360" w:lineRule="auto"/>
              <w:ind w:firstLine="480" w:firstLineChars="200"/>
              <w:rPr>
                <w:rFonts w:hint="eastAsia" w:eastAsia="仿宋"/>
                <w:b w:val="0"/>
                <w:bCs w:val="0"/>
                <w:color w:val="FF0000"/>
                <w:kern w:val="0"/>
                <w:sz w:val="24"/>
              </w:rPr>
            </w:pPr>
            <w:r>
              <w:rPr>
                <w:rFonts w:hint="default" w:ascii="Times New Roman" w:hAnsi="Times New Roman" w:eastAsia="仿宋" w:cs="Times New Roman"/>
                <w:b w:val="0"/>
                <w:bCs w:val="0"/>
                <w:color w:val="FF0000"/>
                <w:kern w:val="0"/>
                <w:sz w:val="24"/>
              </w:rPr>
              <w:t>⑵</w:t>
            </w:r>
            <w:r>
              <w:rPr>
                <w:rFonts w:hint="eastAsia" w:eastAsia="仿宋"/>
                <w:b w:val="0"/>
                <w:bCs w:val="0"/>
                <w:color w:val="FF0000"/>
                <w:kern w:val="0"/>
                <w:sz w:val="24"/>
              </w:rPr>
              <w:t>生活污水</w:t>
            </w:r>
          </w:p>
          <w:p w14:paraId="544E7D4D">
            <w:pPr>
              <w:adjustRightInd w:val="0"/>
              <w:snapToGrid w:val="0"/>
              <w:spacing w:line="360" w:lineRule="auto"/>
              <w:ind w:firstLine="480" w:firstLineChars="200"/>
              <w:rPr>
                <w:rFonts w:eastAsia="仿宋"/>
                <w:b w:val="0"/>
                <w:bCs w:val="0"/>
                <w:color w:val="FF0000"/>
                <w:kern w:val="0"/>
                <w:sz w:val="24"/>
              </w:rPr>
            </w:pPr>
            <w:r>
              <w:rPr>
                <w:rFonts w:hint="eastAsia" w:eastAsia="仿宋"/>
                <w:b w:val="0"/>
                <w:bCs w:val="0"/>
                <w:color w:val="FF0000"/>
                <w:kern w:val="0"/>
                <w:sz w:val="24"/>
              </w:rPr>
              <w:t>开采期工作人员为10人，用水指标按40L/d人，排水量按用水量的80%计，污水产生量为0.32m</w:t>
            </w:r>
            <w:r>
              <w:rPr>
                <w:rFonts w:hint="eastAsia" w:eastAsia="仿宋"/>
                <w:b w:val="0"/>
                <w:bCs w:val="0"/>
                <w:color w:val="FF0000"/>
                <w:kern w:val="0"/>
                <w:sz w:val="24"/>
                <w:vertAlign w:val="superscript"/>
              </w:rPr>
              <w:t>3</w:t>
            </w:r>
            <w:r>
              <w:rPr>
                <w:rFonts w:hint="eastAsia" w:eastAsia="仿宋"/>
                <w:b w:val="0"/>
                <w:bCs w:val="0"/>
                <w:color w:val="FF0000"/>
                <w:kern w:val="0"/>
                <w:sz w:val="24"/>
              </w:rPr>
              <w:t>/d，生活污水主要为洗漱废水，水质较为简单，直接用于泼洒降尘，不外排。</w:t>
            </w:r>
          </w:p>
          <w:p w14:paraId="2FD9A6DC">
            <w:pPr>
              <w:adjustRightInd w:val="0"/>
              <w:snapToGrid w:val="0"/>
              <w:spacing w:line="360" w:lineRule="auto"/>
              <w:ind w:firstLine="482" w:firstLineChars="200"/>
              <w:rPr>
                <w:rFonts w:hint="eastAsia" w:eastAsia="仿宋"/>
                <w:b/>
                <w:color w:val="000000" w:themeColor="text1"/>
                <w:kern w:val="0"/>
                <w:sz w:val="24"/>
                <w:lang w:val="en-US" w:eastAsia="zh-CN"/>
                <w14:textFill>
                  <w14:solidFill>
                    <w14:schemeClr w14:val="tx1"/>
                  </w14:solidFill>
                </w14:textFill>
              </w:rPr>
            </w:pPr>
          </w:p>
          <w:p w14:paraId="49C496D4">
            <w:pPr>
              <w:adjustRightInd w:val="0"/>
              <w:snapToGrid w:val="0"/>
              <w:spacing w:line="360" w:lineRule="auto"/>
              <w:ind w:firstLine="482" w:firstLineChars="200"/>
              <w:rPr>
                <w:rFonts w:hint="default" w:eastAsia="仿宋"/>
                <w:b/>
                <w:color w:val="FF0000"/>
                <w:kern w:val="0"/>
                <w:sz w:val="24"/>
                <w:lang w:val="en-US" w:eastAsia="zh-CN"/>
              </w:rPr>
            </w:pPr>
            <w:r>
              <w:rPr>
                <w:rFonts w:hint="eastAsia" w:eastAsia="仿宋"/>
                <w:b/>
                <w:color w:val="FF0000"/>
                <w:kern w:val="0"/>
                <w:sz w:val="24"/>
                <w:lang w:val="en-US" w:eastAsia="zh-CN"/>
              </w:rPr>
              <w:t>2.3噪声</w:t>
            </w:r>
          </w:p>
          <w:p w14:paraId="210487E7">
            <w:pPr>
              <w:adjustRightInd w:val="0"/>
              <w:snapToGrid w:val="0"/>
              <w:spacing w:line="360" w:lineRule="auto"/>
              <w:ind w:firstLine="480" w:firstLineChars="200"/>
              <w:rPr>
                <w:rFonts w:hint="default" w:ascii="Times New Roman" w:hAnsi="Times New Roman" w:eastAsia="仿宋" w:cs="Times New Roman"/>
                <w:b w:val="0"/>
                <w:bCs w:val="0"/>
                <w:color w:val="FF0000"/>
                <w:kern w:val="0"/>
                <w:sz w:val="24"/>
                <w:lang w:val="en-US" w:eastAsia="zh-CN"/>
              </w:rPr>
            </w:pPr>
            <w:r>
              <w:rPr>
                <w:rFonts w:hint="eastAsia" w:ascii="Times New Roman" w:hAnsi="Times New Roman" w:eastAsia="仿宋" w:cs="Times New Roman"/>
                <w:b w:val="0"/>
                <w:bCs w:val="0"/>
                <w:color w:val="FF0000"/>
                <w:kern w:val="0"/>
                <w:sz w:val="24"/>
              </w:rPr>
              <w:t>本项目开采期矿石开采过程中噪声影响主要为钻孔爆破、道路运输、矿石开采等生产过程中产生的噪声，以及空压机、装载机、运输车辆等产生的机械噪声等。经类比分析，本项目采矿作业机械噪声值一般在85~100dB</w:t>
            </w:r>
            <w:r>
              <w:rPr>
                <w:rFonts w:hint="eastAsia" w:ascii="Times New Roman" w:hAnsi="Times New Roman" w:eastAsia="仿宋" w:cs="Times New Roman"/>
                <w:b w:val="0"/>
                <w:bCs w:val="0"/>
                <w:color w:val="FF0000"/>
                <w:kern w:val="0"/>
                <w:sz w:val="24"/>
                <w:lang w:eastAsia="zh-CN"/>
              </w:rPr>
              <w:t>（</w:t>
            </w:r>
            <w:r>
              <w:rPr>
                <w:rFonts w:hint="eastAsia" w:ascii="Times New Roman" w:hAnsi="Times New Roman" w:eastAsia="仿宋" w:cs="Times New Roman"/>
                <w:b w:val="0"/>
                <w:bCs w:val="0"/>
                <w:color w:val="FF0000"/>
                <w:kern w:val="0"/>
                <w:sz w:val="24"/>
              </w:rPr>
              <w:t>A</w:t>
            </w:r>
            <w:r>
              <w:rPr>
                <w:rFonts w:hint="eastAsia" w:ascii="Times New Roman" w:hAnsi="Times New Roman" w:eastAsia="仿宋" w:cs="Times New Roman"/>
                <w:b w:val="0"/>
                <w:bCs w:val="0"/>
                <w:color w:val="FF0000"/>
                <w:kern w:val="0"/>
                <w:sz w:val="24"/>
                <w:lang w:eastAsia="zh-CN"/>
              </w:rPr>
              <w:t>）</w:t>
            </w:r>
            <w:r>
              <w:rPr>
                <w:rFonts w:hint="eastAsia" w:ascii="Times New Roman" w:hAnsi="Times New Roman" w:eastAsia="仿宋" w:cs="Times New Roman"/>
                <w:b w:val="0"/>
                <w:bCs w:val="0"/>
                <w:color w:val="FF0000"/>
                <w:kern w:val="0"/>
                <w:sz w:val="24"/>
              </w:rPr>
              <w:t>之间，以空压机、装载机等工程机械为主</w:t>
            </w:r>
            <w:r>
              <w:rPr>
                <w:rFonts w:hint="eastAsia" w:eastAsia="仿宋" w:cs="Times New Roman"/>
                <w:b w:val="0"/>
                <w:bCs w:val="0"/>
                <w:color w:val="FF0000"/>
                <w:kern w:val="0"/>
                <w:sz w:val="24"/>
                <w:lang w:eastAsia="zh-CN"/>
              </w:rPr>
              <w:t>；</w:t>
            </w:r>
            <w:r>
              <w:rPr>
                <w:rFonts w:hint="eastAsia" w:ascii="Times New Roman" w:hAnsi="Times New Roman" w:eastAsia="仿宋" w:cs="Times New Roman"/>
                <w:b w:val="0"/>
                <w:bCs w:val="0"/>
                <w:color w:val="FF0000"/>
                <w:kern w:val="0"/>
                <w:sz w:val="24"/>
              </w:rPr>
              <w:t>钻孔爆破噪声值最高可达120dB</w:t>
            </w:r>
            <w:r>
              <w:rPr>
                <w:rFonts w:hint="eastAsia" w:ascii="Times New Roman" w:hAnsi="Times New Roman" w:eastAsia="仿宋" w:cs="Times New Roman"/>
                <w:b w:val="0"/>
                <w:bCs w:val="0"/>
                <w:color w:val="FF0000"/>
                <w:kern w:val="0"/>
                <w:sz w:val="24"/>
                <w:lang w:eastAsia="zh-CN"/>
              </w:rPr>
              <w:t>（</w:t>
            </w:r>
            <w:r>
              <w:rPr>
                <w:rFonts w:hint="eastAsia" w:ascii="Times New Roman" w:hAnsi="Times New Roman" w:eastAsia="仿宋" w:cs="Times New Roman"/>
                <w:b w:val="0"/>
                <w:bCs w:val="0"/>
                <w:color w:val="FF0000"/>
                <w:kern w:val="0"/>
                <w:sz w:val="24"/>
              </w:rPr>
              <w:t>A</w:t>
            </w:r>
            <w:r>
              <w:rPr>
                <w:rFonts w:hint="eastAsia" w:ascii="Times New Roman" w:hAnsi="Times New Roman" w:eastAsia="仿宋" w:cs="Times New Roman"/>
                <w:b w:val="0"/>
                <w:bCs w:val="0"/>
                <w:color w:val="FF0000"/>
                <w:kern w:val="0"/>
                <w:sz w:val="24"/>
                <w:lang w:eastAsia="zh-CN"/>
              </w:rPr>
              <w:t>）</w:t>
            </w:r>
            <w:r>
              <w:rPr>
                <w:rFonts w:hint="eastAsia" w:ascii="Times New Roman" w:hAnsi="Times New Roman" w:eastAsia="仿宋" w:cs="Times New Roman"/>
                <w:b w:val="0"/>
                <w:bCs w:val="0"/>
                <w:color w:val="FF0000"/>
                <w:kern w:val="0"/>
                <w:sz w:val="24"/>
              </w:rPr>
              <w:t>，为间歇性噪声</w:t>
            </w:r>
            <w:r>
              <w:rPr>
                <w:rFonts w:hint="eastAsia" w:ascii="Times New Roman" w:hAnsi="Times New Roman" w:eastAsia="仿宋" w:cs="Times New Roman"/>
                <w:b w:val="0"/>
                <w:bCs w:val="0"/>
                <w:color w:val="FF0000"/>
                <w:kern w:val="0"/>
                <w:sz w:val="24"/>
                <w:lang w:eastAsia="zh-CN"/>
              </w:rPr>
              <w:t>；</w:t>
            </w:r>
            <w:r>
              <w:rPr>
                <w:rFonts w:hint="eastAsia" w:ascii="Times New Roman" w:hAnsi="Times New Roman" w:eastAsia="仿宋" w:cs="Times New Roman"/>
                <w:b w:val="0"/>
                <w:bCs w:val="0"/>
                <w:color w:val="FF0000"/>
                <w:kern w:val="0"/>
                <w:sz w:val="24"/>
              </w:rPr>
              <w:t>道路运输噪声主要来源于运输汽车，噪声值一般在85~90dB</w:t>
            </w:r>
            <w:r>
              <w:rPr>
                <w:rFonts w:hint="eastAsia" w:ascii="Times New Roman" w:hAnsi="Times New Roman" w:eastAsia="仿宋" w:cs="Times New Roman"/>
                <w:b w:val="0"/>
                <w:bCs w:val="0"/>
                <w:color w:val="FF0000"/>
                <w:kern w:val="0"/>
                <w:sz w:val="24"/>
                <w:lang w:eastAsia="zh-CN"/>
              </w:rPr>
              <w:t>（</w:t>
            </w:r>
            <w:r>
              <w:rPr>
                <w:rFonts w:hint="eastAsia" w:ascii="Times New Roman" w:hAnsi="Times New Roman" w:eastAsia="仿宋" w:cs="Times New Roman"/>
                <w:b w:val="0"/>
                <w:bCs w:val="0"/>
                <w:color w:val="FF0000"/>
                <w:kern w:val="0"/>
                <w:sz w:val="24"/>
              </w:rPr>
              <w:t>A</w:t>
            </w:r>
            <w:r>
              <w:rPr>
                <w:rFonts w:hint="eastAsia" w:ascii="Times New Roman" w:hAnsi="Times New Roman" w:eastAsia="仿宋" w:cs="Times New Roman"/>
                <w:b w:val="0"/>
                <w:bCs w:val="0"/>
                <w:color w:val="FF0000"/>
                <w:kern w:val="0"/>
                <w:sz w:val="24"/>
                <w:lang w:eastAsia="zh-CN"/>
              </w:rPr>
              <w:t>）</w:t>
            </w:r>
            <w:r>
              <w:rPr>
                <w:rFonts w:hint="eastAsia" w:ascii="Times New Roman" w:hAnsi="Times New Roman" w:eastAsia="仿宋" w:cs="Times New Roman"/>
                <w:b w:val="0"/>
                <w:bCs w:val="0"/>
                <w:color w:val="FF0000"/>
                <w:kern w:val="0"/>
                <w:sz w:val="24"/>
              </w:rPr>
              <w:t>之间，为间歇性噪</w:t>
            </w:r>
            <w:r>
              <w:rPr>
                <w:rFonts w:hint="eastAsia" w:ascii="Times New Roman" w:hAnsi="Times New Roman" w:eastAsia="仿宋" w:cs="Times New Roman"/>
                <w:b w:val="0"/>
                <w:bCs w:val="0"/>
                <w:color w:val="FF0000"/>
                <w:kern w:val="0"/>
                <w:sz w:val="24"/>
                <w:lang w:val="en-US" w:eastAsia="zh-CN"/>
              </w:rPr>
              <w:t>声，通过采取加强管理和距离衰减后，对周围环境影响较小。</w:t>
            </w:r>
          </w:p>
          <w:p w14:paraId="0686D1FD">
            <w:pPr>
              <w:adjustRightInd w:val="0"/>
              <w:snapToGrid w:val="0"/>
              <w:spacing w:line="360" w:lineRule="auto"/>
              <w:ind w:firstLine="482" w:firstLineChars="200"/>
              <w:rPr>
                <w:rFonts w:hint="default" w:eastAsia="仿宋"/>
                <w:b/>
                <w:color w:val="FF0000"/>
                <w:kern w:val="0"/>
                <w:sz w:val="24"/>
                <w:lang w:val="en-US" w:eastAsia="zh-CN"/>
              </w:rPr>
            </w:pPr>
            <w:r>
              <w:rPr>
                <w:rFonts w:hint="eastAsia" w:eastAsia="仿宋"/>
                <w:b/>
                <w:color w:val="FF0000"/>
                <w:kern w:val="0"/>
                <w:sz w:val="24"/>
                <w:lang w:val="en-US" w:eastAsia="zh-CN"/>
              </w:rPr>
              <w:t>2.4固体废物</w:t>
            </w:r>
          </w:p>
          <w:p w14:paraId="2E53AF72">
            <w:pPr>
              <w:adjustRightInd w:val="0"/>
              <w:snapToGrid w:val="0"/>
              <w:spacing w:line="360" w:lineRule="auto"/>
              <w:ind w:firstLine="480" w:firstLineChars="200"/>
              <w:rPr>
                <w:rFonts w:hint="default" w:eastAsia="仿宋"/>
                <w:b/>
                <w:color w:val="FF0000"/>
                <w:kern w:val="0"/>
                <w:sz w:val="24"/>
                <w:lang w:val="en-US"/>
              </w:rPr>
            </w:pPr>
            <w:r>
              <w:rPr>
                <w:rFonts w:hint="default" w:ascii="Times New Roman" w:hAnsi="Times New Roman" w:eastAsia="仿宋" w:cs="Times New Roman"/>
                <w:b w:val="0"/>
                <w:bCs w:val="0"/>
                <w:color w:val="FF0000"/>
                <w:kern w:val="2"/>
                <w:sz w:val="24"/>
                <w:szCs w:val="24"/>
                <w:lang w:val="en-US" w:eastAsia="zh-CN" w:bidi="ar-SA"/>
              </w:rPr>
              <w:t>⑴</w:t>
            </w:r>
            <w:r>
              <w:rPr>
                <w:rFonts w:hint="eastAsia" w:ascii="Times New Roman" w:hAnsi="Times New Roman" w:eastAsia="仿宋" w:cs="Times New Roman"/>
                <w:b w:val="0"/>
                <w:bCs w:val="0"/>
                <w:color w:val="FF0000"/>
                <w:kern w:val="2"/>
                <w:sz w:val="24"/>
                <w:szCs w:val="24"/>
                <w:lang w:val="en-US" w:eastAsia="zh-CN" w:bidi="ar-SA"/>
              </w:rPr>
              <w:t>剥离表土废石</w:t>
            </w:r>
          </w:p>
          <w:p w14:paraId="129040BB">
            <w:pPr>
              <w:adjustRightInd w:val="0"/>
              <w:snapToGrid w:val="0"/>
              <w:spacing w:line="360" w:lineRule="auto"/>
              <w:ind w:firstLine="480" w:firstLineChars="200"/>
              <w:rPr>
                <w:rFonts w:hint="eastAsia" w:ascii="Times New Roman" w:hAnsi="Times New Roman" w:eastAsia="仿宋" w:cs="Times New Roman"/>
                <w:b w:val="0"/>
                <w:bCs w:val="0"/>
                <w:color w:val="FF0000"/>
                <w:kern w:val="0"/>
                <w:sz w:val="24"/>
              </w:rPr>
            </w:pPr>
            <w:r>
              <w:rPr>
                <w:rFonts w:hint="eastAsia" w:ascii="Times New Roman" w:hAnsi="Times New Roman" w:eastAsia="仿宋" w:cs="Times New Roman"/>
                <w:b w:val="0"/>
                <w:bCs w:val="0"/>
                <w:color w:val="FF0000"/>
                <w:kern w:val="0"/>
                <w:sz w:val="24"/>
                <w:lang w:val="en-US" w:eastAsia="zh-CN"/>
              </w:rPr>
              <w:t>本项目</w:t>
            </w:r>
            <w:r>
              <w:rPr>
                <w:rFonts w:hint="eastAsia" w:ascii="Times New Roman" w:hAnsi="Times New Roman" w:eastAsia="仿宋" w:cs="Times New Roman"/>
                <w:b w:val="0"/>
                <w:bCs w:val="0"/>
                <w:color w:val="FF0000"/>
                <w:kern w:val="0"/>
                <w:sz w:val="24"/>
              </w:rPr>
              <w:t>表土和废石产生量分别为1530m</w:t>
            </w:r>
            <w:r>
              <w:rPr>
                <w:rFonts w:hint="eastAsia" w:ascii="Times New Roman" w:hAnsi="Times New Roman" w:eastAsia="仿宋" w:cs="Times New Roman"/>
                <w:b w:val="0"/>
                <w:bCs w:val="0"/>
                <w:color w:val="FF0000"/>
                <w:kern w:val="0"/>
                <w:sz w:val="24"/>
                <w:vertAlign w:val="superscript"/>
                <w:lang w:val="en-US" w:eastAsia="zh-CN"/>
              </w:rPr>
              <w:t>3</w:t>
            </w:r>
            <w:r>
              <w:rPr>
                <w:rFonts w:hint="eastAsia" w:ascii="Times New Roman" w:hAnsi="Times New Roman" w:eastAsia="仿宋" w:cs="Times New Roman"/>
                <w:b w:val="0"/>
                <w:bCs w:val="0"/>
                <w:color w:val="FF0000"/>
                <w:kern w:val="0"/>
                <w:sz w:val="24"/>
              </w:rPr>
              <w:t>/a和13770m</w:t>
            </w:r>
            <w:r>
              <w:rPr>
                <w:rFonts w:hint="eastAsia" w:ascii="Times New Roman" w:hAnsi="Times New Roman" w:eastAsia="仿宋" w:cs="Times New Roman"/>
                <w:b w:val="0"/>
                <w:bCs w:val="0"/>
                <w:color w:val="FF0000"/>
                <w:kern w:val="0"/>
                <w:sz w:val="24"/>
                <w:vertAlign w:val="superscript"/>
              </w:rPr>
              <w:t>3</w:t>
            </w:r>
            <w:r>
              <w:rPr>
                <w:rFonts w:hint="eastAsia" w:ascii="Times New Roman" w:hAnsi="Times New Roman" w:eastAsia="仿宋" w:cs="Times New Roman"/>
                <w:b w:val="0"/>
                <w:bCs w:val="0"/>
                <w:color w:val="FF0000"/>
                <w:kern w:val="0"/>
                <w:sz w:val="24"/>
              </w:rPr>
              <w:t>/a。表土、废石全部运往排土场分区暂存，剥离表土用于开采后期“边开采、边恢复”时的生态恢复用土，废石外售用于公路材料中的路基垫层综合利用。</w:t>
            </w:r>
          </w:p>
          <w:p w14:paraId="62D7EFD8">
            <w:pPr>
              <w:adjustRightInd w:val="0"/>
              <w:snapToGrid w:val="0"/>
              <w:spacing w:line="360" w:lineRule="auto"/>
              <w:ind w:firstLine="480" w:firstLineChars="200"/>
              <w:rPr>
                <w:rFonts w:hint="eastAsia" w:eastAsia="仿宋"/>
                <w:b/>
                <w:color w:val="FF0000"/>
                <w:kern w:val="0"/>
                <w:sz w:val="24"/>
                <w:lang w:val="en-US" w:eastAsia="zh-CN"/>
              </w:rPr>
            </w:pPr>
            <w:r>
              <w:rPr>
                <w:rFonts w:hint="default" w:ascii="Times New Roman" w:hAnsi="Times New Roman" w:eastAsia="仿宋" w:cs="Times New Roman"/>
                <w:b w:val="0"/>
                <w:bCs w:val="0"/>
                <w:color w:val="FF0000"/>
                <w:kern w:val="0"/>
                <w:sz w:val="24"/>
              </w:rPr>
              <w:t>⑵</w:t>
            </w:r>
            <w:r>
              <w:rPr>
                <w:rFonts w:hint="eastAsia" w:ascii="Times New Roman" w:hAnsi="Times New Roman" w:eastAsia="仿宋" w:cs="Times New Roman"/>
                <w:b w:val="0"/>
                <w:bCs w:val="0"/>
                <w:color w:val="FF0000"/>
                <w:kern w:val="0"/>
                <w:sz w:val="24"/>
                <w:lang w:val="en-US" w:eastAsia="zh-CN"/>
              </w:rPr>
              <w:t>生活垃圾</w:t>
            </w:r>
          </w:p>
          <w:p w14:paraId="2E4440C1">
            <w:pPr>
              <w:adjustRightInd w:val="0"/>
              <w:snapToGrid w:val="0"/>
              <w:spacing w:line="360" w:lineRule="auto"/>
              <w:ind w:firstLine="480" w:firstLineChars="200"/>
              <w:rPr>
                <w:rFonts w:hint="eastAsia" w:ascii="Times New Roman" w:hAnsi="Times New Roman" w:eastAsia="仿宋" w:cs="Times New Roman"/>
                <w:b w:val="0"/>
                <w:bCs w:val="0"/>
                <w:color w:val="FF0000"/>
                <w:kern w:val="0"/>
                <w:sz w:val="24"/>
                <w:vertAlign w:val="baseline"/>
              </w:rPr>
            </w:pPr>
            <w:r>
              <w:rPr>
                <w:rFonts w:hint="eastAsia" w:ascii="Times New Roman" w:hAnsi="Times New Roman" w:eastAsia="仿宋" w:cs="Times New Roman"/>
                <w:b w:val="0"/>
                <w:bCs w:val="0"/>
                <w:color w:val="FF0000"/>
                <w:kern w:val="0"/>
                <w:sz w:val="24"/>
                <w:vertAlign w:val="baseline"/>
              </w:rPr>
              <w:t>本项目生活垃圾产生量约为1.5t</w:t>
            </w:r>
            <w:r>
              <w:rPr>
                <w:rFonts w:hint="eastAsia" w:ascii="Times New Roman" w:hAnsi="Times New Roman" w:eastAsia="仿宋" w:cs="Times New Roman"/>
                <w:b w:val="0"/>
                <w:bCs w:val="0"/>
                <w:color w:val="FF0000"/>
                <w:kern w:val="0"/>
                <w:sz w:val="24"/>
                <w:vertAlign w:val="baseline"/>
                <w:lang w:val="en-US" w:eastAsia="zh-CN"/>
              </w:rPr>
              <w:t>/</w:t>
            </w:r>
            <w:r>
              <w:rPr>
                <w:rFonts w:hint="eastAsia" w:ascii="Times New Roman" w:hAnsi="Times New Roman" w:eastAsia="仿宋" w:cs="Times New Roman"/>
                <w:b w:val="0"/>
                <w:bCs w:val="0"/>
                <w:color w:val="FF0000"/>
                <w:kern w:val="0"/>
                <w:sz w:val="24"/>
                <w:vertAlign w:val="baseline"/>
              </w:rPr>
              <w:t>a，生活垃圾集中收集后定期运往平川镇三二村生活垃圾堆存点统一处置。</w:t>
            </w:r>
          </w:p>
          <w:p w14:paraId="43E23812">
            <w:pPr>
              <w:adjustRightInd w:val="0"/>
              <w:snapToGrid w:val="0"/>
              <w:spacing w:line="360" w:lineRule="auto"/>
              <w:ind w:firstLine="480" w:firstLineChars="200"/>
              <w:rPr>
                <w:rFonts w:hint="eastAsia" w:eastAsia="仿宋"/>
                <w:b/>
                <w:color w:val="FF0000"/>
                <w:kern w:val="0"/>
                <w:sz w:val="24"/>
                <w:lang w:val="en-US" w:eastAsia="zh-CN"/>
              </w:rPr>
            </w:pPr>
            <w:r>
              <w:rPr>
                <w:rFonts w:hint="default" w:ascii="Times New Roman" w:hAnsi="Times New Roman" w:eastAsia="仿宋" w:cs="Times New Roman"/>
                <w:b w:val="0"/>
                <w:bCs/>
                <w:color w:val="FF0000"/>
                <w:kern w:val="0"/>
                <w:sz w:val="24"/>
              </w:rPr>
              <w:t>⑶</w:t>
            </w:r>
            <w:r>
              <w:rPr>
                <w:rFonts w:hint="eastAsia" w:ascii="Times New Roman" w:hAnsi="Times New Roman" w:eastAsia="仿宋" w:cs="Times New Roman"/>
                <w:b w:val="0"/>
                <w:bCs/>
                <w:color w:val="FF0000"/>
                <w:kern w:val="0"/>
                <w:sz w:val="24"/>
                <w:lang w:val="en-US" w:eastAsia="zh-CN"/>
              </w:rPr>
              <w:t>危险废物</w:t>
            </w:r>
          </w:p>
          <w:p w14:paraId="02E987C2">
            <w:pPr>
              <w:adjustRightInd w:val="0"/>
              <w:snapToGrid w:val="0"/>
              <w:spacing w:line="360" w:lineRule="auto"/>
              <w:ind w:firstLine="480" w:firstLineChars="200"/>
              <w:rPr>
                <w:rFonts w:hint="default" w:ascii="Times New Roman" w:hAnsi="Times New Roman" w:eastAsia="仿宋" w:cs="Times New Roman"/>
                <w:b w:val="0"/>
                <w:bCs w:val="0"/>
                <w:color w:val="FF0000"/>
                <w:kern w:val="0"/>
                <w:sz w:val="24"/>
                <w:vertAlign w:val="baseline"/>
                <w:lang w:val="en-US" w:eastAsia="zh-CN"/>
              </w:rPr>
            </w:pPr>
            <w:r>
              <w:rPr>
                <w:rFonts w:hint="eastAsia" w:ascii="Times New Roman" w:hAnsi="Times New Roman" w:eastAsia="仿宋" w:cs="Times New Roman"/>
                <w:b w:val="0"/>
                <w:bCs w:val="0"/>
                <w:color w:val="FF0000"/>
                <w:kern w:val="0"/>
                <w:sz w:val="24"/>
                <w:vertAlign w:val="baseline"/>
              </w:rPr>
              <w:t>本项目运营期产生的危险废物主要为废润滑油</w:t>
            </w:r>
            <w:r>
              <w:rPr>
                <w:rFonts w:hint="eastAsia" w:ascii="Times New Roman" w:hAnsi="Times New Roman" w:eastAsia="仿宋" w:cs="Times New Roman"/>
                <w:b w:val="0"/>
                <w:bCs w:val="0"/>
                <w:color w:val="FF0000"/>
                <w:kern w:val="0"/>
                <w:sz w:val="24"/>
                <w:vertAlign w:val="baseline"/>
                <w:lang w:eastAsia="zh-CN"/>
              </w:rPr>
              <w:t>，</w:t>
            </w:r>
            <w:r>
              <w:rPr>
                <w:rFonts w:hint="eastAsia" w:ascii="Times New Roman" w:hAnsi="Times New Roman" w:eastAsia="仿宋" w:cs="Times New Roman"/>
                <w:b w:val="0"/>
                <w:bCs w:val="0"/>
                <w:color w:val="FF0000"/>
                <w:kern w:val="0"/>
                <w:sz w:val="24"/>
                <w:vertAlign w:val="baseline"/>
                <w:lang w:val="en-US" w:eastAsia="zh-CN"/>
              </w:rPr>
              <w:t>废润滑油产生量为0.2t/a，废润滑油在厂区危险废物暂存间暂存后定期交由有资质单位处置。</w:t>
            </w:r>
          </w:p>
          <w:p w14:paraId="68FE1106">
            <w:pPr>
              <w:adjustRightInd w:val="0"/>
              <w:snapToGrid w:val="0"/>
              <w:spacing w:line="360" w:lineRule="auto"/>
              <w:ind w:firstLine="482" w:firstLineChars="200"/>
              <w:rPr>
                <w:rFonts w:eastAsia="仿宋"/>
                <w:b/>
                <w:color w:val="FF0000"/>
                <w:kern w:val="0"/>
                <w:sz w:val="24"/>
              </w:rPr>
            </w:pPr>
            <w:r>
              <w:rPr>
                <w:rFonts w:hint="eastAsia" w:eastAsia="仿宋"/>
                <w:b/>
                <w:color w:val="FF0000"/>
                <w:kern w:val="0"/>
                <w:sz w:val="24"/>
                <w:lang w:eastAsia="zh-CN"/>
              </w:rPr>
              <w:t>3.</w:t>
            </w:r>
            <w:r>
              <w:rPr>
                <w:rFonts w:eastAsia="仿宋"/>
                <w:b/>
                <w:color w:val="FF0000"/>
                <w:kern w:val="0"/>
                <w:sz w:val="24"/>
              </w:rPr>
              <w:t>现有主要环境问题及整改措施</w:t>
            </w:r>
          </w:p>
          <w:p w14:paraId="37B45A18">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eastAsia" w:ascii="Times New Roman" w:hAnsi="Times New Roman" w:eastAsia="仿宋" w:cs="Times New Roman"/>
                <w:b w:val="0"/>
                <w:bCs w:val="0"/>
                <w:snapToGrid/>
                <w:color w:val="FF0000"/>
                <w:kern w:val="0"/>
                <w:sz w:val="24"/>
                <w:szCs w:val="24"/>
                <w:vertAlign w:val="baseline"/>
                <w:lang w:val="en-US" w:eastAsia="zh-CN" w:bidi="ar-SA"/>
              </w:rPr>
            </w:pPr>
            <w:r>
              <w:rPr>
                <w:rFonts w:hint="eastAsia" w:ascii="Times New Roman" w:hAnsi="Times New Roman" w:eastAsia="仿宋" w:cs="Times New Roman"/>
                <w:b/>
                <w:snapToGrid/>
                <w:color w:val="FF0000"/>
                <w:kern w:val="0"/>
                <w:sz w:val="24"/>
                <w:szCs w:val="24"/>
                <w:lang w:val="en-US" w:eastAsia="zh-CN" w:bidi="ar-SA"/>
              </w:rPr>
              <w:t>3.1现有主要环境问题</w:t>
            </w:r>
          </w:p>
          <w:p w14:paraId="34243BC8">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eastAsia" w:ascii="Times New Roman" w:hAnsi="Times New Roman" w:eastAsia="仿宋" w:cs="Times New Roman"/>
                <w:b w:val="0"/>
                <w:bCs w:val="0"/>
                <w:snapToGrid/>
                <w:color w:val="FF0000"/>
                <w:kern w:val="0"/>
                <w:sz w:val="24"/>
                <w:szCs w:val="24"/>
                <w:vertAlign w:val="baseline"/>
                <w:lang w:val="en-US" w:eastAsia="zh-CN" w:bidi="ar-SA"/>
              </w:rPr>
            </w:pPr>
            <w:r>
              <w:rPr>
                <w:rFonts w:hint="eastAsia" w:ascii="Times New Roman" w:hAnsi="Times New Roman" w:eastAsia="仿宋" w:cs="Times New Roman"/>
                <w:b w:val="0"/>
                <w:bCs w:val="0"/>
                <w:snapToGrid/>
                <w:color w:val="FF0000"/>
                <w:kern w:val="0"/>
                <w:sz w:val="24"/>
                <w:szCs w:val="24"/>
                <w:vertAlign w:val="baseline"/>
                <w:lang w:val="en-US" w:eastAsia="zh-CN" w:bidi="ar-SA"/>
              </w:rPr>
              <w:t>根据现场调查，现有主要环境问题如下：</w:t>
            </w:r>
          </w:p>
          <w:p w14:paraId="2418E828">
            <w:pPr>
              <w:pStyle w:val="43"/>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仿宋" w:cs="Times New Roman"/>
                <w:b w:val="0"/>
                <w:bCs w:val="0"/>
                <w:snapToGrid/>
                <w:color w:val="FF0000"/>
                <w:kern w:val="0"/>
                <w:sz w:val="24"/>
                <w:szCs w:val="24"/>
                <w:vertAlign w:val="baseline"/>
                <w:lang w:val="en-US" w:eastAsia="zh-CN" w:bidi="ar-SA"/>
              </w:rPr>
            </w:pPr>
            <w:r>
              <w:rPr>
                <w:rFonts w:hint="default" w:ascii="Times New Roman" w:hAnsi="Times New Roman" w:eastAsia="仿宋" w:cs="Times New Roman"/>
                <w:b w:val="0"/>
                <w:bCs w:val="0"/>
                <w:snapToGrid/>
                <w:color w:val="FF0000"/>
                <w:kern w:val="0"/>
                <w:sz w:val="24"/>
                <w:szCs w:val="24"/>
                <w:vertAlign w:val="baseline"/>
                <w:lang w:val="en-US" w:eastAsia="zh-CN" w:bidi="ar-SA"/>
              </w:rPr>
              <w:t>⑴矿区存在北侧历史采坑、矿区西侧历史采坑露天采场超出设计剥离范围；</w:t>
            </w:r>
          </w:p>
          <w:p w14:paraId="272C1E91">
            <w:pPr>
              <w:pStyle w:val="43"/>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仿宋" w:cs="Times New Roman"/>
                <w:b w:val="0"/>
                <w:bCs w:val="0"/>
                <w:snapToGrid/>
                <w:color w:val="FF0000"/>
                <w:kern w:val="0"/>
                <w:sz w:val="24"/>
                <w:szCs w:val="24"/>
                <w:vertAlign w:val="baseline"/>
                <w:lang w:val="en-US" w:eastAsia="zh-CN" w:bidi="ar-SA"/>
              </w:rPr>
            </w:pPr>
            <w:r>
              <w:rPr>
                <w:rFonts w:hint="default" w:ascii="Times New Roman" w:hAnsi="Times New Roman" w:eastAsia="仿宋" w:cs="Times New Roman"/>
                <w:b w:val="0"/>
                <w:bCs w:val="0"/>
                <w:snapToGrid/>
                <w:color w:val="FF0000"/>
                <w:kern w:val="0"/>
                <w:sz w:val="24"/>
                <w:szCs w:val="24"/>
                <w:vertAlign w:val="baseline"/>
                <w:lang w:val="en-US" w:eastAsia="zh-CN" w:bidi="ar-SA"/>
              </w:rPr>
              <w:t>⑵原破碎站越界布置；</w:t>
            </w:r>
          </w:p>
          <w:p w14:paraId="793C02E8">
            <w:pPr>
              <w:pStyle w:val="43"/>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仿宋" w:cs="Times New Roman"/>
                <w:b w:val="0"/>
                <w:bCs w:val="0"/>
                <w:snapToGrid/>
                <w:color w:val="FF0000"/>
                <w:kern w:val="0"/>
                <w:sz w:val="24"/>
                <w:szCs w:val="24"/>
                <w:vertAlign w:val="baseline"/>
                <w:lang w:val="en-US" w:eastAsia="zh-CN" w:bidi="ar-SA"/>
              </w:rPr>
            </w:pPr>
            <w:r>
              <w:rPr>
                <w:rFonts w:hint="default" w:ascii="Times New Roman" w:hAnsi="Times New Roman" w:eastAsia="仿宋" w:cs="Times New Roman"/>
                <w:b w:val="0"/>
                <w:bCs w:val="0"/>
                <w:snapToGrid/>
                <w:color w:val="FF0000"/>
                <w:kern w:val="0"/>
                <w:sz w:val="24"/>
                <w:szCs w:val="24"/>
                <w:vertAlign w:val="baseline"/>
                <w:lang w:val="en-US" w:eastAsia="zh-CN" w:bidi="ar-SA"/>
              </w:rPr>
              <w:t>⑶矿区南侧设置排土场，排土场占地面积0.235hm</w:t>
            </w:r>
            <w:r>
              <w:rPr>
                <w:rFonts w:hint="default" w:ascii="Times New Roman" w:hAnsi="Times New Roman" w:eastAsia="仿宋" w:cs="Times New Roman"/>
                <w:b w:val="0"/>
                <w:bCs w:val="0"/>
                <w:snapToGrid/>
                <w:color w:val="FF0000"/>
                <w:kern w:val="0"/>
                <w:sz w:val="24"/>
                <w:szCs w:val="24"/>
                <w:vertAlign w:val="superscript"/>
                <w:lang w:val="en-US" w:eastAsia="zh-CN" w:bidi="ar-SA"/>
              </w:rPr>
              <w:t>2</w:t>
            </w:r>
            <w:r>
              <w:rPr>
                <w:rFonts w:hint="default" w:ascii="Times New Roman" w:hAnsi="Times New Roman" w:eastAsia="仿宋" w:cs="Times New Roman"/>
                <w:b w:val="0"/>
                <w:bCs w:val="0"/>
                <w:snapToGrid/>
                <w:color w:val="FF0000"/>
                <w:kern w:val="0"/>
                <w:sz w:val="24"/>
                <w:szCs w:val="24"/>
                <w:vertAlign w:val="baseline"/>
                <w:lang w:val="en-US" w:eastAsia="zh-CN" w:bidi="ar-SA"/>
              </w:rPr>
              <w:t>，排土场高度约6m，排土场已排废石约1.2万m</w:t>
            </w:r>
            <w:r>
              <w:rPr>
                <w:rFonts w:hint="default" w:ascii="Times New Roman" w:hAnsi="Times New Roman" w:eastAsia="仿宋" w:cs="Times New Roman"/>
                <w:b w:val="0"/>
                <w:bCs w:val="0"/>
                <w:snapToGrid/>
                <w:color w:val="FF0000"/>
                <w:kern w:val="0"/>
                <w:sz w:val="24"/>
                <w:szCs w:val="24"/>
                <w:vertAlign w:val="superscript"/>
                <w:lang w:val="en-US" w:eastAsia="zh-CN" w:bidi="ar-SA"/>
              </w:rPr>
              <w:t>3</w:t>
            </w:r>
            <w:r>
              <w:rPr>
                <w:rFonts w:hint="default" w:ascii="Times New Roman" w:hAnsi="Times New Roman" w:eastAsia="仿宋" w:cs="Times New Roman"/>
                <w:b w:val="0"/>
                <w:bCs w:val="0"/>
                <w:snapToGrid/>
                <w:color w:val="FF0000"/>
                <w:kern w:val="0"/>
                <w:sz w:val="24"/>
                <w:szCs w:val="24"/>
                <w:vertAlign w:val="baseline"/>
                <w:lang w:val="en-US" w:eastAsia="zh-CN" w:bidi="ar-SA"/>
              </w:rPr>
              <w:t>；</w:t>
            </w:r>
          </w:p>
          <w:p w14:paraId="51A54E4C">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b w:val="0"/>
                <w:bCs w:val="0"/>
                <w:snapToGrid/>
                <w:color w:val="FF0000"/>
                <w:kern w:val="0"/>
                <w:sz w:val="24"/>
                <w:szCs w:val="24"/>
                <w:vertAlign w:val="baseline"/>
                <w:lang w:val="en-US" w:eastAsia="zh-CN" w:bidi="ar-SA"/>
              </w:rPr>
            </w:pPr>
            <w:r>
              <w:rPr>
                <w:rFonts w:hint="default" w:ascii="Times New Roman" w:hAnsi="Times New Roman" w:eastAsia="仿宋" w:cs="Times New Roman"/>
                <w:b w:val="0"/>
                <w:bCs w:val="0"/>
                <w:snapToGrid/>
                <w:color w:val="FF0000"/>
                <w:kern w:val="0"/>
                <w:sz w:val="24"/>
                <w:szCs w:val="24"/>
                <w:vertAlign w:val="baseline"/>
                <w:lang w:val="en-US" w:eastAsia="zh-CN" w:bidi="ar-SA"/>
              </w:rPr>
              <w:t>⑷现有工程未设置危废贮存点。</w:t>
            </w:r>
          </w:p>
          <w:p w14:paraId="176855E2">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b w:val="0"/>
                <w:bCs w:val="0"/>
                <w:snapToGrid/>
                <w:color w:val="FF0000"/>
                <w:kern w:val="0"/>
                <w:sz w:val="24"/>
                <w:szCs w:val="24"/>
                <w:vertAlign w:val="baseline"/>
                <w:lang w:val="en-US" w:eastAsia="zh-CN" w:bidi="ar-SA"/>
              </w:rPr>
            </w:pPr>
            <w:r>
              <w:rPr>
                <w:rFonts w:hint="eastAsia" w:ascii="Times New Roman" w:hAnsi="Times New Roman" w:eastAsia="仿宋" w:cs="Times New Roman"/>
                <w:b w:val="0"/>
                <w:bCs w:val="0"/>
                <w:snapToGrid/>
                <w:color w:val="FF0000"/>
                <w:kern w:val="0"/>
                <w:sz w:val="24"/>
                <w:szCs w:val="24"/>
                <w:vertAlign w:val="baseline"/>
                <w:lang w:val="en-US" w:eastAsia="zh-CN" w:bidi="ar-SA"/>
              </w:rPr>
              <w:t>根据调查，2026年5月29日，由临泽县自然资源局组织对临泽县金源矿业有限责任公司平川镇羊圈湾冶金用石英岩矿矿山地质环境恢复治理进行了验收。验收记录表见附件。</w:t>
            </w:r>
          </w:p>
          <w:p w14:paraId="250B48EE">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b w:val="0"/>
                <w:bCs w:val="0"/>
                <w:snapToGrid/>
                <w:color w:val="FF0000"/>
                <w:kern w:val="0"/>
                <w:sz w:val="24"/>
                <w:szCs w:val="24"/>
                <w:vertAlign w:val="baseline"/>
                <w:lang w:val="en-US" w:eastAsia="zh-CN" w:bidi="ar-SA"/>
              </w:rPr>
            </w:pPr>
            <w:r>
              <w:rPr>
                <w:rFonts w:hint="default" w:ascii="Times New Roman" w:hAnsi="Times New Roman" w:eastAsia="仿宋" w:cs="Times New Roman"/>
                <w:b w:val="0"/>
                <w:bCs w:val="0"/>
                <w:snapToGrid/>
                <w:color w:val="FF0000"/>
                <w:kern w:val="0"/>
                <w:sz w:val="24"/>
                <w:szCs w:val="24"/>
                <w:vertAlign w:val="baseline"/>
                <w:lang w:val="en-US" w:eastAsia="zh-CN" w:bidi="ar-SA"/>
              </w:rPr>
              <w:t>⑴1号地块</w:t>
            </w:r>
            <w:r>
              <w:rPr>
                <w:rFonts w:hint="eastAsia" w:ascii="Times New Roman" w:hAnsi="Times New Roman" w:eastAsia="仿宋" w:cs="Times New Roman"/>
                <w:b w:val="0"/>
                <w:bCs w:val="0"/>
                <w:snapToGrid/>
                <w:color w:val="FF0000"/>
                <w:kern w:val="0"/>
                <w:sz w:val="24"/>
                <w:szCs w:val="24"/>
                <w:vertAlign w:val="baseline"/>
                <w:lang w:val="en-US" w:eastAsia="zh-CN" w:bidi="ar-SA"/>
              </w:rPr>
              <w:t>：</w:t>
            </w:r>
            <w:r>
              <w:rPr>
                <w:rFonts w:hint="default" w:ascii="Times New Roman" w:hAnsi="Times New Roman" w:eastAsia="仿宋" w:cs="Times New Roman"/>
                <w:b w:val="0"/>
                <w:bCs w:val="0"/>
                <w:snapToGrid/>
                <w:color w:val="FF0000"/>
                <w:kern w:val="0"/>
                <w:sz w:val="24"/>
                <w:szCs w:val="24"/>
                <w:vertAlign w:val="baseline"/>
                <w:lang w:val="en-US" w:eastAsia="zh-CN" w:bidi="ar-SA"/>
              </w:rPr>
              <w:t>拆除移动式地磅房、地磅，并连同地磅房南侧清理石料后地面没有覆土的区域进行整体整平，达到可自然恢复的条件及与周边地形地貌相协调的状态</w:t>
            </w:r>
            <w:r>
              <w:rPr>
                <w:rFonts w:hint="eastAsia" w:ascii="Times New Roman" w:hAnsi="Times New Roman" w:eastAsia="仿宋" w:cs="Times New Roman"/>
                <w:b w:val="0"/>
                <w:bCs w:val="0"/>
                <w:snapToGrid/>
                <w:color w:val="FF0000"/>
                <w:kern w:val="0"/>
                <w:sz w:val="24"/>
                <w:szCs w:val="24"/>
                <w:vertAlign w:val="baseline"/>
                <w:lang w:val="en-US" w:eastAsia="zh-CN" w:bidi="ar-SA"/>
              </w:rPr>
              <w:t>；</w:t>
            </w:r>
          </w:p>
          <w:p w14:paraId="238F485F">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b w:val="0"/>
                <w:bCs w:val="0"/>
                <w:snapToGrid/>
                <w:color w:val="FF0000"/>
                <w:kern w:val="0"/>
                <w:sz w:val="24"/>
                <w:szCs w:val="24"/>
                <w:vertAlign w:val="baseline"/>
                <w:lang w:val="en-US" w:eastAsia="zh-CN" w:bidi="ar-SA"/>
              </w:rPr>
            </w:pPr>
            <w:r>
              <w:rPr>
                <w:rFonts w:hint="default" w:ascii="Times New Roman" w:hAnsi="Times New Roman" w:eastAsia="仿宋" w:cs="Times New Roman"/>
                <w:b w:val="0"/>
                <w:bCs w:val="0"/>
                <w:snapToGrid/>
                <w:color w:val="FF0000"/>
                <w:kern w:val="0"/>
                <w:sz w:val="24"/>
                <w:szCs w:val="24"/>
                <w:vertAlign w:val="baseline"/>
                <w:lang w:val="en-US" w:eastAsia="zh-CN" w:bidi="ar-SA"/>
              </w:rPr>
              <w:t>⑵2号地块</w:t>
            </w:r>
            <w:r>
              <w:rPr>
                <w:rFonts w:hint="eastAsia" w:ascii="Times New Roman" w:hAnsi="Times New Roman" w:eastAsia="仿宋" w:cs="Times New Roman"/>
                <w:b w:val="0"/>
                <w:bCs w:val="0"/>
                <w:snapToGrid/>
                <w:color w:val="FF0000"/>
                <w:kern w:val="0"/>
                <w:sz w:val="24"/>
                <w:szCs w:val="24"/>
                <w:vertAlign w:val="baseline"/>
                <w:lang w:val="en-US" w:eastAsia="zh-CN" w:bidi="ar-SA"/>
              </w:rPr>
              <w:t>：</w:t>
            </w:r>
            <w:r>
              <w:rPr>
                <w:rFonts w:hint="default" w:ascii="Times New Roman" w:hAnsi="Times New Roman" w:eastAsia="仿宋" w:cs="Times New Roman"/>
                <w:b w:val="0"/>
                <w:bCs w:val="0"/>
                <w:snapToGrid/>
                <w:color w:val="FF0000"/>
                <w:kern w:val="0"/>
                <w:sz w:val="24"/>
                <w:szCs w:val="24"/>
                <w:vertAlign w:val="baseline"/>
                <w:lang w:val="en-US" w:eastAsia="zh-CN" w:bidi="ar-SA"/>
              </w:rPr>
              <w:t>拆除移动式办公生活用房及硬化的地面，移除跨矿区边界的料堆，对恢复的地面进行整平，达到可自然恢复的条件及与周边地形地貌相协调的状态</w:t>
            </w:r>
            <w:r>
              <w:rPr>
                <w:rFonts w:hint="eastAsia" w:ascii="Times New Roman" w:hAnsi="Times New Roman" w:eastAsia="仿宋" w:cs="Times New Roman"/>
                <w:b w:val="0"/>
                <w:bCs w:val="0"/>
                <w:snapToGrid/>
                <w:color w:val="FF0000"/>
                <w:kern w:val="0"/>
                <w:sz w:val="24"/>
                <w:szCs w:val="24"/>
                <w:vertAlign w:val="baseline"/>
                <w:lang w:val="en-US" w:eastAsia="zh-CN" w:bidi="ar-SA"/>
              </w:rPr>
              <w:t>；</w:t>
            </w:r>
          </w:p>
          <w:p w14:paraId="3B4D777F">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b w:val="0"/>
                <w:bCs w:val="0"/>
                <w:snapToGrid/>
                <w:color w:val="FF0000"/>
                <w:kern w:val="0"/>
                <w:sz w:val="24"/>
                <w:szCs w:val="24"/>
                <w:vertAlign w:val="baseline"/>
                <w:lang w:val="en-US" w:eastAsia="zh-CN" w:bidi="ar-SA"/>
              </w:rPr>
            </w:pPr>
            <w:r>
              <w:rPr>
                <w:rFonts w:hint="default" w:ascii="Times New Roman" w:hAnsi="Times New Roman" w:eastAsia="仿宋" w:cs="Times New Roman"/>
                <w:b w:val="0"/>
                <w:bCs w:val="0"/>
                <w:snapToGrid/>
                <w:color w:val="FF0000"/>
                <w:kern w:val="0"/>
                <w:sz w:val="24"/>
                <w:szCs w:val="24"/>
                <w:vertAlign w:val="baseline"/>
                <w:lang w:val="en-US" w:eastAsia="zh-CN" w:bidi="ar-SA"/>
              </w:rPr>
              <w:t>⑶</w:t>
            </w:r>
            <w:r>
              <w:rPr>
                <w:rFonts w:hint="eastAsia" w:ascii="Times New Roman" w:hAnsi="Times New Roman" w:eastAsia="仿宋" w:cs="Times New Roman"/>
                <w:b w:val="0"/>
                <w:bCs w:val="0"/>
                <w:snapToGrid/>
                <w:color w:val="FF0000"/>
                <w:kern w:val="0"/>
                <w:sz w:val="24"/>
                <w:szCs w:val="24"/>
                <w:vertAlign w:val="baseline"/>
                <w:lang w:val="en-US" w:eastAsia="zh-CN" w:bidi="ar-SA"/>
              </w:rPr>
              <w:t>3</w:t>
            </w:r>
            <w:r>
              <w:rPr>
                <w:rFonts w:hint="default" w:ascii="Times New Roman" w:hAnsi="Times New Roman" w:eastAsia="仿宋" w:cs="Times New Roman"/>
                <w:b w:val="0"/>
                <w:bCs w:val="0"/>
                <w:snapToGrid/>
                <w:color w:val="FF0000"/>
                <w:kern w:val="0"/>
                <w:sz w:val="24"/>
                <w:szCs w:val="24"/>
                <w:vertAlign w:val="baseline"/>
                <w:lang w:val="en-US" w:eastAsia="zh-CN" w:bidi="ar-SA"/>
              </w:rPr>
              <w:t>号地块</w:t>
            </w:r>
            <w:r>
              <w:rPr>
                <w:rFonts w:hint="eastAsia" w:ascii="Times New Roman" w:hAnsi="Times New Roman" w:eastAsia="仿宋" w:cs="Times New Roman"/>
                <w:b w:val="0"/>
                <w:bCs w:val="0"/>
                <w:snapToGrid/>
                <w:color w:val="FF0000"/>
                <w:kern w:val="0"/>
                <w:sz w:val="24"/>
                <w:szCs w:val="24"/>
                <w:vertAlign w:val="baseline"/>
                <w:lang w:val="en-US" w:eastAsia="zh-CN" w:bidi="ar-SA"/>
              </w:rPr>
              <w:t>：</w:t>
            </w:r>
            <w:r>
              <w:rPr>
                <w:rFonts w:hint="default" w:ascii="Times New Roman" w:hAnsi="Times New Roman" w:eastAsia="仿宋" w:cs="Times New Roman"/>
                <w:b w:val="0"/>
                <w:bCs w:val="0"/>
                <w:snapToGrid/>
                <w:color w:val="FF0000"/>
                <w:kern w:val="0"/>
                <w:sz w:val="24"/>
                <w:szCs w:val="24"/>
                <w:vertAlign w:val="baseline"/>
                <w:lang w:val="en-US" w:eastAsia="zh-CN" w:bidi="ar-SA"/>
              </w:rPr>
              <w:t>拆除简易挡车墙，移除渣堆，对构筑挡车墙采挖形成的徒坎边坡削坡、覆盖细碎土石，达到可自然恢复的条件及与周边地形地貌相协调的状态</w:t>
            </w:r>
            <w:r>
              <w:rPr>
                <w:rFonts w:hint="eastAsia" w:ascii="Times New Roman" w:hAnsi="Times New Roman" w:eastAsia="仿宋" w:cs="Times New Roman"/>
                <w:b w:val="0"/>
                <w:bCs w:val="0"/>
                <w:snapToGrid/>
                <w:color w:val="FF0000"/>
                <w:kern w:val="0"/>
                <w:sz w:val="24"/>
                <w:szCs w:val="24"/>
                <w:vertAlign w:val="baseline"/>
                <w:lang w:val="en-US" w:eastAsia="zh-CN" w:bidi="ar-SA"/>
              </w:rPr>
              <w:t>；</w:t>
            </w:r>
          </w:p>
          <w:p w14:paraId="781972E4">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b w:val="0"/>
                <w:bCs w:val="0"/>
                <w:snapToGrid/>
                <w:color w:val="FF0000"/>
                <w:kern w:val="0"/>
                <w:sz w:val="24"/>
                <w:szCs w:val="24"/>
                <w:vertAlign w:val="baseline"/>
                <w:lang w:val="en-US" w:eastAsia="zh-CN" w:bidi="ar-SA"/>
              </w:rPr>
            </w:pPr>
            <w:r>
              <w:rPr>
                <w:rFonts w:hint="default" w:ascii="Times New Roman" w:hAnsi="Times New Roman" w:eastAsia="仿宋" w:cs="Times New Roman"/>
                <w:b w:val="0"/>
                <w:bCs w:val="0"/>
                <w:snapToGrid/>
                <w:color w:val="FF0000"/>
                <w:kern w:val="0"/>
                <w:sz w:val="24"/>
                <w:szCs w:val="24"/>
                <w:vertAlign w:val="baseline"/>
                <w:lang w:val="en-US" w:eastAsia="zh-CN" w:bidi="ar-SA"/>
              </w:rPr>
              <w:t>⑷4号地块</w:t>
            </w:r>
            <w:r>
              <w:rPr>
                <w:rFonts w:hint="eastAsia" w:ascii="Times New Roman" w:hAnsi="Times New Roman" w:eastAsia="仿宋" w:cs="Times New Roman"/>
                <w:b w:val="0"/>
                <w:bCs w:val="0"/>
                <w:snapToGrid/>
                <w:color w:val="FF0000"/>
                <w:kern w:val="0"/>
                <w:sz w:val="24"/>
                <w:szCs w:val="24"/>
                <w:vertAlign w:val="baseline"/>
                <w:lang w:val="en-US" w:eastAsia="zh-CN" w:bidi="ar-SA"/>
              </w:rPr>
              <w:t>：</w:t>
            </w:r>
            <w:r>
              <w:rPr>
                <w:rFonts w:hint="default" w:ascii="Times New Roman" w:hAnsi="Times New Roman" w:eastAsia="仿宋" w:cs="Times New Roman"/>
                <w:b w:val="0"/>
                <w:bCs w:val="0"/>
                <w:snapToGrid/>
                <w:color w:val="FF0000"/>
                <w:kern w:val="0"/>
                <w:sz w:val="24"/>
                <w:szCs w:val="24"/>
                <w:vertAlign w:val="baseline"/>
                <w:lang w:val="en-US" w:eastAsia="zh-CN" w:bidi="ar-SA"/>
              </w:rPr>
              <w:t>对采挖形成的边坡削坡、整平、压实，达到可自然恢复的条件及与周边地形地貌相协调的状态</w:t>
            </w:r>
            <w:r>
              <w:rPr>
                <w:rFonts w:hint="eastAsia" w:ascii="Times New Roman" w:hAnsi="Times New Roman" w:eastAsia="仿宋" w:cs="Times New Roman"/>
                <w:b w:val="0"/>
                <w:bCs w:val="0"/>
                <w:snapToGrid/>
                <w:color w:val="FF0000"/>
                <w:kern w:val="0"/>
                <w:sz w:val="24"/>
                <w:szCs w:val="24"/>
                <w:vertAlign w:val="baseline"/>
                <w:lang w:val="en-US" w:eastAsia="zh-CN" w:bidi="ar-SA"/>
              </w:rPr>
              <w:t>；</w:t>
            </w:r>
          </w:p>
          <w:p w14:paraId="54C71832">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b w:val="0"/>
                <w:bCs w:val="0"/>
                <w:snapToGrid/>
                <w:color w:val="FF0000"/>
                <w:kern w:val="0"/>
                <w:sz w:val="24"/>
                <w:szCs w:val="24"/>
                <w:vertAlign w:val="baseline"/>
                <w:lang w:val="en-US" w:eastAsia="zh-CN" w:bidi="ar-SA"/>
              </w:rPr>
            </w:pPr>
            <w:r>
              <w:rPr>
                <w:rFonts w:hint="default" w:ascii="Times New Roman" w:hAnsi="Times New Roman" w:eastAsia="仿宋" w:cs="Times New Roman"/>
                <w:b w:val="0"/>
                <w:bCs w:val="0"/>
                <w:snapToGrid/>
                <w:color w:val="FF0000"/>
                <w:kern w:val="0"/>
                <w:sz w:val="24"/>
                <w:szCs w:val="24"/>
                <w:vertAlign w:val="baseline"/>
                <w:lang w:val="en-US" w:eastAsia="zh-CN" w:bidi="ar-SA"/>
              </w:rPr>
              <w:t>⑸5号地块</w:t>
            </w:r>
            <w:r>
              <w:rPr>
                <w:rFonts w:hint="eastAsia" w:ascii="Times New Roman" w:hAnsi="Times New Roman" w:eastAsia="仿宋" w:cs="Times New Roman"/>
                <w:b w:val="0"/>
                <w:bCs w:val="0"/>
                <w:snapToGrid/>
                <w:color w:val="FF0000"/>
                <w:kern w:val="0"/>
                <w:sz w:val="24"/>
                <w:szCs w:val="24"/>
                <w:vertAlign w:val="baseline"/>
                <w:lang w:val="en-US" w:eastAsia="zh-CN" w:bidi="ar-SA"/>
              </w:rPr>
              <w:t>：</w:t>
            </w:r>
            <w:r>
              <w:rPr>
                <w:rFonts w:hint="default" w:ascii="Times New Roman" w:hAnsi="Times New Roman" w:eastAsia="仿宋" w:cs="Times New Roman"/>
                <w:b w:val="0"/>
                <w:bCs w:val="0"/>
                <w:snapToGrid/>
                <w:color w:val="FF0000"/>
                <w:kern w:val="0"/>
                <w:sz w:val="24"/>
                <w:szCs w:val="24"/>
                <w:vertAlign w:val="baseline"/>
                <w:lang w:val="en-US" w:eastAsia="zh-CN" w:bidi="ar-SA"/>
              </w:rPr>
              <w:t>拆除旧破碎设备，削坡、整平装车平台及构筑装车平台时采挖形成的高徙边坡，达到可自然恢复的条件及与周边地形地貌相协调的状态</w:t>
            </w:r>
            <w:r>
              <w:rPr>
                <w:rFonts w:hint="eastAsia" w:ascii="Times New Roman" w:hAnsi="Times New Roman" w:eastAsia="仿宋" w:cs="Times New Roman"/>
                <w:b w:val="0"/>
                <w:bCs w:val="0"/>
                <w:snapToGrid/>
                <w:color w:val="FF0000"/>
                <w:kern w:val="0"/>
                <w:sz w:val="24"/>
                <w:szCs w:val="24"/>
                <w:vertAlign w:val="baseline"/>
                <w:lang w:val="en-US" w:eastAsia="zh-CN" w:bidi="ar-SA"/>
              </w:rPr>
              <w:t>；</w:t>
            </w:r>
          </w:p>
          <w:p w14:paraId="76B8F1D5">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eastAsia" w:ascii="Times New Roman" w:hAnsi="Times New Roman" w:eastAsia="仿宋" w:cs="Times New Roman"/>
                <w:b/>
                <w:snapToGrid/>
                <w:color w:val="FF0000"/>
                <w:kern w:val="0"/>
                <w:sz w:val="24"/>
                <w:szCs w:val="24"/>
                <w:lang w:val="en-US" w:eastAsia="zh-CN" w:bidi="ar-SA"/>
              </w:rPr>
            </w:pPr>
            <w:r>
              <w:rPr>
                <w:rFonts w:hint="default" w:ascii="Times New Roman" w:hAnsi="Times New Roman" w:eastAsia="仿宋" w:cs="Times New Roman"/>
                <w:b w:val="0"/>
                <w:bCs w:val="0"/>
                <w:snapToGrid/>
                <w:color w:val="FF0000"/>
                <w:kern w:val="0"/>
                <w:sz w:val="24"/>
                <w:szCs w:val="24"/>
                <w:vertAlign w:val="baseline"/>
                <w:lang w:val="en-US" w:eastAsia="zh-CN" w:bidi="ar-SA"/>
              </w:rPr>
              <w:t>⑹6号地块：对采挖形成的高徒边坡进行边坡削坡、整平，达到可自然恢复的条件及与周边地形地貌相协调的状态。</w:t>
            </w:r>
          </w:p>
          <w:p w14:paraId="5F70F900">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b/>
                <w:snapToGrid/>
                <w:color w:val="FF0000"/>
                <w:kern w:val="0"/>
                <w:sz w:val="24"/>
                <w:szCs w:val="24"/>
                <w:lang w:val="en-US" w:eastAsia="zh-CN" w:bidi="ar-SA"/>
              </w:rPr>
            </w:pPr>
            <w:r>
              <w:rPr>
                <w:rFonts w:hint="eastAsia" w:ascii="Times New Roman" w:hAnsi="Times New Roman" w:eastAsia="仿宋" w:cs="Times New Roman"/>
                <w:b/>
                <w:snapToGrid/>
                <w:color w:val="FF0000"/>
                <w:kern w:val="0"/>
                <w:sz w:val="24"/>
                <w:szCs w:val="24"/>
                <w:lang w:val="en-US" w:eastAsia="zh-CN" w:bidi="ar-SA"/>
              </w:rPr>
              <w:t>3.2整改措施</w:t>
            </w:r>
          </w:p>
          <w:p w14:paraId="7DFA3C04">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b w:val="0"/>
                <w:bCs w:val="0"/>
                <w:snapToGrid/>
                <w:color w:val="FF0000"/>
                <w:kern w:val="0"/>
                <w:sz w:val="24"/>
                <w:szCs w:val="24"/>
                <w:vertAlign w:val="baseline"/>
                <w:lang w:val="en-US" w:eastAsia="zh-CN" w:bidi="ar-SA"/>
              </w:rPr>
            </w:pPr>
            <w:r>
              <w:rPr>
                <w:rFonts w:hint="default" w:ascii="Times New Roman" w:hAnsi="Times New Roman" w:eastAsia="仿宋" w:cs="Times New Roman"/>
                <w:b w:val="0"/>
                <w:bCs w:val="0"/>
                <w:snapToGrid/>
                <w:color w:val="FF0000"/>
                <w:kern w:val="0"/>
                <w:sz w:val="24"/>
                <w:szCs w:val="24"/>
                <w:vertAlign w:val="baseline"/>
                <w:lang w:val="en-US" w:eastAsia="zh-CN" w:bidi="ar-SA"/>
              </w:rPr>
              <w:t>⑴矿区南侧现有的排土场设置截排水沟和挡土墙等，然后在现有排土场的基础上进行扩大布置，设计排土场容积100×104m</w:t>
            </w:r>
            <w:r>
              <w:rPr>
                <w:rFonts w:hint="default" w:ascii="Times New Roman" w:hAnsi="Times New Roman" w:eastAsia="仿宋" w:cs="Times New Roman"/>
                <w:b w:val="0"/>
                <w:bCs w:val="0"/>
                <w:snapToGrid/>
                <w:color w:val="FF0000"/>
                <w:kern w:val="0"/>
                <w:sz w:val="24"/>
                <w:szCs w:val="24"/>
                <w:vertAlign w:val="superscript"/>
                <w:lang w:val="en-US" w:eastAsia="zh-CN" w:bidi="ar-SA"/>
              </w:rPr>
              <w:t>3</w:t>
            </w:r>
            <w:r>
              <w:rPr>
                <w:rFonts w:hint="default" w:ascii="Times New Roman" w:hAnsi="Times New Roman" w:eastAsia="仿宋" w:cs="Times New Roman"/>
                <w:b w:val="0"/>
                <w:bCs w:val="0"/>
                <w:snapToGrid/>
                <w:color w:val="FF0000"/>
                <w:kern w:val="0"/>
                <w:sz w:val="24"/>
                <w:szCs w:val="24"/>
                <w:vertAlign w:val="baseline"/>
                <w:lang w:val="en-US" w:eastAsia="zh-CN" w:bidi="ar-SA"/>
              </w:rPr>
              <w:t>，堆高平均50m，排土场面积2.5×104m</w:t>
            </w:r>
            <w:r>
              <w:rPr>
                <w:rFonts w:hint="default" w:ascii="Times New Roman" w:hAnsi="Times New Roman" w:eastAsia="仿宋" w:cs="Times New Roman"/>
                <w:b w:val="0"/>
                <w:bCs w:val="0"/>
                <w:snapToGrid/>
                <w:color w:val="FF0000"/>
                <w:kern w:val="0"/>
                <w:sz w:val="24"/>
                <w:szCs w:val="24"/>
                <w:vertAlign w:val="superscript"/>
                <w:lang w:val="en-US" w:eastAsia="zh-CN" w:bidi="ar-SA"/>
              </w:rPr>
              <w:t>2</w:t>
            </w:r>
            <w:r>
              <w:rPr>
                <w:rFonts w:hint="default" w:ascii="Times New Roman" w:hAnsi="Times New Roman" w:eastAsia="仿宋" w:cs="Times New Roman"/>
                <w:b w:val="0"/>
                <w:bCs w:val="0"/>
                <w:snapToGrid/>
                <w:color w:val="FF0000"/>
                <w:kern w:val="0"/>
                <w:sz w:val="24"/>
                <w:szCs w:val="24"/>
                <w:vertAlign w:val="baseline"/>
                <w:lang w:val="en-US" w:eastAsia="zh-CN" w:bidi="ar-SA"/>
              </w:rPr>
              <w:t>，作为本次环评的排土场</w:t>
            </w:r>
            <w:r>
              <w:rPr>
                <w:rFonts w:hint="eastAsia" w:ascii="Times New Roman" w:hAnsi="Times New Roman" w:eastAsia="仿宋" w:cs="Times New Roman"/>
                <w:b w:val="0"/>
                <w:bCs w:val="0"/>
                <w:snapToGrid/>
                <w:color w:val="FF0000"/>
                <w:kern w:val="0"/>
                <w:sz w:val="24"/>
                <w:szCs w:val="24"/>
                <w:vertAlign w:val="baseline"/>
                <w:lang w:val="en-US" w:eastAsia="zh-CN" w:bidi="ar-SA"/>
              </w:rPr>
              <w:t>；</w:t>
            </w:r>
          </w:p>
          <w:p w14:paraId="54FA3053">
            <w:pPr>
              <w:pStyle w:val="43"/>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b w:val="0"/>
                <w:bCs w:val="0"/>
                <w:snapToGrid/>
                <w:color w:val="000000" w:themeColor="text1"/>
                <w:kern w:val="0"/>
                <w:sz w:val="24"/>
                <w:szCs w:val="24"/>
                <w:vertAlign w:val="baseline"/>
                <w:lang w:val="en-US" w:eastAsia="zh-CN" w:bidi="ar-SA"/>
                <w14:textFill>
                  <w14:solidFill>
                    <w14:schemeClr w14:val="tx1"/>
                  </w14:solidFill>
                </w14:textFill>
              </w:rPr>
            </w:pPr>
            <w:r>
              <w:rPr>
                <w:rFonts w:hint="default" w:ascii="Times New Roman" w:hAnsi="Times New Roman" w:eastAsia="仿宋" w:cs="Times New Roman"/>
                <w:b w:val="0"/>
                <w:bCs w:val="0"/>
                <w:snapToGrid/>
                <w:color w:val="FF0000"/>
                <w:kern w:val="0"/>
                <w:sz w:val="24"/>
                <w:szCs w:val="24"/>
                <w:vertAlign w:val="baseline"/>
                <w:lang w:val="en-US" w:eastAsia="zh-CN" w:bidi="ar-SA"/>
              </w:rPr>
              <w:t>⑵本次环评要求严格按照《危险废物贮存污染控制标准》（GB18597-2023）中的相关要求，</w:t>
            </w:r>
            <w:r>
              <w:rPr>
                <w:rFonts w:hint="eastAsia" w:ascii="Times New Roman" w:hAnsi="Times New Roman" w:eastAsia="仿宋" w:cs="Times New Roman"/>
                <w:b w:val="0"/>
                <w:bCs w:val="0"/>
                <w:snapToGrid/>
                <w:color w:val="FF0000"/>
                <w:kern w:val="0"/>
                <w:sz w:val="24"/>
                <w:szCs w:val="24"/>
                <w:vertAlign w:val="baseline"/>
                <w:lang w:val="en-US" w:eastAsia="zh-CN" w:bidi="ar-SA"/>
              </w:rPr>
              <w:t>在本次环评</w:t>
            </w:r>
            <w:r>
              <w:rPr>
                <w:rFonts w:hint="default" w:ascii="Times New Roman" w:hAnsi="Times New Roman" w:eastAsia="仿宋" w:cs="Times New Roman"/>
                <w:b w:val="0"/>
                <w:bCs w:val="0"/>
                <w:snapToGrid/>
                <w:color w:val="FF0000"/>
                <w:kern w:val="0"/>
                <w:sz w:val="24"/>
                <w:szCs w:val="24"/>
                <w:vertAlign w:val="baseline"/>
                <w:lang w:val="en-US" w:eastAsia="zh-CN" w:bidi="ar-SA"/>
              </w:rPr>
              <w:t>破碎场设置危废贮存点</w:t>
            </w:r>
            <w:r>
              <w:rPr>
                <w:rFonts w:hint="eastAsia" w:ascii="Times New Roman" w:hAnsi="Times New Roman" w:eastAsia="仿宋" w:cs="Times New Roman"/>
                <w:b w:val="0"/>
                <w:bCs w:val="0"/>
                <w:snapToGrid/>
                <w:color w:val="FF0000"/>
                <w:kern w:val="0"/>
                <w:sz w:val="24"/>
                <w:szCs w:val="24"/>
                <w:vertAlign w:val="baseline"/>
                <w:lang w:val="en-US" w:eastAsia="zh-CN" w:bidi="ar-SA"/>
              </w:rPr>
              <w:t>。</w:t>
            </w:r>
          </w:p>
        </w:tc>
      </w:tr>
      <w:tr w14:paraId="41EE20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1" w:type="pct"/>
            <w:noWrap w:val="0"/>
            <w:vAlign w:val="center"/>
          </w:tcPr>
          <w:p w14:paraId="20C49C16">
            <w:pPr>
              <w:adjustRightInd w:val="0"/>
              <w:snapToGrid w:val="0"/>
              <w:jc w:val="center"/>
              <w:rPr>
                <w:rFonts w:hint="default" w:ascii="Times New Roman" w:hAnsi="Times New Roman" w:eastAsia="仿宋" w:cs="Times New Roman"/>
                <w:color w:val="auto"/>
                <w:spacing w:val="0"/>
                <w:sz w:val="24"/>
                <w:highlight w:val="none"/>
                <w:lang w:val="en-US" w:eastAsia="zh-CN"/>
              </w:rPr>
            </w:pPr>
            <w:r>
              <w:rPr>
                <w:rFonts w:hint="default" w:ascii="Times New Roman" w:hAnsi="Times New Roman" w:eastAsia="仿宋" w:cs="Times New Roman"/>
                <w:color w:val="auto"/>
                <w:spacing w:val="0"/>
                <w:sz w:val="24"/>
                <w:highlight w:val="none"/>
                <w:lang w:val="en-US" w:eastAsia="zh-CN"/>
              </w:rPr>
              <w:t>生态环境保护目标</w:t>
            </w:r>
          </w:p>
        </w:tc>
        <w:tc>
          <w:tcPr>
            <w:tcW w:w="4508" w:type="pct"/>
            <w:noWrap w:val="0"/>
            <w:vAlign w:val="center"/>
          </w:tcPr>
          <w:p w14:paraId="72331F9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⑴</w:t>
            </w:r>
            <w:r>
              <w:rPr>
                <w:rFonts w:hint="eastAsia" w:ascii="Times New Roman" w:hAnsi="Times New Roman" w:eastAsia="仿宋" w:cs="Times New Roman"/>
                <w:color w:val="000000"/>
                <w:sz w:val="24"/>
                <w:lang w:val="en-US" w:eastAsia="zh-CN"/>
              </w:rPr>
              <w:t>生态</w:t>
            </w:r>
            <w:r>
              <w:rPr>
                <w:rFonts w:hint="eastAsia" w:eastAsia="仿宋" w:cs="Times New Roman"/>
                <w:color w:val="000000"/>
                <w:sz w:val="24"/>
                <w:lang w:val="en-US" w:eastAsia="zh-CN"/>
              </w:rPr>
              <w:t>环境保护目标</w:t>
            </w:r>
          </w:p>
          <w:p w14:paraId="43069305">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根据《环境影响评价技术导则</w:t>
            </w:r>
            <w:r>
              <w:rPr>
                <w:rFonts w:hint="eastAsia" w:eastAsia="仿宋" w:cs="Times New Roman"/>
                <w:color w:val="000000"/>
                <w:sz w:val="24"/>
                <w:lang w:val="en-US" w:eastAsia="zh-CN"/>
              </w:rPr>
              <w:t>-</w:t>
            </w:r>
            <w:r>
              <w:rPr>
                <w:rFonts w:hint="eastAsia" w:ascii="Times New Roman" w:hAnsi="Times New Roman" w:eastAsia="仿宋" w:cs="Times New Roman"/>
                <w:color w:val="000000"/>
                <w:sz w:val="24"/>
                <w:lang w:val="en-US" w:eastAsia="zh-CN"/>
              </w:rPr>
              <w:t>生态影响》（</w:t>
            </w:r>
            <w:r>
              <w:rPr>
                <w:rFonts w:hint="default" w:ascii="Times New Roman" w:hAnsi="Times New Roman" w:eastAsia="仿宋" w:cs="Times New Roman"/>
                <w:color w:val="000000"/>
                <w:sz w:val="24"/>
                <w:lang w:val="en-US" w:eastAsia="zh-CN"/>
              </w:rPr>
              <w:t>HJ 19-2022</w:t>
            </w:r>
            <w:r>
              <w:rPr>
                <w:rFonts w:hint="eastAsia" w:ascii="Times New Roman" w:hAnsi="Times New Roman" w:eastAsia="仿宋" w:cs="Times New Roman"/>
                <w:color w:val="000000"/>
                <w:sz w:val="24"/>
                <w:lang w:val="en-US" w:eastAsia="zh-CN"/>
              </w:rPr>
              <w:t>），本项目评价范围不涉及自然保护区、风景名胜区，矿区未占用基本农田、基本草原等，本项目周边无需要特别保护的文物古迹、风景名胜地，项目区域未发现国家重点保护的野生动植物资源</w:t>
            </w:r>
            <w:r>
              <w:rPr>
                <w:rFonts w:hint="eastAsia" w:eastAsia="仿宋" w:cs="Times New Roman"/>
                <w:color w:val="000000"/>
                <w:sz w:val="24"/>
                <w:lang w:val="en-US" w:eastAsia="zh-CN"/>
              </w:rPr>
              <w:t>等</w:t>
            </w:r>
            <w:r>
              <w:rPr>
                <w:rFonts w:hint="eastAsia" w:ascii="Times New Roman" w:hAnsi="Times New Roman" w:eastAsia="仿宋" w:cs="Times New Roman"/>
                <w:color w:val="000000"/>
                <w:sz w:val="24"/>
                <w:lang w:val="en-US" w:eastAsia="zh-CN"/>
              </w:rPr>
              <w:t>。</w:t>
            </w:r>
          </w:p>
          <w:p w14:paraId="056B0B5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微软雅黑" w:cs="Times New Roman"/>
                <w:color w:val="000000"/>
                <w:sz w:val="24"/>
              </w:rPr>
              <w:t>⑵</w:t>
            </w:r>
            <w:r>
              <w:rPr>
                <w:rFonts w:hint="eastAsia" w:ascii="Times New Roman" w:hAnsi="Times New Roman" w:eastAsia="仿宋" w:cs="Times New Roman"/>
                <w:color w:val="000000"/>
                <w:sz w:val="24"/>
                <w:lang w:val="en-US" w:eastAsia="zh-CN"/>
              </w:rPr>
              <w:t>大气环境保护目标</w:t>
            </w:r>
          </w:p>
          <w:p w14:paraId="2F0B81D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根据《环境影响评价技术导则</w:t>
            </w:r>
            <w:r>
              <w:rPr>
                <w:rFonts w:hint="eastAsia" w:eastAsia="仿宋" w:cs="Times New Roman"/>
                <w:kern w:val="0"/>
                <w:sz w:val="24"/>
                <w:lang w:val="en-US" w:eastAsia="zh-CN"/>
              </w:rPr>
              <w:t>-</w:t>
            </w:r>
            <w:r>
              <w:rPr>
                <w:rFonts w:hint="eastAsia" w:ascii="Times New Roman" w:hAnsi="Times New Roman" w:eastAsia="仿宋" w:cs="Times New Roman"/>
                <w:color w:val="000000"/>
                <w:sz w:val="24"/>
                <w:lang w:val="en-US" w:eastAsia="zh-CN"/>
              </w:rPr>
              <w:t>大气环境》（HJ2.2-218）</w:t>
            </w:r>
            <w:r>
              <w:rPr>
                <w:rFonts w:hint="eastAsia" w:eastAsia="仿宋" w:cs="Times New Roman"/>
                <w:color w:val="000000"/>
                <w:sz w:val="24"/>
                <w:lang w:val="en-US" w:eastAsia="zh-CN"/>
              </w:rPr>
              <w:t>，</w:t>
            </w:r>
            <w:r>
              <w:rPr>
                <w:rFonts w:hint="eastAsia" w:ascii="Times New Roman" w:hAnsi="Times New Roman" w:eastAsia="仿宋" w:cs="Times New Roman"/>
                <w:color w:val="000000"/>
                <w:sz w:val="24"/>
                <w:lang w:val="en-US" w:eastAsia="zh-CN"/>
              </w:rPr>
              <w:t>本项目大气评价范围</w:t>
            </w:r>
            <w:r>
              <w:rPr>
                <w:rFonts w:hint="eastAsia" w:eastAsia="仿宋" w:cs="Times New Roman"/>
                <w:color w:val="000000"/>
                <w:sz w:val="24"/>
                <w:lang w:val="en-US" w:eastAsia="zh-CN"/>
              </w:rPr>
              <w:t>内无</w:t>
            </w:r>
            <w:r>
              <w:rPr>
                <w:rFonts w:hint="eastAsia" w:ascii="Times New Roman" w:hAnsi="Times New Roman" w:eastAsia="仿宋" w:cs="Times New Roman"/>
                <w:color w:val="000000"/>
                <w:sz w:val="24"/>
                <w:lang w:val="en-US" w:eastAsia="zh-CN"/>
              </w:rPr>
              <w:t>环境保护目标。</w:t>
            </w:r>
          </w:p>
          <w:p w14:paraId="12C3A48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微软雅黑" w:cs="Times New Roman"/>
                <w:color w:val="000000"/>
                <w:sz w:val="24"/>
                <w:lang w:val="en-US" w:eastAsia="zh-CN"/>
              </w:rPr>
              <w:t>⑶</w:t>
            </w:r>
            <w:r>
              <w:rPr>
                <w:rFonts w:hint="default" w:ascii="Times New Roman" w:hAnsi="Times New Roman" w:eastAsia="仿宋" w:cs="Times New Roman"/>
                <w:color w:val="000000"/>
                <w:sz w:val="24"/>
                <w:lang w:val="en-US" w:eastAsia="zh-CN"/>
              </w:rPr>
              <w:t>声环境保护目标</w:t>
            </w:r>
          </w:p>
          <w:p w14:paraId="3F2E7C5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根据《环境影响评价技术导则</w:t>
            </w:r>
            <w:r>
              <w:rPr>
                <w:rFonts w:hint="eastAsia" w:eastAsia="仿宋" w:cs="Times New Roman"/>
                <w:kern w:val="0"/>
                <w:sz w:val="24"/>
                <w:lang w:val="en-US" w:eastAsia="zh-CN"/>
              </w:rPr>
              <w:t>-</w:t>
            </w:r>
            <w:r>
              <w:rPr>
                <w:rFonts w:hint="eastAsia" w:ascii="Times New Roman" w:hAnsi="Times New Roman" w:eastAsia="仿宋" w:cs="Times New Roman"/>
                <w:color w:val="000000"/>
                <w:sz w:val="24"/>
                <w:lang w:val="en-US" w:eastAsia="zh-CN"/>
              </w:rPr>
              <w:t>声环境》（HJ2.4-2021），本项目200m范围内无声环境敏感目标。</w:t>
            </w:r>
          </w:p>
          <w:p w14:paraId="66624CF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rPr>
              <w:t>⑷</w:t>
            </w:r>
            <w:r>
              <w:rPr>
                <w:rFonts w:hint="default" w:ascii="Times New Roman" w:hAnsi="Times New Roman" w:eastAsia="仿宋" w:cs="Times New Roman"/>
                <w:color w:val="000000"/>
                <w:sz w:val="24"/>
                <w:lang w:val="en-US" w:eastAsia="zh-CN"/>
              </w:rPr>
              <w:t>水环境保护目标</w:t>
            </w:r>
          </w:p>
          <w:p w14:paraId="0D35F79C">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微软雅黑" w:cs="Times New Roman"/>
                <w:color w:val="000000"/>
                <w:sz w:val="24"/>
                <w:lang w:val="en-US" w:eastAsia="zh-CN"/>
              </w:rPr>
              <w:t>①</w:t>
            </w:r>
            <w:r>
              <w:rPr>
                <w:rFonts w:hint="default" w:ascii="Times New Roman" w:hAnsi="Times New Roman" w:eastAsia="仿宋" w:cs="Times New Roman"/>
                <w:color w:val="000000"/>
                <w:sz w:val="24"/>
                <w:lang w:val="en-US" w:eastAsia="zh-CN"/>
              </w:rPr>
              <w:t>地表水</w:t>
            </w:r>
          </w:p>
          <w:p w14:paraId="4BD9581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根据《环境影响评价技术导则</w:t>
            </w:r>
            <w:r>
              <w:rPr>
                <w:rFonts w:hint="eastAsia" w:eastAsia="仿宋" w:cs="Times New Roman"/>
                <w:color w:val="000000"/>
                <w:sz w:val="24"/>
                <w:lang w:val="en-US" w:eastAsia="zh-CN"/>
              </w:rPr>
              <w:t>-</w:t>
            </w:r>
            <w:r>
              <w:rPr>
                <w:rFonts w:hint="default" w:ascii="Times New Roman" w:hAnsi="Times New Roman" w:eastAsia="仿宋" w:cs="Times New Roman"/>
                <w:color w:val="000000"/>
                <w:sz w:val="24"/>
                <w:lang w:val="en-US" w:eastAsia="zh-CN"/>
              </w:rPr>
              <w:t>地表水环境》（HJ2.3-2018），</w:t>
            </w:r>
            <w:r>
              <w:rPr>
                <w:rFonts w:hint="eastAsia" w:eastAsia="仿宋" w:cs="Times New Roman"/>
                <w:color w:val="000000"/>
                <w:sz w:val="24"/>
                <w:lang w:val="en-US" w:eastAsia="zh-CN"/>
              </w:rPr>
              <w:t>本项目最近地表水为黑河，本项目距离约13km。</w:t>
            </w:r>
          </w:p>
          <w:p w14:paraId="1411720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微软雅黑" w:cs="Times New Roman"/>
                <w:color w:val="000000"/>
                <w:sz w:val="24"/>
              </w:rPr>
              <w:t>②</w:t>
            </w:r>
            <w:r>
              <w:rPr>
                <w:rFonts w:hint="default" w:ascii="Times New Roman" w:hAnsi="Times New Roman" w:eastAsia="仿宋" w:cs="Times New Roman"/>
                <w:color w:val="000000"/>
                <w:sz w:val="24"/>
                <w:lang w:val="en-US" w:eastAsia="zh-CN"/>
              </w:rPr>
              <w:t>地下水</w:t>
            </w:r>
          </w:p>
          <w:p w14:paraId="18D1A22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根据《环境影响评价技术导</w:t>
            </w:r>
            <w:r>
              <w:rPr>
                <w:rFonts w:hint="eastAsia" w:eastAsia="仿宋" w:cs="Times New Roman"/>
                <w:color w:val="000000"/>
                <w:sz w:val="24"/>
                <w:lang w:val="en-US" w:eastAsia="zh-CN"/>
              </w:rPr>
              <w:t>-</w:t>
            </w:r>
            <w:r>
              <w:rPr>
                <w:rFonts w:hint="default" w:ascii="Times New Roman" w:hAnsi="Times New Roman" w:eastAsia="仿宋" w:cs="Times New Roman"/>
                <w:color w:val="000000"/>
                <w:sz w:val="24"/>
                <w:lang w:val="en-US" w:eastAsia="zh-CN"/>
              </w:rPr>
              <w:t>地下水环境》</w:t>
            </w:r>
            <w:r>
              <w:rPr>
                <w:rFonts w:hint="eastAsia" w:ascii="Times New Roman" w:hAnsi="Times New Roman" w:eastAsia="仿宋" w:cs="Times New Roman"/>
                <w:color w:val="000000"/>
                <w:sz w:val="24"/>
                <w:lang w:val="en-US" w:eastAsia="zh-CN"/>
              </w:rPr>
              <w:t>（</w:t>
            </w:r>
            <w:r>
              <w:rPr>
                <w:rFonts w:hint="default" w:ascii="Times New Roman" w:hAnsi="Times New Roman" w:eastAsia="仿宋" w:cs="Times New Roman"/>
                <w:color w:val="000000"/>
                <w:sz w:val="24"/>
                <w:lang w:val="en-US" w:eastAsia="zh-CN"/>
              </w:rPr>
              <w:t>HJ610-2016</w:t>
            </w:r>
            <w:r>
              <w:rPr>
                <w:rFonts w:hint="eastAsia" w:ascii="Times New Roman" w:hAnsi="Times New Roman" w:eastAsia="仿宋" w:cs="Times New Roman"/>
                <w:color w:val="000000"/>
                <w:sz w:val="24"/>
                <w:lang w:val="en-US" w:eastAsia="zh-CN"/>
              </w:rPr>
              <w:t>），</w:t>
            </w:r>
            <w:r>
              <w:rPr>
                <w:rFonts w:hint="default" w:ascii="Times New Roman" w:hAnsi="Times New Roman" w:eastAsia="仿宋" w:cs="Times New Roman"/>
                <w:color w:val="000000"/>
                <w:sz w:val="24"/>
                <w:lang w:val="en-US" w:eastAsia="zh-CN"/>
              </w:rPr>
              <w:t>本项目建设场地及评价范围不存在供水水源地保护区、无特殊地下水资源分布等环境敏感区</w:t>
            </w:r>
            <w:r>
              <w:rPr>
                <w:rFonts w:hint="eastAsia" w:ascii="Times New Roman" w:hAnsi="Times New Roman" w:eastAsia="仿宋" w:cs="Times New Roman"/>
                <w:color w:val="000000"/>
                <w:sz w:val="24"/>
                <w:lang w:val="en-US" w:eastAsia="zh-CN"/>
              </w:rPr>
              <w:t>。</w:t>
            </w:r>
          </w:p>
          <w:p w14:paraId="38C3170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⑸土壤</w:t>
            </w:r>
            <w:r>
              <w:rPr>
                <w:rFonts w:hint="eastAsia" w:eastAsia="仿宋" w:cs="Times New Roman"/>
                <w:color w:val="000000"/>
                <w:sz w:val="24"/>
                <w:lang w:val="en-US" w:eastAsia="zh-CN"/>
              </w:rPr>
              <w:t>环境保护目标</w:t>
            </w:r>
          </w:p>
          <w:p w14:paraId="049FDE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auto"/>
                <w:spacing w:val="0"/>
                <w:kern w:val="2"/>
                <w:sz w:val="24"/>
                <w:highlight w:val="none"/>
                <w:lang w:eastAsia="zh-CN"/>
              </w:rPr>
            </w:pPr>
            <w:r>
              <w:rPr>
                <w:rFonts w:ascii="Times New Roman" w:hAnsi="Times New Roman" w:eastAsia="仿宋" w:cs="Times New Roman"/>
                <w:kern w:val="0"/>
                <w:sz w:val="24"/>
              </w:rPr>
              <w:t>根据《环境影响评价技术导则</w:t>
            </w:r>
            <w:r>
              <w:rPr>
                <w:rFonts w:hint="eastAsia" w:eastAsia="仿宋" w:cs="Times New Roman"/>
                <w:kern w:val="0"/>
                <w:sz w:val="24"/>
                <w:lang w:val="en-US" w:eastAsia="zh-CN"/>
              </w:rPr>
              <w:t>-</w:t>
            </w:r>
            <w:r>
              <w:rPr>
                <w:rFonts w:hint="eastAsia" w:ascii="Times New Roman" w:hAnsi="Times New Roman" w:eastAsia="仿宋" w:cs="Times New Roman"/>
                <w:kern w:val="0"/>
                <w:sz w:val="24"/>
                <w:lang w:val="en-US" w:eastAsia="zh-CN"/>
              </w:rPr>
              <w:t>土壤</w:t>
            </w:r>
            <w:r>
              <w:rPr>
                <w:rFonts w:ascii="Times New Roman" w:hAnsi="Times New Roman" w:eastAsia="仿宋" w:cs="Times New Roman"/>
                <w:kern w:val="0"/>
                <w:sz w:val="24"/>
              </w:rPr>
              <w:t>环境</w:t>
            </w:r>
            <w:r>
              <w:rPr>
                <w:rFonts w:hint="eastAsia" w:ascii="Times New Roman" w:hAnsi="Times New Roman" w:eastAsia="仿宋" w:cs="Times New Roman"/>
                <w:kern w:val="0"/>
                <w:sz w:val="24"/>
                <w:lang w:eastAsia="zh-CN"/>
              </w:rPr>
              <w:t>（</w:t>
            </w:r>
            <w:r>
              <w:rPr>
                <w:rFonts w:hint="eastAsia" w:ascii="Times New Roman" w:hAnsi="Times New Roman" w:eastAsia="仿宋" w:cs="Times New Roman"/>
                <w:kern w:val="0"/>
                <w:sz w:val="24"/>
                <w:lang w:val="en-US" w:eastAsia="zh-CN"/>
              </w:rPr>
              <w:t>试行</w:t>
            </w:r>
            <w:r>
              <w:rPr>
                <w:rFonts w:hint="eastAsia" w:ascii="Times New Roman" w:hAnsi="Times New Roman" w:eastAsia="仿宋" w:cs="Times New Roman"/>
                <w:kern w:val="0"/>
                <w:sz w:val="24"/>
                <w:lang w:eastAsia="zh-CN"/>
              </w:rPr>
              <w:t>）</w:t>
            </w:r>
            <w:r>
              <w:rPr>
                <w:rFonts w:ascii="Times New Roman" w:hAnsi="Times New Roman" w:eastAsia="仿宋" w:cs="Times New Roman"/>
                <w:kern w:val="0"/>
                <w:sz w:val="24"/>
              </w:rPr>
              <w:t>》（HJ</w:t>
            </w:r>
            <w:r>
              <w:rPr>
                <w:rFonts w:hint="eastAsia" w:ascii="Times New Roman" w:hAnsi="Times New Roman" w:eastAsia="仿宋" w:cs="Times New Roman"/>
                <w:kern w:val="0"/>
                <w:sz w:val="24"/>
                <w:lang w:val="en-US" w:eastAsia="zh-CN"/>
              </w:rPr>
              <w:t>964</w:t>
            </w:r>
            <w:r>
              <w:rPr>
                <w:rFonts w:ascii="Times New Roman" w:hAnsi="Times New Roman" w:eastAsia="仿宋" w:cs="Times New Roman"/>
                <w:kern w:val="0"/>
                <w:sz w:val="24"/>
              </w:rPr>
              <w:t>-201</w:t>
            </w:r>
            <w:r>
              <w:rPr>
                <w:rFonts w:hint="eastAsia" w:ascii="Times New Roman" w:hAnsi="Times New Roman" w:eastAsia="仿宋" w:cs="Times New Roman"/>
                <w:kern w:val="0"/>
                <w:sz w:val="24"/>
                <w:lang w:val="en-US" w:eastAsia="zh-CN"/>
              </w:rPr>
              <w:t>8</w:t>
            </w:r>
            <w:r>
              <w:rPr>
                <w:rFonts w:ascii="Times New Roman" w:hAnsi="Times New Roman" w:eastAsia="仿宋" w:cs="Times New Roman"/>
                <w:kern w:val="0"/>
                <w:sz w:val="24"/>
              </w:rPr>
              <w:t>）</w:t>
            </w:r>
            <w:r>
              <w:rPr>
                <w:rFonts w:hint="eastAsia" w:eastAsia="仿宋" w:cs="Times New Roman"/>
                <w:kern w:val="0"/>
                <w:sz w:val="24"/>
                <w:lang w:eastAsia="zh-CN"/>
              </w:rPr>
              <w:t>，</w:t>
            </w:r>
            <w:r>
              <w:rPr>
                <w:rFonts w:hint="eastAsia" w:eastAsia="仿宋"/>
                <w:b w:val="0"/>
                <w:bCs w:val="0"/>
                <w:color w:val="000000"/>
                <w:sz w:val="24"/>
                <w:szCs w:val="24"/>
                <w:lang w:val="en-US" w:eastAsia="zh-CN"/>
              </w:rPr>
              <w:t>本项目评价范围内不存在土壤敏感目标。</w:t>
            </w:r>
          </w:p>
        </w:tc>
      </w:tr>
      <w:tr w14:paraId="16758E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57" w:hRule="atLeast"/>
          <w:jc w:val="center"/>
        </w:trPr>
        <w:tc>
          <w:tcPr>
            <w:tcW w:w="491" w:type="pct"/>
            <w:noWrap w:val="0"/>
            <w:vAlign w:val="center"/>
          </w:tcPr>
          <w:p w14:paraId="3E60FFD4">
            <w:pPr>
              <w:topLinePunct/>
              <w:autoSpaceDN w:val="0"/>
              <w:spacing w:line="360" w:lineRule="auto"/>
              <w:jc w:val="center"/>
              <w:textAlignment w:val="center"/>
              <w:rPr>
                <w:rFonts w:hint="default" w:ascii="Times New Roman" w:hAnsi="Times New Roman" w:eastAsia="仿宋" w:cs="Times New Roman"/>
                <w:color w:val="auto"/>
                <w:spacing w:val="0"/>
                <w:kern w:val="0"/>
                <w:sz w:val="24"/>
                <w:highlight w:val="none"/>
              </w:rPr>
            </w:pPr>
            <w:r>
              <w:rPr>
                <w:rFonts w:hint="default" w:ascii="Times New Roman" w:hAnsi="Times New Roman" w:eastAsia="仿宋" w:cs="Times New Roman"/>
                <w:color w:val="auto"/>
                <w:spacing w:val="0"/>
                <w:kern w:val="0"/>
                <w:sz w:val="24"/>
                <w:highlight w:val="none"/>
              </w:rPr>
              <w:t>评价</w:t>
            </w:r>
          </w:p>
          <w:p w14:paraId="222B7F45">
            <w:pPr>
              <w:adjustRightInd w:val="0"/>
              <w:snapToGrid w:val="0"/>
              <w:jc w:val="center"/>
              <w:rPr>
                <w:rFonts w:hint="default" w:ascii="Times New Roman" w:hAnsi="Times New Roman" w:eastAsia="仿宋" w:cs="Times New Roman"/>
                <w:color w:val="auto"/>
                <w:spacing w:val="0"/>
                <w:sz w:val="24"/>
                <w:highlight w:val="none"/>
                <w:lang w:val="en-US" w:eastAsia="zh-CN"/>
              </w:rPr>
            </w:pPr>
            <w:r>
              <w:rPr>
                <w:rFonts w:hint="default" w:ascii="Times New Roman" w:hAnsi="Times New Roman" w:eastAsia="仿宋" w:cs="Times New Roman"/>
                <w:color w:val="auto"/>
                <w:spacing w:val="0"/>
                <w:kern w:val="0"/>
                <w:sz w:val="24"/>
                <w:highlight w:val="none"/>
              </w:rPr>
              <w:t>标准</w:t>
            </w:r>
          </w:p>
        </w:tc>
        <w:tc>
          <w:tcPr>
            <w:tcW w:w="4508" w:type="pct"/>
            <w:noWrap w:val="0"/>
            <w:vAlign w:val="center"/>
          </w:tcPr>
          <w:p w14:paraId="0B4594BC">
            <w:pPr>
              <w:keepNext w:val="0"/>
              <w:keepLines w:val="0"/>
              <w:pageBreakBefore w:val="0"/>
              <w:widowControl w:val="0"/>
              <w:kinsoku/>
              <w:wordWrap/>
              <w:overflowPunct/>
              <w:topLinePunct/>
              <w:autoSpaceDE/>
              <w:autoSpaceDN w:val="0"/>
              <w:bidi w:val="0"/>
              <w:adjustRightInd w:val="0"/>
              <w:snapToGrid w:val="0"/>
              <w:spacing w:line="360" w:lineRule="auto"/>
              <w:ind w:firstLine="482" w:firstLineChars="200"/>
              <w:textAlignment w:val="center"/>
              <w:rPr>
                <w:rFonts w:hint="default" w:ascii="Times New Roman" w:hAnsi="Times New Roman" w:eastAsia="仿宋" w:cs="Times New Roman"/>
                <w:b/>
                <w:bCs/>
                <w:color w:val="auto"/>
                <w:spacing w:val="0"/>
                <w:sz w:val="24"/>
                <w:szCs w:val="24"/>
                <w:highlight w:val="none"/>
              </w:rPr>
            </w:pPr>
            <w:r>
              <w:rPr>
                <w:rFonts w:hint="eastAsia" w:eastAsia="仿宋" w:cs="Times New Roman"/>
                <w:b/>
                <w:bCs/>
                <w:color w:val="auto"/>
                <w:spacing w:val="0"/>
                <w:sz w:val="24"/>
                <w:szCs w:val="24"/>
                <w:highlight w:val="none"/>
                <w:lang w:val="en-US" w:eastAsia="zh-CN"/>
              </w:rPr>
              <w:t>1.</w:t>
            </w:r>
            <w:r>
              <w:rPr>
                <w:rFonts w:hint="default" w:ascii="Times New Roman" w:hAnsi="Times New Roman" w:eastAsia="仿宋" w:cs="Times New Roman"/>
                <w:b/>
                <w:bCs/>
                <w:color w:val="auto"/>
                <w:spacing w:val="0"/>
                <w:sz w:val="24"/>
                <w:szCs w:val="24"/>
                <w:highlight w:val="none"/>
              </w:rPr>
              <w:t>环境质量标准</w:t>
            </w:r>
          </w:p>
          <w:p w14:paraId="75278148">
            <w:pPr>
              <w:keepNext w:val="0"/>
              <w:keepLines w:val="0"/>
              <w:pageBreakBefore w:val="0"/>
              <w:widowControl w:val="0"/>
              <w:kinsoku/>
              <w:wordWrap/>
              <w:overflowPunct/>
              <w:topLinePunct/>
              <w:autoSpaceDE/>
              <w:autoSpaceDN w:val="0"/>
              <w:bidi w:val="0"/>
              <w:adjustRightInd w:val="0"/>
              <w:snapToGrid w:val="0"/>
              <w:spacing w:line="360" w:lineRule="auto"/>
              <w:ind w:firstLine="480" w:firstLineChars="200"/>
              <w:textAlignment w:val="center"/>
              <w:rPr>
                <w:rFonts w:hint="default" w:ascii="Times New Roman" w:hAnsi="Times New Roman" w:eastAsia="仿宋" w:cs="Times New Roman"/>
                <w:color w:val="auto"/>
                <w:spacing w:val="0"/>
                <w:sz w:val="24"/>
                <w:szCs w:val="24"/>
                <w:highlight w:val="none"/>
              </w:rPr>
            </w:pPr>
            <w:r>
              <w:rPr>
                <w:rFonts w:hint="default" w:ascii="Times New Roman" w:hAnsi="Times New Roman" w:eastAsia="仿宋" w:cs="Times New Roman"/>
                <w:color w:val="auto"/>
                <w:spacing w:val="0"/>
                <w:sz w:val="24"/>
                <w:szCs w:val="24"/>
                <w:highlight w:val="none"/>
                <w:lang w:eastAsia="zh-CN"/>
              </w:rPr>
              <w:t>⑴</w:t>
            </w:r>
            <w:r>
              <w:rPr>
                <w:rFonts w:hint="default" w:ascii="Times New Roman" w:hAnsi="Times New Roman" w:eastAsia="仿宋" w:cs="Times New Roman"/>
                <w:color w:val="auto"/>
                <w:spacing w:val="0"/>
                <w:sz w:val="24"/>
                <w:szCs w:val="24"/>
                <w:highlight w:val="none"/>
              </w:rPr>
              <w:t>环境空气质量标准</w:t>
            </w:r>
          </w:p>
          <w:p w14:paraId="149DC107">
            <w:pPr>
              <w:keepNext w:val="0"/>
              <w:keepLines w:val="0"/>
              <w:pageBreakBefore w:val="0"/>
              <w:widowControl w:val="0"/>
              <w:kinsoku/>
              <w:wordWrap/>
              <w:overflowPunct/>
              <w:topLinePunct/>
              <w:autoSpaceDE/>
              <w:autoSpaceDN w:val="0"/>
              <w:bidi w:val="0"/>
              <w:adjustRightInd w:val="0"/>
              <w:snapToGrid w:val="0"/>
              <w:spacing w:line="360" w:lineRule="auto"/>
              <w:ind w:firstLine="480" w:firstLineChars="200"/>
              <w:textAlignment w:val="center"/>
              <w:rPr>
                <w:rFonts w:hint="eastAsia" w:ascii="Times New Roman" w:hAnsi="Times New Roman" w:eastAsia="仿宋" w:cs="Times New Roman"/>
                <w:color w:val="auto"/>
                <w:spacing w:val="0"/>
                <w:sz w:val="24"/>
                <w:szCs w:val="24"/>
                <w:highlight w:val="none"/>
                <w:lang w:eastAsia="zh-CN"/>
              </w:rPr>
            </w:pPr>
            <w:r>
              <w:rPr>
                <w:rFonts w:hint="default" w:ascii="Times New Roman" w:hAnsi="Times New Roman" w:eastAsia="仿宋" w:cs="Times New Roman"/>
                <w:color w:val="auto"/>
                <w:spacing w:val="0"/>
                <w:sz w:val="24"/>
                <w:szCs w:val="24"/>
                <w:highlight w:val="none"/>
              </w:rPr>
              <w:t>本项目所在地环境空气质量为二类功能区，环境空气质量执行《环境空气质量标准》（GB3095-20</w:t>
            </w:r>
            <w:r>
              <w:rPr>
                <w:rFonts w:hint="eastAsia" w:eastAsia="仿宋" w:cs="Times New Roman"/>
                <w:color w:val="auto"/>
                <w:spacing w:val="0"/>
                <w:sz w:val="24"/>
                <w:szCs w:val="24"/>
                <w:highlight w:val="none"/>
                <w:lang w:val="en-US" w:eastAsia="zh-CN"/>
              </w:rPr>
              <w:t>26</w:t>
            </w:r>
            <w:r>
              <w:rPr>
                <w:rFonts w:hint="default" w:ascii="Times New Roman" w:hAnsi="Times New Roman" w:eastAsia="仿宋" w:cs="Times New Roman"/>
                <w:color w:val="auto"/>
                <w:spacing w:val="0"/>
                <w:sz w:val="24"/>
                <w:szCs w:val="24"/>
                <w:highlight w:val="none"/>
              </w:rPr>
              <w:t>）的二级标准</w:t>
            </w:r>
            <w:r>
              <w:rPr>
                <w:rFonts w:hint="eastAsia" w:eastAsia="仿宋" w:cs="Times New Roman"/>
                <w:color w:val="auto"/>
                <w:spacing w:val="0"/>
                <w:sz w:val="24"/>
                <w:szCs w:val="24"/>
                <w:highlight w:val="none"/>
                <w:lang w:eastAsia="zh-CN"/>
              </w:rPr>
              <w:t>。</w:t>
            </w:r>
          </w:p>
          <w:p w14:paraId="3784066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仿宋" w:cs="Times New Roman"/>
                <w:b/>
                <w:color w:val="000000"/>
                <w:kern w:val="0"/>
                <w:szCs w:val="21"/>
              </w:rPr>
            </w:pPr>
            <w:r>
              <w:rPr>
                <w:rFonts w:hint="default" w:ascii="Times New Roman" w:hAnsi="Times New Roman" w:eastAsia="仿宋" w:cs="Times New Roman"/>
                <w:b/>
                <w:color w:val="000000"/>
                <w:kern w:val="0"/>
                <w:szCs w:val="21"/>
              </w:rPr>
              <w:t>表</w:t>
            </w:r>
            <w:r>
              <w:rPr>
                <w:rFonts w:hint="eastAsia" w:eastAsia="仿宋" w:cs="Times New Roman"/>
                <w:b/>
                <w:color w:val="000000"/>
                <w:kern w:val="0"/>
                <w:szCs w:val="21"/>
                <w:lang w:val="en-US" w:eastAsia="zh-CN"/>
              </w:rPr>
              <w:t>27</w:t>
            </w:r>
            <w:r>
              <w:rPr>
                <w:rFonts w:hint="default" w:ascii="Times New Roman" w:hAnsi="Times New Roman" w:eastAsia="仿宋" w:cs="Times New Roman"/>
                <w:b/>
                <w:color w:val="000000"/>
                <w:kern w:val="0"/>
                <w:szCs w:val="21"/>
              </w:rPr>
              <w:t xml:space="preserve">   《环境空气质量标准》（GB3095-20</w:t>
            </w:r>
            <w:r>
              <w:rPr>
                <w:rFonts w:hint="eastAsia" w:eastAsia="仿宋" w:cs="Times New Roman"/>
                <w:b/>
                <w:color w:val="000000"/>
                <w:kern w:val="0"/>
                <w:szCs w:val="21"/>
                <w:lang w:val="en-US" w:eastAsia="zh-CN"/>
              </w:rPr>
              <w:t>26</w:t>
            </w:r>
            <w:r>
              <w:rPr>
                <w:rFonts w:hint="default" w:ascii="Times New Roman" w:hAnsi="Times New Roman" w:eastAsia="仿宋" w:cs="Times New Roman"/>
                <w:b/>
                <w:color w:val="000000"/>
                <w:kern w:val="0"/>
                <w:szCs w:val="21"/>
              </w:rPr>
              <w:t>）</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42"/>
              <w:gridCol w:w="1068"/>
              <w:gridCol w:w="1070"/>
              <w:gridCol w:w="2452"/>
              <w:gridCol w:w="1935"/>
            </w:tblGrid>
            <w:tr w14:paraId="00D9AE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31" w:type="pct"/>
                  <w:tcBorders>
                    <w:tl2br w:val="nil"/>
                    <w:tr2bl w:val="nil"/>
                  </w:tcBorders>
                  <w:noWrap w:val="0"/>
                  <w:vAlign w:val="center"/>
                </w:tcPr>
                <w:p w14:paraId="1089BAE6">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序号</w:t>
                  </w:r>
                </w:p>
              </w:tc>
              <w:tc>
                <w:tcPr>
                  <w:tcW w:w="1431" w:type="pct"/>
                  <w:gridSpan w:val="2"/>
                  <w:tcBorders>
                    <w:tl2br w:val="nil"/>
                    <w:tr2bl w:val="nil"/>
                  </w:tcBorders>
                  <w:noWrap w:val="0"/>
                  <w:vAlign w:val="center"/>
                </w:tcPr>
                <w:p w14:paraId="798ADA72">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污染物</w:t>
                  </w:r>
                </w:p>
              </w:tc>
              <w:tc>
                <w:tcPr>
                  <w:tcW w:w="1641" w:type="pct"/>
                  <w:tcBorders>
                    <w:tl2br w:val="nil"/>
                    <w:tr2bl w:val="nil"/>
                  </w:tcBorders>
                  <w:noWrap w:val="0"/>
                  <w:vAlign w:val="center"/>
                </w:tcPr>
                <w:p w14:paraId="5191404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平均时间</w:t>
                  </w:r>
                </w:p>
              </w:tc>
              <w:tc>
                <w:tcPr>
                  <w:tcW w:w="1295" w:type="pct"/>
                  <w:tcBorders>
                    <w:tl2br w:val="nil"/>
                    <w:tr2bl w:val="nil"/>
                  </w:tcBorders>
                  <w:noWrap w:val="0"/>
                  <w:vAlign w:val="center"/>
                </w:tcPr>
                <w:p w14:paraId="28A26D9B">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标准值</w:t>
                  </w:r>
                </w:p>
              </w:tc>
            </w:tr>
            <w:tr w14:paraId="3A537A2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31" w:type="pct"/>
                  <w:vMerge w:val="restart"/>
                  <w:tcBorders>
                    <w:tl2br w:val="nil"/>
                    <w:tr2bl w:val="nil"/>
                  </w:tcBorders>
                  <w:noWrap w:val="0"/>
                  <w:vAlign w:val="center"/>
                </w:tcPr>
                <w:p w14:paraId="3FAC2B2F">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w:t>
                  </w:r>
                </w:p>
              </w:tc>
              <w:tc>
                <w:tcPr>
                  <w:tcW w:w="1431" w:type="pct"/>
                  <w:gridSpan w:val="2"/>
                  <w:vMerge w:val="restart"/>
                  <w:tcBorders>
                    <w:tl2br w:val="nil"/>
                    <w:tr2bl w:val="nil"/>
                  </w:tcBorders>
                  <w:noWrap w:val="0"/>
                  <w:vAlign w:val="center"/>
                </w:tcPr>
                <w:p w14:paraId="2E97069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TSP</w:t>
                  </w:r>
                </w:p>
              </w:tc>
              <w:tc>
                <w:tcPr>
                  <w:tcW w:w="1641" w:type="pct"/>
                  <w:tcBorders>
                    <w:tl2br w:val="nil"/>
                    <w:tr2bl w:val="nil"/>
                  </w:tcBorders>
                  <w:noWrap w:val="0"/>
                  <w:vAlign w:val="center"/>
                </w:tcPr>
                <w:p w14:paraId="4DF82DF1">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年平均</w:t>
                  </w:r>
                </w:p>
              </w:tc>
              <w:tc>
                <w:tcPr>
                  <w:tcW w:w="1295" w:type="pct"/>
                  <w:tcBorders>
                    <w:tl2br w:val="nil"/>
                    <w:tr2bl w:val="nil"/>
                  </w:tcBorders>
                  <w:noWrap w:val="0"/>
                  <w:vAlign w:val="center"/>
                </w:tcPr>
                <w:p w14:paraId="48595442">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200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41213E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31" w:type="pct"/>
                  <w:vMerge w:val="continue"/>
                  <w:tcBorders>
                    <w:tl2br w:val="nil"/>
                    <w:tr2bl w:val="nil"/>
                  </w:tcBorders>
                  <w:noWrap w:val="0"/>
                  <w:vAlign w:val="center"/>
                </w:tcPr>
                <w:p w14:paraId="635BC2A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431" w:type="pct"/>
                  <w:gridSpan w:val="2"/>
                  <w:vMerge w:val="continue"/>
                  <w:tcBorders>
                    <w:tl2br w:val="nil"/>
                    <w:tr2bl w:val="nil"/>
                  </w:tcBorders>
                  <w:noWrap w:val="0"/>
                  <w:vAlign w:val="center"/>
                </w:tcPr>
                <w:p w14:paraId="47118BDD">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2A81558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24小时平均</w:t>
                  </w:r>
                </w:p>
              </w:tc>
              <w:tc>
                <w:tcPr>
                  <w:tcW w:w="1295" w:type="pct"/>
                  <w:tcBorders>
                    <w:tl2br w:val="nil"/>
                    <w:tr2bl w:val="nil"/>
                  </w:tcBorders>
                  <w:noWrap w:val="0"/>
                  <w:vAlign w:val="center"/>
                </w:tcPr>
                <w:p w14:paraId="6D191904">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lang w:val="en-US" w:eastAsia="zh-CN"/>
                    </w:rPr>
                    <w:t>300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04536D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631" w:type="pct"/>
                  <w:vMerge w:val="restart"/>
                  <w:tcBorders>
                    <w:tl2br w:val="nil"/>
                    <w:tr2bl w:val="nil"/>
                  </w:tcBorders>
                  <w:noWrap w:val="0"/>
                  <w:vAlign w:val="center"/>
                </w:tcPr>
                <w:p w14:paraId="0B89FE05">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w:t>
                  </w:r>
                </w:p>
              </w:tc>
              <w:tc>
                <w:tcPr>
                  <w:tcW w:w="715" w:type="pct"/>
                  <w:vMerge w:val="restart"/>
                  <w:tcBorders>
                    <w:tl2br w:val="nil"/>
                    <w:tr2bl w:val="nil"/>
                  </w:tcBorders>
                  <w:noWrap w:val="0"/>
                  <w:vAlign w:val="center"/>
                </w:tcPr>
                <w:p w14:paraId="55F0BC7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PM</w:t>
                  </w:r>
                  <w:r>
                    <w:rPr>
                      <w:rFonts w:hint="default" w:ascii="Times New Roman" w:hAnsi="Times New Roman" w:eastAsia="仿宋" w:cs="Times New Roman"/>
                      <w:color w:val="auto"/>
                      <w:sz w:val="21"/>
                      <w:szCs w:val="21"/>
                      <w:highlight w:val="none"/>
                      <w:vertAlign w:val="subscript"/>
                    </w:rPr>
                    <w:t>10</w:t>
                  </w:r>
                </w:p>
              </w:tc>
              <w:tc>
                <w:tcPr>
                  <w:tcW w:w="716" w:type="pct"/>
                  <w:vMerge w:val="restart"/>
                  <w:tcBorders>
                    <w:tl2br w:val="nil"/>
                    <w:tr2bl w:val="nil"/>
                  </w:tcBorders>
                  <w:noWrap w:val="0"/>
                  <w:vAlign w:val="center"/>
                </w:tcPr>
                <w:p w14:paraId="276F0120">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eastAsia" w:eastAsia="仿宋" w:cs="Times New Roman"/>
                      <w:color w:val="auto"/>
                      <w:sz w:val="21"/>
                      <w:szCs w:val="21"/>
                      <w:highlight w:val="none"/>
                      <w:lang w:val="en-US" w:eastAsia="zh-CN"/>
                    </w:rPr>
                    <w:t>过渡阶段</w:t>
                  </w:r>
                </w:p>
              </w:tc>
              <w:tc>
                <w:tcPr>
                  <w:tcW w:w="1641" w:type="pct"/>
                  <w:tcBorders>
                    <w:tl2br w:val="nil"/>
                    <w:tr2bl w:val="nil"/>
                  </w:tcBorders>
                  <w:noWrap w:val="0"/>
                  <w:vAlign w:val="center"/>
                </w:tcPr>
                <w:p w14:paraId="78012EA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年平均</w:t>
                  </w:r>
                </w:p>
              </w:tc>
              <w:tc>
                <w:tcPr>
                  <w:tcW w:w="1295" w:type="pct"/>
                  <w:tcBorders>
                    <w:tl2br w:val="nil"/>
                    <w:tr2bl w:val="nil"/>
                  </w:tcBorders>
                  <w:noWrap w:val="0"/>
                  <w:vAlign w:val="center"/>
                </w:tcPr>
                <w:p w14:paraId="08CD6E07">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eastAsia" w:eastAsia="仿宋" w:cs="Times New Roman"/>
                      <w:color w:val="auto"/>
                      <w:sz w:val="21"/>
                      <w:szCs w:val="21"/>
                      <w:highlight w:val="none"/>
                      <w:lang w:val="en-US" w:eastAsia="zh-CN"/>
                    </w:rPr>
                    <w:t>60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1FCAE9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1AAD9585">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1666F637">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3062937F">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241D25A3">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w:t>
                  </w:r>
                </w:p>
              </w:tc>
              <w:tc>
                <w:tcPr>
                  <w:tcW w:w="1295" w:type="pct"/>
                  <w:tcBorders>
                    <w:tl2br w:val="nil"/>
                    <w:tr2bl w:val="nil"/>
                  </w:tcBorders>
                  <w:noWrap w:val="0"/>
                  <w:vAlign w:val="center"/>
                </w:tcPr>
                <w:p w14:paraId="11AC0E2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120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15F9C5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47B0E556">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2FCBC392">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restart"/>
                  <w:tcBorders>
                    <w:tl2br w:val="nil"/>
                    <w:tr2bl w:val="nil"/>
                  </w:tcBorders>
                  <w:noWrap w:val="0"/>
                  <w:vAlign w:val="center"/>
                </w:tcPr>
                <w:p w14:paraId="6E4040F0">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eastAsia" w:ascii="Times New Roman" w:hAnsi="Times New Roman" w:eastAsia="仿宋" w:cs="Times New Roman"/>
                      <w:color w:val="auto"/>
                      <w:sz w:val="21"/>
                      <w:szCs w:val="21"/>
                      <w:highlight w:val="none"/>
                      <w:lang w:val="en-US" w:eastAsia="zh-CN"/>
                    </w:rPr>
                  </w:pPr>
                  <w:r>
                    <w:rPr>
                      <w:rFonts w:hint="eastAsia" w:eastAsia="仿宋" w:cs="Times New Roman"/>
                      <w:color w:val="auto"/>
                      <w:sz w:val="21"/>
                      <w:szCs w:val="21"/>
                      <w:highlight w:val="none"/>
                      <w:lang w:val="en-US" w:eastAsia="zh-CN"/>
                    </w:rPr>
                    <w:t>浓度限值</w:t>
                  </w:r>
                </w:p>
              </w:tc>
              <w:tc>
                <w:tcPr>
                  <w:tcW w:w="1641" w:type="pct"/>
                  <w:tcBorders>
                    <w:tl2br w:val="nil"/>
                    <w:tr2bl w:val="nil"/>
                  </w:tcBorders>
                  <w:noWrap w:val="0"/>
                  <w:vAlign w:val="center"/>
                </w:tcPr>
                <w:p w14:paraId="25B5DD34">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年平均</w:t>
                  </w:r>
                </w:p>
              </w:tc>
              <w:tc>
                <w:tcPr>
                  <w:tcW w:w="1295" w:type="pct"/>
                  <w:tcBorders>
                    <w:tl2br w:val="nil"/>
                    <w:tr2bl w:val="nil"/>
                  </w:tcBorders>
                  <w:noWrap w:val="0"/>
                  <w:vAlign w:val="center"/>
                </w:tcPr>
                <w:p w14:paraId="76CC0947">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50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7AB92B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0548105D">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7551CD9F">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1C6B072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61C6562C">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w:t>
                  </w:r>
                </w:p>
              </w:tc>
              <w:tc>
                <w:tcPr>
                  <w:tcW w:w="1295" w:type="pct"/>
                  <w:tcBorders>
                    <w:tl2br w:val="nil"/>
                    <w:tr2bl w:val="nil"/>
                  </w:tcBorders>
                  <w:noWrap w:val="0"/>
                  <w:vAlign w:val="center"/>
                </w:tcPr>
                <w:p w14:paraId="06183EF4">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100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141547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restart"/>
                  <w:tcBorders>
                    <w:tl2br w:val="nil"/>
                    <w:tr2bl w:val="nil"/>
                  </w:tcBorders>
                  <w:noWrap w:val="0"/>
                  <w:vAlign w:val="center"/>
                </w:tcPr>
                <w:p w14:paraId="24839076">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3</w:t>
                  </w:r>
                </w:p>
              </w:tc>
              <w:tc>
                <w:tcPr>
                  <w:tcW w:w="715" w:type="pct"/>
                  <w:vMerge w:val="restart"/>
                  <w:tcBorders>
                    <w:tl2br w:val="nil"/>
                    <w:tr2bl w:val="nil"/>
                  </w:tcBorders>
                  <w:noWrap w:val="0"/>
                  <w:vAlign w:val="center"/>
                </w:tcPr>
                <w:p w14:paraId="3041446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PM</w:t>
                  </w:r>
                  <w:r>
                    <w:rPr>
                      <w:rFonts w:hint="default" w:ascii="Times New Roman" w:hAnsi="Times New Roman" w:eastAsia="仿宋" w:cs="Times New Roman"/>
                      <w:color w:val="auto"/>
                      <w:sz w:val="21"/>
                      <w:szCs w:val="21"/>
                      <w:highlight w:val="none"/>
                      <w:vertAlign w:val="subscript"/>
                    </w:rPr>
                    <w:t>2.5</w:t>
                  </w:r>
                </w:p>
              </w:tc>
              <w:tc>
                <w:tcPr>
                  <w:tcW w:w="716" w:type="pct"/>
                  <w:vMerge w:val="restart"/>
                  <w:tcBorders>
                    <w:tl2br w:val="nil"/>
                    <w:tr2bl w:val="nil"/>
                  </w:tcBorders>
                  <w:noWrap w:val="0"/>
                  <w:vAlign w:val="center"/>
                </w:tcPr>
                <w:p w14:paraId="7101486D">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过渡阶段</w:t>
                  </w:r>
                </w:p>
              </w:tc>
              <w:tc>
                <w:tcPr>
                  <w:tcW w:w="1641" w:type="pct"/>
                  <w:tcBorders>
                    <w:tl2br w:val="nil"/>
                    <w:tr2bl w:val="nil"/>
                  </w:tcBorders>
                  <w:noWrap w:val="0"/>
                  <w:vAlign w:val="center"/>
                </w:tcPr>
                <w:p w14:paraId="65D2DD12">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年平均</w:t>
                  </w:r>
                </w:p>
              </w:tc>
              <w:tc>
                <w:tcPr>
                  <w:tcW w:w="1295" w:type="pct"/>
                  <w:tcBorders>
                    <w:tl2br w:val="nil"/>
                    <w:tr2bl w:val="nil"/>
                  </w:tcBorders>
                  <w:noWrap w:val="0"/>
                  <w:vAlign w:val="center"/>
                </w:tcPr>
                <w:p w14:paraId="33D4519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30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6C9538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75A972F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068F84EE">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66BC0CC2">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7CBCB0A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w:t>
                  </w:r>
                </w:p>
              </w:tc>
              <w:tc>
                <w:tcPr>
                  <w:tcW w:w="1295" w:type="pct"/>
                  <w:tcBorders>
                    <w:tl2br w:val="nil"/>
                    <w:tr2bl w:val="nil"/>
                  </w:tcBorders>
                  <w:noWrap w:val="0"/>
                  <w:vAlign w:val="center"/>
                </w:tcPr>
                <w:p w14:paraId="39CF08B4">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60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57BA39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76B1A345">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555FCC75">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restart"/>
                  <w:tcBorders>
                    <w:tl2br w:val="nil"/>
                    <w:tr2bl w:val="nil"/>
                  </w:tcBorders>
                  <w:noWrap w:val="0"/>
                  <w:vAlign w:val="center"/>
                </w:tcPr>
                <w:p w14:paraId="67FAE6A0">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浓度限值</w:t>
                  </w:r>
                </w:p>
              </w:tc>
              <w:tc>
                <w:tcPr>
                  <w:tcW w:w="1641" w:type="pct"/>
                  <w:tcBorders>
                    <w:tl2br w:val="nil"/>
                    <w:tr2bl w:val="nil"/>
                  </w:tcBorders>
                  <w:noWrap w:val="0"/>
                  <w:vAlign w:val="center"/>
                </w:tcPr>
                <w:p w14:paraId="189B8DF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年平均</w:t>
                  </w:r>
                </w:p>
              </w:tc>
              <w:tc>
                <w:tcPr>
                  <w:tcW w:w="1295" w:type="pct"/>
                  <w:tcBorders>
                    <w:tl2br w:val="nil"/>
                    <w:tr2bl w:val="nil"/>
                  </w:tcBorders>
                  <w:noWrap w:val="0"/>
                  <w:vAlign w:val="center"/>
                </w:tcPr>
                <w:p w14:paraId="00D08B1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25</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29B7292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10E7EA22">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27849460">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3A33388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2DEAE154">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w:t>
                  </w:r>
                </w:p>
              </w:tc>
              <w:tc>
                <w:tcPr>
                  <w:tcW w:w="1295" w:type="pct"/>
                  <w:tcBorders>
                    <w:tl2br w:val="nil"/>
                    <w:tr2bl w:val="nil"/>
                  </w:tcBorders>
                  <w:noWrap w:val="0"/>
                  <w:vAlign w:val="center"/>
                </w:tcPr>
                <w:p w14:paraId="091BAC1D">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50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485C37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restart"/>
                  <w:tcBorders>
                    <w:tl2br w:val="nil"/>
                    <w:tr2bl w:val="nil"/>
                  </w:tcBorders>
                  <w:noWrap w:val="0"/>
                  <w:vAlign w:val="center"/>
                </w:tcPr>
                <w:p w14:paraId="3A512113">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4</w:t>
                  </w:r>
                </w:p>
              </w:tc>
              <w:tc>
                <w:tcPr>
                  <w:tcW w:w="715" w:type="pct"/>
                  <w:vMerge w:val="restart"/>
                  <w:tcBorders>
                    <w:tl2br w:val="nil"/>
                    <w:tr2bl w:val="nil"/>
                  </w:tcBorders>
                  <w:noWrap w:val="0"/>
                  <w:vAlign w:val="center"/>
                </w:tcPr>
                <w:p w14:paraId="6A1A45B2">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SO</w:t>
                  </w:r>
                  <w:r>
                    <w:rPr>
                      <w:rFonts w:hint="default" w:ascii="Times New Roman" w:hAnsi="Times New Roman" w:eastAsia="仿宋" w:cs="Times New Roman"/>
                      <w:color w:val="auto"/>
                      <w:sz w:val="21"/>
                      <w:szCs w:val="21"/>
                      <w:highlight w:val="none"/>
                      <w:vertAlign w:val="subscript"/>
                    </w:rPr>
                    <w:t>2</w:t>
                  </w:r>
                </w:p>
              </w:tc>
              <w:tc>
                <w:tcPr>
                  <w:tcW w:w="716" w:type="pct"/>
                  <w:vMerge w:val="restart"/>
                  <w:tcBorders>
                    <w:tl2br w:val="nil"/>
                    <w:tr2bl w:val="nil"/>
                  </w:tcBorders>
                  <w:noWrap w:val="0"/>
                  <w:vAlign w:val="center"/>
                </w:tcPr>
                <w:p w14:paraId="239CAF6C">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过渡阶段</w:t>
                  </w:r>
                </w:p>
              </w:tc>
              <w:tc>
                <w:tcPr>
                  <w:tcW w:w="1641" w:type="pct"/>
                  <w:tcBorders>
                    <w:tl2br w:val="nil"/>
                    <w:tr2bl w:val="nil"/>
                  </w:tcBorders>
                  <w:noWrap w:val="0"/>
                  <w:vAlign w:val="center"/>
                </w:tcPr>
                <w:p w14:paraId="35CCF2A1">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年平均</w:t>
                  </w:r>
                </w:p>
              </w:tc>
              <w:tc>
                <w:tcPr>
                  <w:tcW w:w="1295" w:type="pct"/>
                  <w:tcBorders>
                    <w:tl2br w:val="nil"/>
                    <w:tr2bl w:val="nil"/>
                  </w:tcBorders>
                  <w:noWrap w:val="0"/>
                  <w:vAlign w:val="center"/>
                </w:tcPr>
                <w:p w14:paraId="752E638F">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60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30E6A5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2DD26F1C">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032443BB">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2E9343EB">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676F98E3">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w:t>
                  </w:r>
                </w:p>
              </w:tc>
              <w:tc>
                <w:tcPr>
                  <w:tcW w:w="1295" w:type="pct"/>
                  <w:tcBorders>
                    <w:tl2br w:val="nil"/>
                    <w:tr2bl w:val="nil"/>
                  </w:tcBorders>
                  <w:noWrap w:val="0"/>
                  <w:vAlign w:val="center"/>
                </w:tcPr>
                <w:p w14:paraId="24AD50F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150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238EF9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281282F7">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2D3FFEE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7419FE2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537002F5">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1小时平均</w:t>
                  </w:r>
                </w:p>
              </w:tc>
              <w:tc>
                <w:tcPr>
                  <w:tcW w:w="1295" w:type="pct"/>
                  <w:tcBorders>
                    <w:tl2br w:val="nil"/>
                    <w:tr2bl w:val="nil"/>
                  </w:tcBorders>
                  <w:noWrap w:val="0"/>
                  <w:vAlign w:val="center"/>
                </w:tcPr>
                <w:p w14:paraId="79A0BDC4">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500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5ABFAA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3848636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2049480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restart"/>
                  <w:tcBorders>
                    <w:tl2br w:val="nil"/>
                    <w:tr2bl w:val="nil"/>
                  </w:tcBorders>
                  <w:noWrap w:val="0"/>
                  <w:vAlign w:val="center"/>
                </w:tcPr>
                <w:p w14:paraId="73116BB0">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浓度限值</w:t>
                  </w:r>
                </w:p>
              </w:tc>
              <w:tc>
                <w:tcPr>
                  <w:tcW w:w="1641" w:type="pct"/>
                  <w:tcBorders>
                    <w:tl2br w:val="nil"/>
                    <w:tr2bl w:val="nil"/>
                  </w:tcBorders>
                  <w:noWrap w:val="0"/>
                  <w:vAlign w:val="center"/>
                </w:tcPr>
                <w:p w14:paraId="615C1EEF">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年平均</w:t>
                  </w:r>
                </w:p>
              </w:tc>
              <w:tc>
                <w:tcPr>
                  <w:tcW w:w="1295" w:type="pct"/>
                  <w:tcBorders>
                    <w:tl2br w:val="nil"/>
                    <w:tr2bl w:val="nil"/>
                  </w:tcBorders>
                  <w:noWrap w:val="0"/>
                  <w:vAlign w:val="center"/>
                </w:tcPr>
                <w:p w14:paraId="0343644C">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20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20C028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554D9C9E">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36B4611B">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49975EA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58444507">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w:t>
                  </w:r>
                </w:p>
              </w:tc>
              <w:tc>
                <w:tcPr>
                  <w:tcW w:w="1295" w:type="pct"/>
                  <w:tcBorders>
                    <w:tl2br w:val="nil"/>
                    <w:tr2bl w:val="nil"/>
                  </w:tcBorders>
                  <w:noWrap w:val="0"/>
                  <w:vAlign w:val="center"/>
                </w:tcPr>
                <w:p w14:paraId="32FDFE4F">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50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385D06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699247DE">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40327C8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09ED718E">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1FDACAF3">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1小时平均</w:t>
                  </w:r>
                </w:p>
              </w:tc>
              <w:tc>
                <w:tcPr>
                  <w:tcW w:w="1295" w:type="pct"/>
                  <w:tcBorders>
                    <w:tl2br w:val="nil"/>
                    <w:tr2bl w:val="nil"/>
                  </w:tcBorders>
                  <w:noWrap w:val="0"/>
                  <w:vAlign w:val="center"/>
                </w:tcPr>
                <w:p w14:paraId="4086C11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150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59A31A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restart"/>
                  <w:tcBorders>
                    <w:tl2br w:val="nil"/>
                    <w:tr2bl w:val="nil"/>
                  </w:tcBorders>
                  <w:noWrap w:val="0"/>
                  <w:vAlign w:val="center"/>
                </w:tcPr>
                <w:p w14:paraId="41750FAD">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5</w:t>
                  </w:r>
                </w:p>
              </w:tc>
              <w:tc>
                <w:tcPr>
                  <w:tcW w:w="715" w:type="pct"/>
                  <w:vMerge w:val="restart"/>
                  <w:tcBorders>
                    <w:tl2br w:val="nil"/>
                    <w:tr2bl w:val="nil"/>
                  </w:tcBorders>
                  <w:noWrap w:val="0"/>
                  <w:vAlign w:val="center"/>
                </w:tcPr>
                <w:p w14:paraId="0848E486">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NO</w:t>
                  </w:r>
                  <w:r>
                    <w:rPr>
                      <w:rFonts w:hint="default" w:ascii="Times New Roman" w:hAnsi="Times New Roman" w:eastAsia="仿宋" w:cs="Times New Roman"/>
                      <w:color w:val="auto"/>
                      <w:sz w:val="21"/>
                      <w:szCs w:val="21"/>
                      <w:highlight w:val="none"/>
                      <w:vertAlign w:val="subscript"/>
                    </w:rPr>
                    <w:t>2</w:t>
                  </w:r>
                </w:p>
              </w:tc>
              <w:tc>
                <w:tcPr>
                  <w:tcW w:w="716" w:type="pct"/>
                  <w:vMerge w:val="restart"/>
                  <w:tcBorders>
                    <w:tl2br w:val="nil"/>
                    <w:tr2bl w:val="nil"/>
                  </w:tcBorders>
                  <w:noWrap w:val="0"/>
                  <w:vAlign w:val="center"/>
                </w:tcPr>
                <w:p w14:paraId="1B5F7D84">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过渡阶段</w:t>
                  </w:r>
                </w:p>
              </w:tc>
              <w:tc>
                <w:tcPr>
                  <w:tcW w:w="1641" w:type="pct"/>
                  <w:tcBorders>
                    <w:tl2br w:val="nil"/>
                    <w:tr2bl w:val="nil"/>
                  </w:tcBorders>
                  <w:noWrap w:val="0"/>
                  <w:vAlign w:val="center"/>
                </w:tcPr>
                <w:p w14:paraId="340A31D2">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年平均</w:t>
                  </w:r>
                </w:p>
              </w:tc>
              <w:tc>
                <w:tcPr>
                  <w:tcW w:w="1295" w:type="pct"/>
                  <w:tcBorders>
                    <w:tl2br w:val="nil"/>
                    <w:tr2bl w:val="nil"/>
                  </w:tcBorders>
                  <w:noWrap w:val="0"/>
                  <w:vAlign w:val="center"/>
                </w:tcPr>
                <w:p w14:paraId="0715A206">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40μg/m</w:t>
                  </w:r>
                  <w:r>
                    <w:rPr>
                      <w:rFonts w:hint="default" w:ascii="Times New Roman" w:hAnsi="Times New Roman" w:eastAsia="仿宋" w:cs="Times New Roman"/>
                      <w:color w:val="auto"/>
                      <w:sz w:val="21"/>
                      <w:szCs w:val="21"/>
                      <w:highlight w:val="none"/>
                      <w:vertAlign w:val="superscript"/>
                    </w:rPr>
                    <w:t>3</w:t>
                  </w:r>
                </w:p>
              </w:tc>
            </w:tr>
            <w:tr w14:paraId="0260916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521BFFB5">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3289BB46">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253F028B">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5DA7BB9B">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w:t>
                  </w:r>
                </w:p>
              </w:tc>
              <w:tc>
                <w:tcPr>
                  <w:tcW w:w="1295" w:type="pct"/>
                  <w:tcBorders>
                    <w:tl2br w:val="nil"/>
                    <w:tr2bl w:val="nil"/>
                  </w:tcBorders>
                  <w:noWrap w:val="0"/>
                  <w:vAlign w:val="center"/>
                </w:tcPr>
                <w:p w14:paraId="206F6021">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80μg/m</w:t>
                  </w:r>
                  <w:r>
                    <w:rPr>
                      <w:rFonts w:hint="default" w:ascii="Times New Roman" w:hAnsi="Times New Roman" w:eastAsia="仿宋" w:cs="Times New Roman"/>
                      <w:color w:val="auto"/>
                      <w:sz w:val="21"/>
                      <w:szCs w:val="21"/>
                      <w:highlight w:val="none"/>
                      <w:vertAlign w:val="superscript"/>
                    </w:rPr>
                    <w:t>3</w:t>
                  </w:r>
                </w:p>
              </w:tc>
            </w:tr>
            <w:tr w14:paraId="1DD28B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73AC02F0">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40D0CD9B">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46076D1D">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15B292CB">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1小时平均</w:t>
                  </w:r>
                </w:p>
              </w:tc>
              <w:tc>
                <w:tcPr>
                  <w:tcW w:w="1295" w:type="pct"/>
                  <w:tcBorders>
                    <w:tl2br w:val="nil"/>
                    <w:tr2bl w:val="nil"/>
                  </w:tcBorders>
                  <w:noWrap w:val="0"/>
                  <w:vAlign w:val="center"/>
                </w:tcPr>
                <w:p w14:paraId="2CA80921">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200μg/m</w:t>
                  </w:r>
                  <w:r>
                    <w:rPr>
                      <w:rFonts w:hint="default" w:ascii="Times New Roman" w:hAnsi="Times New Roman" w:eastAsia="仿宋" w:cs="Times New Roman"/>
                      <w:color w:val="auto"/>
                      <w:sz w:val="21"/>
                      <w:szCs w:val="21"/>
                      <w:highlight w:val="none"/>
                      <w:vertAlign w:val="superscript"/>
                    </w:rPr>
                    <w:t>3</w:t>
                  </w:r>
                </w:p>
              </w:tc>
            </w:tr>
            <w:tr w14:paraId="0FCCC8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6CE9E97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2A41F41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restart"/>
                  <w:tcBorders>
                    <w:tl2br w:val="nil"/>
                    <w:tr2bl w:val="nil"/>
                  </w:tcBorders>
                  <w:noWrap w:val="0"/>
                  <w:vAlign w:val="center"/>
                </w:tcPr>
                <w:p w14:paraId="6852B19F">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浓度限值</w:t>
                  </w:r>
                </w:p>
              </w:tc>
              <w:tc>
                <w:tcPr>
                  <w:tcW w:w="1641" w:type="pct"/>
                  <w:tcBorders>
                    <w:tl2br w:val="nil"/>
                    <w:tr2bl w:val="nil"/>
                  </w:tcBorders>
                  <w:noWrap w:val="0"/>
                  <w:vAlign w:val="center"/>
                </w:tcPr>
                <w:p w14:paraId="1E132DD6">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年平均</w:t>
                  </w:r>
                </w:p>
              </w:tc>
              <w:tc>
                <w:tcPr>
                  <w:tcW w:w="1295" w:type="pct"/>
                  <w:tcBorders>
                    <w:tl2br w:val="nil"/>
                    <w:tr2bl w:val="nil"/>
                  </w:tcBorders>
                  <w:noWrap w:val="0"/>
                  <w:vAlign w:val="center"/>
                </w:tcPr>
                <w:p w14:paraId="3E77E0D4">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30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642D6A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6ADD7CA5">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1150DF03">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0E478CAF">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249EAC7D">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w:t>
                  </w:r>
                </w:p>
              </w:tc>
              <w:tc>
                <w:tcPr>
                  <w:tcW w:w="1295" w:type="pct"/>
                  <w:tcBorders>
                    <w:tl2br w:val="nil"/>
                    <w:tr2bl w:val="nil"/>
                  </w:tcBorders>
                  <w:noWrap w:val="0"/>
                  <w:vAlign w:val="center"/>
                </w:tcPr>
                <w:p w14:paraId="5F115891">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50</w:t>
                  </w:r>
                  <w:r>
                    <w:rPr>
                      <w:rFonts w:hint="default" w:ascii="Times New Roman" w:hAnsi="Times New Roman" w:eastAsia="仿宋" w:cs="Times New Roman"/>
                      <w:color w:val="auto"/>
                      <w:sz w:val="21"/>
                      <w:szCs w:val="21"/>
                      <w:highlight w:val="none"/>
                    </w:rPr>
                    <w:t>μg/m</w:t>
                  </w:r>
                  <w:r>
                    <w:rPr>
                      <w:rFonts w:hint="default" w:ascii="Times New Roman" w:hAnsi="Times New Roman" w:eastAsia="仿宋" w:cs="Times New Roman"/>
                      <w:color w:val="auto"/>
                      <w:sz w:val="21"/>
                      <w:szCs w:val="21"/>
                      <w:highlight w:val="none"/>
                      <w:vertAlign w:val="superscript"/>
                    </w:rPr>
                    <w:t>3</w:t>
                  </w:r>
                </w:p>
              </w:tc>
            </w:tr>
            <w:tr w14:paraId="03EAB7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14025C20">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5BFC49A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6D0E64B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21A4F6D0">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1小时平均</w:t>
                  </w:r>
                </w:p>
              </w:tc>
              <w:tc>
                <w:tcPr>
                  <w:tcW w:w="1295" w:type="pct"/>
                  <w:tcBorders>
                    <w:tl2br w:val="nil"/>
                    <w:tr2bl w:val="nil"/>
                  </w:tcBorders>
                  <w:noWrap w:val="0"/>
                  <w:vAlign w:val="center"/>
                </w:tcPr>
                <w:p w14:paraId="3A0DF561">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200μg/m</w:t>
                  </w:r>
                  <w:r>
                    <w:rPr>
                      <w:rFonts w:hint="default" w:ascii="Times New Roman" w:hAnsi="Times New Roman" w:eastAsia="仿宋" w:cs="Times New Roman"/>
                      <w:color w:val="auto"/>
                      <w:sz w:val="21"/>
                      <w:szCs w:val="21"/>
                      <w:highlight w:val="none"/>
                      <w:vertAlign w:val="superscript"/>
                    </w:rPr>
                    <w:t>3</w:t>
                  </w:r>
                </w:p>
              </w:tc>
            </w:tr>
            <w:tr w14:paraId="4B16308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restart"/>
                  <w:tcBorders>
                    <w:tl2br w:val="nil"/>
                    <w:tr2bl w:val="nil"/>
                  </w:tcBorders>
                  <w:noWrap w:val="0"/>
                  <w:vAlign w:val="center"/>
                </w:tcPr>
                <w:p w14:paraId="32AF4EA7">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sz w:val="21"/>
                      <w:szCs w:val="21"/>
                      <w:highlight w:val="none"/>
                    </w:rPr>
                    <w:t>6</w:t>
                  </w:r>
                </w:p>
              </w:tc>
              <w:tc>
                <w:tcPr>
                  <w:tcW w:w="715" w:type="pct"/>
                  <w:vMerge w:val="restart"/>
                  <w:tcBorders>
                    <w:tl2br w:val="nil"/>
                    <w:tr2bl w:val="nil"/>
                  </w:tcBorders>
                  <w:noWrap w:val="0"/>
                  <w:vAlign w:val="center"/>
                </w:tcPr>
                <w:p w14:paraId="0C7276B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CO</w:t>
                  </w:r>
                </w:p>
              </w:tc>
              <w:tc>
                <w:tcPr>
                  <w:tcW w:w="716" w:type="pct"/>
                  <w:vMerge w:val="restart"/>
                  <w:tcBorders>
                    <w:tl2br w:val="nil"/>
                    <w:tr2bl w:val="nil"/>
                  </w:tcBorders>
                  <w:noWrap w:val="0"/>
                  <w:vAlign w:val="center"/>
                </w:tcPr>
                <w:p w14:paraId="52C523F1">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过渡阶段</w:t>
                  </w:r>
                </w:p>
              </w:tc>
              <w:tc>
                <w:tcPr>
                  <w:tcW w:w="1641" w:type="pct"/>
                  <w:tcBorders>
                    <w:tl2br w:val="nil"/>
                    <w:tr2bl w:val="nil"/>
                  </w:tcBorders>
                  <w:noWrap w:val="0"/>
                  <w:vAlign w:val="center"/>
                </w:tcPr>
                <w:p w14:paraId="7D4E573D">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w:t>
                  </w:r>
                </w:p>
              </w:tc>
              <w:tc>
                <w:tcPr>
                  <w:tcW w:w="1295" w:type="pct"/>
                  <w:tcBorders>
                    <w:tl2br w:val="nil"/>
                    <w:tr2bl w:val="nil"/>
                  </w:tcBorders>
                  <w:noWrap w:val="0"/>
                  <w:vAlign w:val="center"/>
                </w:tcPr>
                <w:p w14:paraId="3345ACB4">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4mg/m</w:t>
                  </w:r>
                  <w:r>
                    <w:rPr>
                      <w:rFonts w:hint="default" w:ascii="Times New Roman" w:hAnsi="Times New Roman" w:eastAsia="仿宋" w:cs="Times New Roman"/>
                      <w:color w:val="auto"/>
                      <w:sz w:val="21"/>
                      <w:szCs w:val="21"/>
                      <w:highlight w:val="none"/>
                      <w:vertAlign w:val="superscript"/>
                    </w:rPr>
                    <w:t>3</w:t>
                  </w:r>
                </w:p>
              </w:tc>
            </w:tr>
            <w:tr w14:paraId="6D39007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46C41E23">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146CF6C2">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0DF49854">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1AE8075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1小时平均</w:t>
                  </w:r>
                </w:p>
              </w:tc>
              <w:tc>
                <w:tcPr>
                  <w:tcW w:w="1295" w:type="pct"/>
                  <w:tcBorders>
                    <w:tl2br w:val="nil"/>
                    <w:tr2bl w:val="nil"/>
                  </w:tcBorders>
                  <w:noWrap w:val="0"/>
                  <w:vAlign w:val="center"/>
                </w:tcPr>
                <w:p w14:paraId="5A5471FD">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10mg/m</w:t>
                  </w:r>
                  <w:r>
                    <w:rPr>
                      <w:rFonts w:hint="default" w:ascii="Times New Roman" w:hAnsi="Times New Roman" w:eastAsia="仿宋" w:cs="Times New Roman"/>
                      <w:color w:val="auto"/>
                      <w:sz w:val="21"/>
                      <w:szCs w:val="21"/>
                      <w:highlight w:val="none"/>
                      <w:vertAlign w:val="superscript"/>
                    </w:rPr>
                    <w:t>3</w:t>
                  </w:r>
                </w:p>
              </w:tc>
            </w:tr>
            <w:tr w14:paraId="263243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42D84844">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7361D3F5">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restart"/>
                  <w:tcBorders>
                    <w:tl2br w:val="nil"/>
                    <w:tr2bl w:val="nil"/>
                  </w:tcBorders>
                  <w:noWrap w:val="0"/>
                  <w:vAlign w:val="center"/>
                </w:tcPr>
                <w:p w14:paraId="60BB3402">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浓度限值</w:t>
                  </w:r>
                </w:p>
              </w:tc>
              <w:tc>
                <w:tcPr>
                  <w:tcW w:w="1641" w:type="pct"/>
                  <w:tcBorders>
                    <w:tl2br w:val="nil"/>
                    <w:tr2bl w:val="nil"/>
                  </w:tcBorders>
                  <w:noWrap w:val="0"/>
                  <w:vAlign w:val="center"/>
                </w:tcPr>
                <w:p w14:paraId="1CA4976D">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w:t>
                  </w:r>
                </w:p>
              </w:tc>
              <w:tc>
                <w:tcPr>
                  <w:tcW w:w="1295" w:type="pct"/>
                  <w:tcBorders>
                    <w:tl2br w:val="nil"/>
                    <w:tr2bl w:val="nil"/>
                  </w:tcBorders>
                  <w:noWrap w:val="0"/>
                  <w:vAlign w:val="center"/>
                </w:tcPr>
                <w:p w14:paraId="61713F7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4mg/m</w:t>
                  </w:r>
                  <w:r>
                    <w:rPr>
                      <w:rFonts w:hint="default" w:ascii="Times New Roman" w:hAnsi="Times New Roman" w:eastAsia="仿宋" w:cs="Times New Roman"/>
                      <w:color w:val="auto"/>
                      <w:sz w:val="21"/>
                      <w:szCs w:val="21"/>
                      <w:highlight w:val="none"/>
                      <w:vertAlign w:val="superscript"/>
                    </w:rPr>
                    <w:t>3</w:t>
                  </w:r>
                </w:p>
              </w:tc>
            </w:tr>
            <w:tr w14:paraId="41DEBC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0927038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44EF867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384C04EF">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2882EEBE">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1小时平均</w:t>
                  </w:r>
                </w:p>
              </w:tc>
              <w:tc>
                <w:tcPr>
                  <w:tcW w:w="1295" w:type="pct"/>
                  <w:tcBorders>
                    <w:tl2br w:val="nil"/>
                    <w:tr2bl w:val="nil"/>
                  </w:tcBorders>
                  <w:noWrap w:val="0"/>
                  <w:vAlign w:val="center"/>
                </w:tcPr>
                <w:p w14:paraId="09D80725">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10mg/m</w:t>
                  </w:r>
                  <w:r>
                    <w:rPr>
                      <w:rFonts w:hint="default" w:ascii="Times New Roman" w:hAnsi="Times New Roman" w:eastAsia="仿宋" w:cs="Times New Roman"/>
                      <w:color w:val="auto"/>
                      <w:sz w:val="21"/>
                      <w:szCs w:val="21"/>
                      <w:highlight w:val="none"/>
                      <w:vertAlign w:val="superscript"/>
                    </w:rPr>
                    <w:t>3</w:t>
                  </w:r>
                </w:p>
              </w:tc>
            </w:tr>
            <w:tr w14:paraId="268333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restart"/>
                  <w:tcBorders>
                    <w:tl2br w:val="nil"/>
                    <w:tr2bl w:val="nil"/>
                  </w:tcBorders>
                  <w:noWrap w:val="0"/>
                  <w:vAlign w:val="center"/>
                </w:tcPr>
                <w:p w14:paraId="350F3931">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7</w:t>
                  </w:r>
                </w:p>
              </w:tc>
              <w:tc>
                <w:tcPr>
                  <w:tcW w:w="715" w:type="pct"/>
                  <w:vMerge w:val="restart"/>
                  <w:tcBorders>
                    <w:tl2br w:val="nil"/>
                    <w:tr2bl w:val="nil"/>
                  </w:tcBorders>
                  <w:noWrap w:val="0"/>
                  <w:vAlign w:val="center"/>
                </w:tcPr>
                <w:p w14:paraId="497F2C8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O</w:t>
                  </w:r>
                  <w:r>
                    <w:rPr>
                      <w:rFonts w:hint="default" w:ascii="Times New Roman" w:hAnsi="Times New Roman" w:eastAsia="仿宋" w:cs="Times New Roman"/>
                      <w:color w:val="auto"/>
                      <w:sz w:val="21"/>
                      <w:szCs w:val="21"/>
                      <w:highlight w:val="none"/>
                      <w:vertAlign w:val="subscript"/>
                    </w:rPr>
                    <w:t>3</w:t>
                  </w:r>
                </w:p>
              </w:tc>
              <w:tc>
                <w:tcPr>
                  <w:tcW w:w="1125" w:type="dxa"/>
                  <w:vMerge w:val="restart"/>
                  <w:tcBorders>
                    <w:tl2br w:val="nil"/>
                    <w:tr2bl w:val="nil"/>
                  </w:tcBorders>
                  <w:noWrap w:val="0"/>
                  <w:vAlign w:val="center"/>
                </w:tcPr>
                <w:p w14:paraId="4FA902C7">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过渡阶段</w:t>
                  </w:r>
                </w:p>
              </w:tc>
              <w:tc>
                <w:tcPr>
                  <w:tcW w:w="1641" w:type="pct"/>
                  <w:tcBorders>
                    <w:tl2br w:val="nil"/>
                    <w:tr2bl w:val="nil"/>
                  </w:tcBorders>
                  <w:noWrap w:val="0"/>
                  <w:vAlign w:val="center"/>
                </w:tcPr>
                <w:p w14:paraId="0890400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日最大8小时平均</w:t>
                  </w:r>
                </w:p>
              </w:tc>
              <w:tc>
                <w:tcPr>
                  <w:tcW w:w="1295" w:type="pct"/>
                  <w:tcBorders>
                    <w:tl2br w:val="nil"/>
                    <w:tr2bl w:val="nil"/>
                  </w:tcBorders>
                  <w:noWrap w:val="0"/>
                  <w:vAlign w:val="center"/>
                </w:tcPr>
                <w:p w14:paraId="27A9FAB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160μg/m</w:t>
                  </w:r>
                  <w:r>
                    <w:rPr>
                      <w:rFonts w:hint="default" w:ascii="Times New Roman" w:hAnsi="Times New Roman" w:eastAsia="仿宋" w:cs="Times New Roman"/>
                      <w:color w:val="auto"/>
                      <w:sz w:val="21"/>
                      <w:szCs w:val="21"/>
                      <w:highlight w:val="none"/>
                      <w:vertAlign w:val="superscript"/>
                    </w:rPr>
                    <w:t>3</w:t>
                  </w:r>
                </w:p>
              </w:tc>
            </w:tr>
            <w:tr w14:paraId="32D329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35677B57">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3864CB01">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2511F7E5">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641" w:type="pct"/>
                  <w:tcBorders>
                    <w:tl2br w:val="nil"/>
                    <w:tr2bl w:val="nil"/>
                  </w:tcBorders>
                  <w:noWrap w:val="0"/>
                  <w:vAlign w:val="center"/>
                </w:tcPr>
                <w:p w14:paraId="0A854411">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1小时平均</w:t>
                  </w:r>
                </w:p>
              </w:tc>
              <w:tc>
                <w:tcPr>
                  <w:tcW w:w="1295" w:type="pct"/>
                  <w:tcBorders>
                    <w:tl2br w:val="nil"/>
                    <w:tr2bl w:val="nil"/>
                  </w:tcBorders>
                  <w:noWrap w:val="0"/>
                  <w:vAlign w:val="center"/>
                </w:tcPr>
                <w:p w14:paraId="095BE9A5">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200μg/m</w:t>
                  </w:r>
                  <w:r>
                    <w:rPr>
                      <w:rFonts w:hint="default" w:ascii="Times New Roman" w:hAnsi="Times New Roman" w:eastAsia="仿宋" w:cs="Times New Roman"/>
                      <w:color w:val="auto"/>
                      <w:sz w:val="21"/>
                      <w:szCs w:val="21"/>
                      <w:highlight w:val="none"/>
                      <w:vertAlign w:val="superscript"/>
                    </w:rPr>
                    <w:t>3</w:t>
                  </w:r>
                </w:p>
              </w:tc>
            </w:tr>
            <w:tr w14:paraId="09F935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7BE3513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5EABAAFF">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1125" w:type="dxa"/>
                  <w:vMerge w:val="restart"/>
                  <w:tcBorders>
                    <w:tl2br w:val="nil"/>
                    <w:tr2bl w:val="nil"/>
                  </w:tcBorders>
                  <w:noWrap w:val="0"/>
                  <w:vAlign w:val="center"/>
                </w:tcPr>
                <w:p w14:paraId="32FD358B">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eastAsia" w:eastAsia="仿宋" w:cs="Times New Roman"/>
                      <w:color w:val="auto"/>
                      <w:sz w:val="21"/>
                      <w:szCs w:val="21"/>
                      <w:highlight w:val="none"/>
                      <w:lang w:val="en-US" w:eastAsia="zh-CN"/>
                    </w:rPr>
                    <w:t>浓度限值</w:t>
                  </w:r>
                </w:p>
              </w:tc>
              <w:tc>
                <w:tcPr>
                  <w:tcW w:w="2578" w:type="dxa"/>
                  <w:tcBorders>
                    <w:tl2br w:val="nil"/>
                    <w:tr2bl w:val="nil"/>
                  </w:tcBorders>
                  <w:noWrap w:val="0"/>
                  <w:vAlign w:val="center"/>
                </w:tcPr>
                <w:p w14:paraId="7B4F99E9">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日最大8小时平均</w:t>
                  </w:r>
                </w:p>
              </w:tc>
              <w:tc>
                <w:tcPr>
                  <w:tcW w:w="2034" w:type="dxa"/>
                  <w:tcBorders>
                    <w:tl2br w:val="nil"/>
                    <w:tr2bl w:val="nil"/>
                  </w:tcBorders>
                  <w:noWrap w:val="0"/>
                  <w:vAlign w:val="center"/>
                </w:tcPr>
                <w:p w14:paraId="11B9E02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160μg/m</w:t>
                  </w:r>
                  <w:r>
                    <w:rPr>
                      <w:rFonts w:hint="default" w:ascii="Times New Roman" w:hAnsi="Times New Roman" w:eastAsia="仿宋" w:cs="Times New Roman"/>
                      <w:color w:val="auto"/>
                      <w:sz w:val="21"/>
                      <w:szCs w:val="21"/>
                      <w:highlight w:val="none"/>
                      <w:vertAlign w:val="superscript"/>
                    </w:rPr>
                    <w:t>3</w:t>
                  </w:r>
                </w:p>
              </w:tc>
            </w:tr>
            <w:tr w14:paraId="01EE4E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31" w:type="pct"/>
                  <w:vMerge w:val="continue"/>
                  <w:tcBorders>
                    <w:tl2br w:val="nil"/>
                    <w:tr2bl w:val="nil"/>
                  </w:tcBorders>
                  <w:noWrap w:val="0"/>
                  <w:vAlign w:val="center"/>
                </w:tcPr>
                <w:p w14:paraId="40489C6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5" w:type="pct"/>
                  <w:vMerge w:val="continue"/>
                  <w:tcBorders>
                    <w:tl2br w:val="nil"/>
                    <w:tr2bl w:val="nil"/>
                  </w:tcBorders>
                  <w:noWrap w:val="0"/>
                  <w:vAlign w:val="center"/>
                </w:tcPr>
                <w:p w14:paraId="6D1825E7">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716" w:type="pct"/>
                  <w:vMerge w:val="continue"/>
                  <w:tcBorders>
                    <w:tl2br w:val="nil"/>
                    <w:tr2bl w:val="nil"/>
                  </w:tcBorders>
                  <w:noWrap w:val="0"/>
                  <w:vAlign w:val="center"/>
                </w:tcPr>
                <w:p w14:paraId="300A048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p>
              </w:tc>
              <w:tc>
                <w:tcPr>
                  <w:tcW w:w="2578" w:type="dxa"/>
                  <w:tcBorders>
                    <w:tl2br w:val="nil"/>
                    <w:tr2bl w:val="nil"/>
                  </w:tcBorders>
                  <w:noWrap w:val="0"/>
                  <w:vAlign w:val="center"/>
                </w:tcPr>
                <w:p w14:paraId="00BC554A">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1小时平均</w:t>
                  </w:r>
                </w:p>
              </w:tc>
              <w:tc>
                <w:tcPr>
                  <w:tcW w:w="2034" w:type="dxa"/>
                  <w:tcBorders>
                    <w:tl2br w:val="nil"/>
                    <w:tr2bl w:val="nil"/>
                  </w:tcBorders>
                  <w:noWrap w:val="0"/>
                  <w:vAlign w:val="center"/>
                </w:tcPr>
                <w:p w14:paraId="62456A26">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200μg/m</w:t>
                  </w:r>
                  <w:r>
                    <w:rPr>
                      <w:rFonts w:hint="default" w:ascii="Times New Roman" w:hAnsi="Times New Roman" w:eastAsia="仿宋" w:cs="Times New Roman"/>
                      <w:color w:val="auto"/>
                      <w:sz w:val="21"/>
                      <w:szCs w:val="21"/>
                      <w:highlight w:val="none"/>
                      <w:vertAlign w:val="superscript"/>
                    </w:rPr>
                    <w:t>3</w:t>
                  </w:r>
                </w:p>
              </w:tc>
            </w:tr>
          </w:tbl>
          <w:p w14:paraId="7A7E85E1">
            <w:pPr>
              <w:keepNext w:val="0"/>
              <w:keepLines w:val="0"/>
              <w:pageBreakBefore w:val="0"/>
              <w:widowControl w:val="0"/>
              <w:kinsoku/>
              <w:wordWrap/>
              <w:overflowPunct/>
              <w:topLinePunct/>
              <w:autoSpaceDE/>
              <w:autoSpaceDN w:val="0"/>
              <w:bidi w:val="0"/>
              <w:adjustRightInd w:val="0"/>
              <w:snapToGrid w:val="0"/>
              <w:spacing w:before="157" w:beforeLines="50" w:line="360" w:lineRule="auto"/>
              <w:ind w:firstLine="480" w:firstLineChars="200"/>
              <w:textAlignment w:val="center"/>
              <w:rPr>
                <w:rFonts w:hint="default" w:ascii="Times New Roman" w:hAnsi="Times New Roman" w:eastAsia="仿宋" w:cs="Times New Roman"/>
                <w:color w:val="auto"/>
                <w:spacing w:val="0"/>
                <w:sz w:val="24"/>
                <w:highlight w:val="none"/>
              </w:rPr>
            </w:pPr>
            <w:r>
              <w:rPr>
                <w:rFonts w:hint="default" w:ascii="Times New Roman" w:hAnsi="Times New Roman" w:eastAsia="仿宋" w:cs="Times New Roman"/>
                <w:color w:val="auto"/>
                <w:spacing w:val="0"/>
                <w:sz w:val="24"/>
                <w:highlight w:val="none"/>
                <w:lang w:eastAsia="zh-CN"/>
              </w:rPr>
              <w:t>⑵声环境质量标准</w:t>
            </w:r>
          </w:p>
          <w:p w14:paraId="78B1AD97">
            <w:pPr>
              <w:keepNext w:val="0"/>
              <w:keepLines w:val="0"/>
              <w:pageBreakBefore w:val="0"/>
              <w:widowControl w:val="0"/>
              <w:kinsoku/>
              <w:wordWrap/>
              <w:overflowPunct/>
              <w:topLinePunct/>
              <w:autoSpaceDE/>
              <w:autoSpaceDN w:val="0"/>
              <w:bidi w:val="0"/>
              <w:adjustRightInd w:val="0"/>
              <w:snapToGrid w:val="0"/>
              <w:spacing w:line="360" w:lineRule="auto"/>
              <w:ind w:firstLine="480" w:firstLineChars="200"/>
              <w:textAlignment w:val="center"/>
              <w:rPr>
                <w:rFonts w:hint="default" w:ascii="Times New Roman" w:hAnsi="Times New Roman" w:eastAsia="仿宋" w:cs="Times New Roman"/>
                <w:color w:val="auto"/>
                <w:spacing w:val="0"/>
                <w:sz w:val="24"/>
                <w:highlight w:val="none"/>
              </w:rPr>
            </w:pPr>
            <w:r>
              <w:rPr>
                <w:rFonts w:hint="default" w:ascii="Times New Roman" w:hAnsi="Times New Roman" w:eastAsia="仿宋" w:cs="Times New Roman"/>
                <w:color w:val="auto"/>
                <w:spacing w:val="0"/>
                <w:sz w:val="24"/>
                <w:highlight w:val="none"/>
              </w:rPr>
              <w:t>声环境质量执行《声环境质量标准》（GB3096-2008）中</w:t>
            </w:r>
            <w:r>
              <w:rPr>
                <w:rFonts w:hint="eastAsia" w:eastAsia="仿宋" w:cs="Times New Roman"/>
                <w:color w:val="auto"/>
                <w:spacing w:val="0"/>
                <w:sz w:val="24"/>
                <w:highlight w:val="none"/>
                <w:lang w:val="en-US" w:eastAsia="zh-CN"/>
              </w:rPr>
              <w:t>2</w:t>
            </w:r>
            <w:r>
              <w:rPr>
                <w:rFonts w:hint="default" w:ascii="Times New Roman" w:hAnsi="Times New Roman" w:eastAsia="仿宋" w:cs="Times New Roman"/>
                <w:color w:val="auto"/>
                <w:spacing w:val="0"/>
                <w:sz w:val="24"/>
                <w:highlight w:val="none"/>
              </w:rPr>
              <w:t>类标准。</w:t>
            </w:r>
          </w:p>
          <w:p w14:paraId="17FAC75C">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仿宋" w:cs="Times New Roman"/>
                <w:b/>
                <w:color w:val="000000"/>
                <w:kern w:val="0"/>
                <w:szCs w:val="21"/>
              </w:rPr>
            </w:pPr>
            <w:r>
              <w:rPr>
                <w:rFonts w:hint="default" w:ascii="Times New Roman" w:hAnsi="Times New Roman" w:eastAsia="仿宋" w:cs="Times New Roman"/>
                <w:b/>
                <w:color w:val="000000"/>
                <w:kern w:val="0"/>
                <w:szCs w:val="21"/>
              </w:rPr>
              <w:t>表</w:t>
            </w:r>
            <w:r>
              <w:rPr>
                <w:rFonts w:hint="eastAsia" w:eastAsia="仿宋" w:cs="Times New Roman"/>
                <w:b/>
                <w:color w:val="000000"/>
                <w:kern w:val="0"/>
                <w:szCs w:val="21"/>
                <w:lang w:val="en-US" w:eastAsia="zh-CN"/>
              </w:rPr>
              <w:t>28</w:t>
            </w:r>
            <w:r>
              <w:rPr>
                <w:rFonts w:hint="default" w:ascii="Times New Roman" w:hAnsi="Times New Roman" w:eastAsia="仿宋" w:cs="Times New Roman"/>
                <w:b/>
                <w:color w:val="000000"/>
                <w:kern w:val="0"/>
                <w:szCs w:val="21"/>
              </w:rPr>
              <w:t xml:space="preserve"> </w:t>
            </w:r>
            <w:r>
              <w:rPr>
                <w:rFonts w:hint="default" w:ascii="Times New Roman" w:hAnsi="Times New Roman" w:eastAsia="仿宋" w:cs="Times New Roman"/>
                <w:b/>
                <w:color w:val="000000"/>
                <w:kern w:val="0"/>
                <w:szCs w:val="21"/>
                <w:lang w:val="en-US" w:eastAsia="zh-CN"/>
              </w:rPr>
              <w:t xml:space="preserve">  </w:t>
            </w:r>
            <w:r>
              <w:rPr>
                <w:rFonts w:hint="default" w:ascii="Times New Roman" w:hAnsi="Times New Roman" w:eastAsia="仿宋" w:cs="Times New Roman"/>
                <w:b/>
                <w:color w:val="000000"/>
                <w:kern w:val="0"/>
                <w:szCs w:val="21"/>
              </w:rPr>
              <w:t>《声环境质量标准》（GB3096-2008）</w:t>
            </w:r>
            <w:r>
              <w:rPr>
                <w:rFonts w:hint="default" w:ascii="Times New Roman" w:hAnsi="Times New Roman" w:eastAsia="仿宋" w:cs="Times New Roman"/>
                <w:b/>
                <w:color w:val="000000"/>
                <w:kern w:val="0"/>
                <w:szCs w:val="21"/>
                <w:lang w:val="en-US" w:eastAsia="zh-CN"/>
              </w:rPr>
              <w:t xml:space="preserve">  </w:t>
            </w:r>
            <w:r>
              <w:rPr>
                <w:rFonts w:hint="default" w:ascii="Times New Roman" w:hAnsi="Times New Roman" w:eastAsia="仿宋" w:cs="Times New Roman"/>
                <w:b/>
                <w:color w:val="000000"/>
                <w:kern w:val="0"/>
                <w:szCs w:val="21"/>
              </w:rPr>
              <w:t>单位：dB</w:t>
            </w:r>
            <w:r>
              <w:rPr>
                <w:rFonts w:hint="eastAsia" w:ascii="Times New Roman" w:hAnsi="Times New Roman" w:eastAsia="仿宋" w:cs="Times New Roman"/>
                <w:b/>
                <w:color w:val="000000"/>
                <w:kern w:val="0"/>
                <w:szCs w:val="21"/>
                <w:lang w:val="en-US" w:eastAsia="zh-CN"/>
              </w:rPr>
              <w:t>（</w:t>
            </w:r>
            <w:r>
              <w:rPr>
                <w:rFonts w:hint="default" w:ascii="Times New Roman" w:hAnsi="Times New Roman" w:eastAsia="仿宋" w:cs="Times New Roman"/>
                <w:b/>
                <w:color w:val="000000"/>
                <w:kern w:val="0"/>
                <w:szCs w:val="21"/>
              </w:rPr>
              <w:t>A</w:t>
            </w:r>
            <w:r>
              <w:rPr>
                <w:rFonts w:hint="eastAsia" w:ascii="Times New Roman" w:hAnsi="Times New Roman" w:eastAsia="仿宋" w:cs="Times New Roman"/>
                <w:b/>
                <w:color w:val="000000"/>
                <w:kern w:val="0"/>
                <w:szCs w:val="21"/>
                <w:lang w:val="en-US" w:eastAsia="zh-CN"/>
              </w:rPr>
              <w:t>）</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316"/>
              <w:gridCol w:w="2648"/>
              <w:gridCol w:w="2503"/>
            </w:tblGrid>
            <w:tr w14:paraId="44BCEB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69" w:hRule="atLeast"/>
                <w:jc w:val="center"/>
              </w:trPr>
              <w:tc>
                <w:tcPr>
                  <w:tcW w:w="1551" w:type="pct"/>
                  <w:tcBorders>
                    <w:tl2br w:val="nil"/>
                    <w:tr2bl w:val="nil"/>
                  </w:tcBorders>
                  <w:noWrap w:val="0"/>
                  <w:vAlign w:val="center"/>
                </w:tcPr>
                <w:p w14:paraId="6E5E531C">
                  <w:pPr>
                    <w:keepNext w:val="0"/>
                    <w:keepLines w:val="0"/>
                    <w:pageBreakBefore w:val="0"/>
                    <w:widowControl w:val="0"/>
                    <w:kinsoku/>
                    <w:wordWrap/>
                    <w:overflowPunct/>
                    <w:topLinePunct/>
                    <w:autoSpaceDE/>
                    <w:autoSpaceDN w:val="0"/>
                    <w:bidi w:val="0"/>
                    <w:adjustRightInd/>
                    <w:snapToGrid/>
                    <w:spacing w:line="360" w:lineRule="exact"/>
                    <w:jc w:val="center"/>
                    <w:textAlignment w:val="center"/>
                    <w:rPr>
                      <w:rFonts w:hint="default" w:ascii="Times New Roman" w:hAnsi="Times New Roman" w:eastAsia="仿宋" w:cs="Times New Roman"/>
                      <w:color w:val="auto"/>
                      <w:spacing w:val="0"/>
                      <w:szCs w:val="22"/>
                      <w:highlight w:val="none"/>
                    </w:rPr>
                  </w:pPr>
                  <w:r>
                    <w:rPr>
                      <w:rFonts w:hint="default" w:ascii="Times New Roman" w:hAnsi="Times New Roman" w:eastAsia="仿宋" w:cs="Times New Roman"/>
                      <w:color w:val="auto"/>
                      <w:spacing w:val="0"/>
                      <w:szCs w:val="22"/>
                      <w:highlight w:val="none"/>
                    </w:rPr>
                    <w:t>类别</w:t>
                  </w:r>
                </w:p>
              </w:tc>
              <w:tc>
                <w:tcPr>
                  <w:tcW w:w="1773" w:type="pct"/>
                  <w:tcBorders>
                    <w:tl2br w:val="nil"/>
                    <w:tr2bl w:val="nil"/>
                  </w:tcBorders>
                  <w:noWrap w:val="0"/>
                  <w:vAlign w:val="center"/>
                </w:tcPr>
                <w:p w14:paraId="04575736">
                  <w:pPr>
                    <w:keepNext w:val="0"/>
                    <w:keepLines w:val="0"/>
                    <w:pageBreakBefore w:val="0"/>
                    <w:widowControl w:val="0"/>
                    <w:kinsoku/>
                    <w:wordWrap/>
                    <w:overflowPunct/>
                    <w:topLinePunct/>
                    <w:autoSpaceDE/>
                    <w:autoSpaceDN w:val="0"/>
                    <w:bidi w:val="0"/>
                    <w:adjustRightInd/>
                    <w:snapToGrid/>
                    <w:spacing w:line="360" w:lineRule="exact"/>
                    <w:jc w:val="center"/>
                    <w:textAlignment w:val="center"/>
                    <w:rPr>
                      <w:rFonts w:hint="default" w:ascii="Times New Roman" w:hAnsi="Times New Roman" w:eastAsia="仿宋" w:cs="Times New Roman"/>
                      <w:color w:val="auto"/>
                      <w:spacing w:val="0"/>
                      <w:szCs w:val="22"/>
                      <w:highlight w:val="none"/>
                    </w:rPr>
                  </w:pPr>
                  <w:r>
                    <w:rPr>
                      <w:rFonts w:hint="default" w:ascii="Times New Roman" w:hAnsi="Times New Roman" w:eastAsia="仿宋" w:cs="Times New Roman"/>
                      <w:color w:val="auto"/>
                      <w:spacing w:val="0"/>
                      <w:szCs w:val="22"/>
                      <w:highlight w:val="none"/>
                    </w:rPr>
                    <w:t>昼间</w:t>
                  </w:r>
                </w:p>
              </w:tc>
              <w:tc>
                <w:tcPr>
                  <w:tcW w:w="1676" w:type="pct"/>
                  <w:tcBorders>
                    <w:tl2br w:val="nil"/>
                    <w:tr2bl w:val="nil"/>
                  </w:tcBorders>
                  <w:noWrap w:val="0"/>
                  <w:vAlign w:val="center"/>
                </w:tcPr>
                <w:p w14:paraId="37DC8DA4">
                  <w:pPr>
                    <w:keepNext w:val="0"/>
                    <w:keepLines w:val="0"/>
                    <w:pageBreakBefore w:val="0"/>
                    <w:widowControl w:val="0"/>
                    <w:kinsoku/>
                    <w:wordWrap/>
                    <w:overflowPunct/>
                    <w:topLinePunct/>
                    <w:autoSpaceDE/>
                    <w:autoSpaceDN w:val="0"/>
                    <w:bidi w:val="0"/>
                    <w:adjustRightInd/>
                    <w:snapToGrid/>
                    <w:spacing w:line="360" w:lineRule="exact"/>
                    <w:jc w:val="center"/>
                    <w:textAlignment w:val="center"/>
                    <w:rPr>
                      <w:rFonts w:hint="default" w:ascii="Times New Roman" w:hAnsi="Times New Roman" w:eastAsia="仿宋" w:cs="Times New Roman"/>
                      <w:color w:val="auto"/>
                      <w:spacing w:val="0"/>
                      <w:szCs w:val="22"/>
                      <w:highlight w:val="none"/>
                    </w:rPr>
                  </w:pPr>
                  <w:r>
                    <w:rPr>
                      <w:rFonts w:hint="default" w:ascii="Times New Roman" w:hAnsi="Times New Roman" w:eastAsia="仿宋" w:cs="Times New Roman"/>
                      <w:color w:val="auto"/>
                      <w:spacing w:val="0"/>
                      <w:szCs w:val="22"/>
                      <w:highlight w:val="none"/>
                    </w:rPr>
                    <w:t>夜间</w:t>
                  </w:r>
                </w:p>
              </w:tc>
            </w:tr>
            <w:tr w14:paraId="4BE54B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2" w:hRule="atLeast"/>
                <w:jc w:val="center"/>
              </w:trPr>
              <w:tc>
                <w:tcPr>
                  <w:tcW w:w="1551" w:type="pct"/>
                  <w:tcBorders>
                    <w:tl2br w:val="nil"/>
                    <w:tr2bl w:val="nil"/>
                  </w:tcBorders>
                  <w:noWrap w:val="0"/>
                  <w:vAlign w:val="center"/>
                </w:tcPr>
                <w:p w14:paraId="4B31764B">
                  <w:pPr>
                    <w:keepNext w:val="0"/>
                    <w:keepLines w:val="0"/>
                    <w:pageBreakBefore w:val="0"/>
                    <w:widowControl w:val="0"/>
                    <w:kinsoku/>
                    <w:wordWrap/>
                    <w:overflowPunct/>
                    <w:topLinePunct/>
                    <w:autoSpaceDE/>
                    <w:autoSpaceDN w:val="0"/>
                    <w:bidi w:val="0"/>
                    <w:adjustRightInd/>
                    <w:snapToGrid/>
                    <w:spacing w:line="360" w:lineRule="exact"/>
                    <w:jc w:val="center"/>
                    <w:textAlignment w:val="center"/>
                    <w:rPr>
                      <w:rFonts w:hint="default" w:ascii="Times New Roman" w:hAnsi="Times New Roman" w:eastAsia="仿宋" w:cs="Times New Roman"/>
                      <w:color w:val="auto"/>
                      <w:spacing w:val="0"/>
                      <w:szCs w:val="22"/>
                      <w:highlight w:val="none"/>
                    </w:rPr>
                  </w:pPr>
                  <w:r>
                    <w:rPr>
                      <w:rFonts w:hint="eastAsia" w:eastAsia="仿宋" w:cs="Times New Roman"/>
                      <w:color w:val="auto"/>
                      <w:spacing w:val="0"/>
                      <w:szCs w:val="22"/>
                      <w:highlight w:val="none"/>
                      <w:lang w:val="en-US" w:eastAsia="zh-CN"/>
                    </w:rPr>
                    <w:t>2</w:t>
                  </w:r>
                  <w:r>
                    <w:rPr>
                      <w:rFonts w:hint="default" w:ascii="Times New Roman" w:hAnsi="Times New Roman" w:eastAsia="仿宋" w:cs="Times New Roman"/>
                      <w:color w:val="auto"/>
                      <w:spacing w:val="0"/>
                      <w:szCs w:val="22"/>
                      <w:highlight w:val="none"/>
                    </w:rPr>
                    <w:t>类</w:t>
                  </w:r>
                </w:p>
              </w:tc>
              <w:tc>
                <w:tcPr>
                  <w:tcW w:w="1773" w:type="pct"/>
                  <w:tcBorders>
                    <w:tl2br w:val="nil"/>
                    <w:tr2bl w:val="nil"/>
                  </w:tcBorders>
                  <w:noWrap w:val="0"/>
                  <w:vAlign w:val="center"/>
                </w:tcPr>
                <w:p w14:paraId="529682A0">
                  <w:pPr>
                    <w:keepNext w:val="0"/>
                    <w:keepLines w:val="0"/>
                    <w:pageBreakBefore w:val="0"/>
                    <w:widowControl w:val="0"/>
                    <w:kinsoku/>
                    <w:wordWrap/>
                    <w:overflowPunct/>
                    <w:topLinePunct/>
                    <w:autoSpaceDE/>
                    <w:autoSpaceDN w:val="0"/>
                    <w:bidi w:val="0"/>
                    <w:adjustRightInd/>
                    <w:snapToGrid/>
                    <w:spacing w:line="360" w:lineRule="exact"/>
                    <w:jc w:val="center"/>
                    <w:textAlignment w:val="center"/>
                    <w:rPr>
                      <w:rFonts w:hint="default" w:ascii="Times New Roman" w:hAnsi="Times New Roman" w:eastAsia="仿宋" w:cs="Times New Roman"/>
                      <w:color w:val="auto"/>
                      <w:spacing w:val="0"/>
                      <w:szCs w:val="22"/>
                      <w:highlight w:val="none"/>
                      <w:lang w:val="en-US" w:eastAsia="zh-CN"/>
                    </w:rPr>
                  </w:pPr>
                  <w:r>
                    <w:rPr>
                      <w:rFonts w:hint="eastAsia" w:eastAsia="仿宋" w:cs="Times New Roman"/>
                      <w:color w:val="auto"/>
                      <w:spacing w:val="0"/>
                      <w:szCs w:val="22"/>
                      <w:highlight w:val="none"/>
                      <w:lang w:val="en-US" w:eastAsia="zh-CN"/>
                    </w:rPr>
                    <w:t>60</w:t>
                  </w:r>
                </w:p>
              </w:tc>
              <w:tc>
                <w:tcPr>
                  <w:tcW w:w="1676" w:type="pct"/>
                  <w:tcBorders>
                    <w:tl2br w:val="nil"/>
                    <w:tr2bl w:val="nil"/>
                  </w:tcBorders>
                  <w:noWrap w:val="0"/>
                  <w:vAlign w:val="center"/>
                </w:tcPr>
                <w:p w14:paraId="68AD5EC4">
                  <w:pPr>
                    <w:keepNext w:val="0"/>
                    <w:keepLines w:val="0"/>
                    <w:pageBreakBefore w:val="0"/>
                    <w:widowControl w:val="0"/>
                    <w:kinsoku/>
                    <w:wordWrap/>
                    <w:overflowPunct/>
                    <w:topLinePunct/>
                    <w:autoSpaceDE/>
                    <w:autoSpaceDN w:val="0"/>
                    <w:bidi w:val="0"/>
                    <w:adjustRightInd/>
                    <w:snapToGrid/>
                    <w:spacing w:line="360" w:lineRule="exact"/>
                    <w:jc w:val="center"/>
                    <w:textAlignment w:val="center"/>
                    <w:rPr>
                      <w:rFonts w:hint="default" w:ascii="Times New Roman" w:hAnsi="Times New Roman" w:eastAsia="仿宋" w:cs="Times New Roman"/>
                      <w:color w:val="auto"/>
                      <w:spacing w:val="0"/>
                      <w:szCs w:val="22"/>
                      <w:highlight w:val="none"/>
                      <w:lang w:val="en-US" w:eastAsia="zh-CN"/>
                    </w:rPr>
                  </w:pPr>
                  <w:r>
                    <w:rPr>
                      <w:rFonts w:hint="eastAsia" w:eastAsia="仿宋" w:cs="Times New Roman"/>
                      <w:color w:val="auto"/>
                      <w:spacing w:val="0"/>
                      <w:szCs w:val="22"/>
                      <w:highlight w:val="none"/>
                      <w:lang w:val="en-US" w:eastAsia="zh-CN"/>
                    </w:rPr>
                    <w:t>50</w:t>
                  </w:r>
                </w:p>
              </w:tc>
            </w:tr>
          </w:tbl>
          <w:p w14:paraId="3C192741">
            <w:pPr>
              <w:keepNext w:val="0"/>
              <w:keepLines w:val="0"/>
              <w:pageBreakBefore w:val="0"/>
              <w:widowControl w:val="0"/>
              <w:kinsoku/>
              <w:wordWrap/>
              <w:overflowPunct/>
              <w:topLinePunct/>
              <w:autoSpaceDE/>
              <w:autoSpaceDN w:val="0"/>
              <w:bidi w:val="0"/>
              <w:adjustRightInd w:val="0"/>
              <w:snapToGrid w:val="0"/>
              <w:spacing w:before="157" w:beforeLines="50" w:line="360" w:lineRule="auto"/>
              <w:ind w:firstLine="482" w:firstLineChars="200"/>
              <w:textAlignment w:val="center"/>
              <w:rPr>
                <w:rFonts w:hint="default" w:ascii="Times New Roman" w:hAnsi="Times New Roman" w:eastAsia="仿宋" w:cs="Times New Roman"/>
                <w:b/>
                <w:bCs/>
                <w:color w:val="auto"/>
                <w:spacing w:val="0"/>
                <w:sz w:val="24"/>
                <w:highlight w:val="none"/>
              </w:rPr>
            </w:pPr>
            <w:r>
              <w:rPr>
                <w:rFonts w:hint="eastAsia" w:eastAsia="仿宋" w:cs="Times New Roman"/>
                <w:b/>
                <w:bCs/>
                <w:color w:val="auto"/>
                <w:spacing w:val="0"/>
                <w:sz w:val="24"/>
                <w:highlight w:val="none"/>
                <w:lang w:val="en-US" w:eastAsia="zh-CN"/>
              </w:rPr>
              <w:t>2.</w:t>
            </w:r>
            <w:r>
              <w:rPr>
                <w:rFonts w:hint="default" w:ascii="Times New Roman" w:hAnsi="Times New Roman" w:eastAsia="仿宋" w:cs="Times New Roman"/>
                <w:b/>
                <w:bCs/>
                <w:color w:val="auto"/>
                <w:spacing w:val="0"/>
                <w:sz w:val="24"/>
                <w:highlight w:val="none"/>
              </w:rPr>
              <w:t>污染物排放标准</w:t>
            </w:r>
          </w:p>
          <w:p w14:paraId="7475C6E2">
            <w:pPr>
              <w:keepNext w:val="0"/>
              <w:keepLines w:val="0"/>
              <w:pageBreakBefore w:val="0"/>
              <w:widowControl w:val="0"/>
              <w:kinsoku/>
              <w:wordWrap/>
              <w:overflowPunct/>
              <w:topLinePunct/>
              <w:autoSpaceDE/>
              <w:autoSpaceDN w:val="0"/>
              <w:bidi w:val="0"/>
              <w:adjustRightInd w:val="0"/>
              <w:snapToGrid w:val="0"/>
              <w:spacing w:line="360" w:lineRule="auto"/>
              <w:ind w:firstLine="480" w:firstLineChars="200"/>
              <w:textAlignment w:val="center"/>
              <w:rPr>
                <w:rFonts w:hint="default" w:ascii="Times New Roman" w:hAnsi="Times New Roman" w:eastAsia="仿宋" w:cs="Times New Roman"/>
                <w:color w:val="auto"/>
                <w:spacing w:val="0"/>
                <w:sz w:val="24"/>
                <w:highlight w:val="none"/>
                <w:lang w:eastAsia="zh-CN"/>
              </w:rPr>
            </w:pPr>
            <w:r>
              <w:rPr>
                <w:rFonts w:hint="default" w:ascii="Times New Roman" w:hAnsi="Times New Roman" w:eastAsia="仿宋" w:cs="Times New Roman"/>
                <w:color w:val="auto"/>
                <w:spacing w:val="0"/>
                <w:sz w:val="24"/>
                <w:szCs w:val="24"/>
                <w:highlight w:val="none"/>
                <w:lang w:eastAsia="zh-CN"/>
              </w:rPr>
              <w:t>⑴</w:t>
            </w:r>
            <w:r>
              <w:rPr>
                <w:rFonts w:hint="default" w:ascii="Times New Roman" w:hAnsi="Times New Roman" w:eastAsia="仿宋" w:cs="Times New Roman"/>
                <w:color w:val="auto"/>
                <w:spacing w:val="0"/>
                <w:sz w:val="24"/>
                <w:highlight w:val="none"/>
                <w:lang w:eastAsia="zh-CN"/>
              </w:rPr>
              <w:t>废气排放标准</w:t>
            </w:r>
          </w:p>
          <w:p w14:paraId="50CF1683">
            <w:pPr>
              <w:pStyle w:val="57"/>
              <w:keepNext w:val="0"/>
              <w:keepLines w:val="0"/>
              <w:pageBreakBefore w:val="0"/>
              <w:widowControl w:val="0"/>
              <w:kinsoku/>
              <w:wordWrap/>
              <w:overflowPunct/>
              <w:autoSpaceDE/>
              <w:bidi w:val="0"/>
              <w:adjustRightInd w:val="0"/>
              <w:snapToGrid w:val="0"/>
              <w:rPr>
                <w:rFonts w:hint="default" w:ascii="Times New Roman" w:hAnsi="Times New Roman" w:eastAsia="仿宋" w:cs="Times New Roman"/>
                <w:color w:val="auto"/>
                <w:highlight w:val="none"/>
              </w:rPr>
            </w:pPr>
            <w:r>
              <w:rPr>
                <w:rFonts w:hint="default" w:ascii="Times New Roman" w:hAnsi="Times New Roman" w:eastAsia="仿宋" w:cs="Times New Roman"/>
                <w:bCs/>
                <w:color w:val="auto"/>
                <w:highlight w:val="none"/>
              </w:rPr>
              <w:t>运营期废气执行《大气污染物综合排放标准》（GB16297-1996）表2排放监控浓度限值</w:t>
            </w:r>
            <w:r>
              <w:rPr>
                <w:rFonts w:hint="default" w:ascii="Times New Roman" w:hAnsi="Times New Roman" w:eastAsia="仿宋" w:cs="Times New Roman"/>
                <w:color w:val="auto"/>
                <w:highlight w:val="none"/>
              </w:rPr>
              <w:t>。</w:t>
            </w:r>
          </w:p>
          <w:p w14:paraId="696407B7">
            <w:pPr>
              <w:adjustRightInd w:val="0"/>
              <w:snapToGrid w:val="0"/>
              <w:jc w:val="center"/>
              <w:rPr>
                <w:rFonts w:eastAsia="仿宋"/>
                <w:b/>
                <w:bCs/>
                <w:color w:val="000000" w:themeColor="text1"/>
                <w:kern w:val="0"/>
                <w:szCs w:val="21"/>
                <w14:textFill>
                  <w14:solidFill>
                    <w14:schemeClr w14:val="tx1"/>
                  </w14:solidFill>
                </w14:textFill>
              </w:rPr>
            </w:pPr>
            <w:r>
              <w:rPr>
                <w:rFonts w:hint="eastAsia" w:eastAsia="仿宋"/>
                <w:b/>
                <w:bCs/>
                <w:color w:val="000000" w:themeColor="text1"/>
                <w:kern w:val="0"/>
                <w:szCs w:val="21"/>
                <w14:textFill>
                  <w14:solidFill>
                    <w14:schemeClr w14:val="tx1"/>
                  </w14:solidFill>
                </w14:textFill>
              </w:rPr>
              <w:t>表</w:t>
            </w:r>
            <w:r>
              <w:rPr>
                <w:rFonts w:hint="eastAsia" w:eastAsia="仿宋"/>
                <w:b/>
                <w:bCs/>
                <w:color w:val="000000" w:themeColor="text1"/>
                <w:kern w:val="0"/>
                <w:szCs w:val="21"/>
                <w:lang w:val="en-US" w:eastAsia="zh-CN"/>
                <w14:textFill>
                  <w14:solidFill>
                    <w14:schemeClr w14:val="tx1"/>
                  </w14:solidFill>
                </w14:textFill>
              </w:rPr>
              <w:t>29</w:t>
            </w:r>
            <w:r>
              <w:rPr>
                <w:rFonts w:hint="eastAsia" w:eastAsia="仿宋"/>
                <w:b/>
                <w:bCs/>
                <w:color w:val="000000" w:themeColor="text1"/>
                <w:kern w:val="0"/>
                <w:szCs w:val="21"/>
                <w14:textFill>
                  <w14:solidFill>
                    <w14:schemeClr w14:val="tx1"/>
                  </w14:solidFill>
                </w14:textFill>
              </w:rPr>
              <w:t xml:space="preserve">   《大气污染物综合排放标准》（GB16297-1996）</w:t>
            </w:r>
          </w:p>
          <w:tbl>
            <w:tblPr>
              <w:tblStyle w:val="23"/>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83"/>
              <w:gridCol w:w="1293"/>
              <w:gridCol w:w="1626"/>
              <w:gridCol w:w="829"/>
              <w:gridCol w:w="1380"/>
              <w:gridCol w:w="1353"/>
            </w:tblGrid>
            <w:tr w14:paraId="7B95E8D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59" w:type="pct"/>
                  <w:vMerge w:val="restart"/>
                  <w:tcBorders>
                    <w:tl2br w:val="nil"/>
                    <w:tr2bl w:val="nil"/>
                  </w:tcBorders>
                  <w:vAlign w:val="center"/>
                </w:tcPr>
                <w:p w14:paraId="33C09E60">
                  <w:pPr>
                    <w:adjustRightInd w:val="0"/>
                    <w:snapToGrid w:val="0"/>
                    <w:jc w:val="center"/>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污染物</w:t>
                  </w:r>
                </w:p>
              </w:tc>
              <w:tc>
                <w:tcPr>
                  <w:tcW w:w="866" w:type="pct"/>
                  <w:vMerge w:val="restart"/>
                  <w:tcBorders>
                    <w:tl2br w:val="nil"/>
                    <w:tr2bl w:val="nil"/>
                  </w:tcBorders>
                  <w:vAlign w:val="center"/>
                </w:tcPr>
                <w:p w14:paraId="1B1AC7DF">
                  <w:pPr>
                    <w:adjustRightInd w:val="0"/>
                    <w:snapToGrid w:val="0"/>
                    <w:jc w:val="center"/>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最高允许排放浓度（mg/m</w:t>
                  </w:r>
                  <w:r>
                    <w:rPr>
                      <w:rFonts w:eastAsia="仿宋"/>
                      <w:color w:val="000000" w:themeColor="text1"/>
                      <w:szCs w:val="21"/>
                      <w:vertAlign w:val="superscript"/>
                      <w14:textFill>
                        <w14:solidFill>
                          <w14:schemeClr w14:val="tx1"/>
                        </w14:solidFill>
                      </w14:textFill>
                    </w:rPr>
                    <w:t>3</w:t>
                  </w:r>
                  <w:r>
                    <w:rPr>
                      <w:rFonts w:eastAsia="仿宋"/>
                      <w:color w:val="000000" w:themeColor="text1"/>
                      <w:szCs w:val="21"/>
                      <w14:textFill>
                        <w14:solidFill>
                          <w14:schemeClr w14:val="tx1"/>
                        </w14:solidFill>
                      </w14:textFill>
                    </w:rPr>
                    <w:t>）</w:t>
                  </w:r>
                </w:p>
              </w:tc>
              <w:tc>
                <w:tcPr>
                  <w:tcW w:w="1644" w:type="pct"/>
                  <w:gridSpan w:val="2"/>
                  <w:tcBorders>
                    <w:tl2br w:val="nil"/>
                    <w:tr2bl w:val="nil"/>
                  </w:tcBorders>
                  <w:vAlign w:val="center"/>
                </w:tcPr>
                <w:p w14:paraId="03A7A6AF">
                  <w:pPr>
                    <w:adjustRightInd w:val="0"/>
                    <w:snapToGrid w:val="0"/>
                    <w:jc w:val="center"/>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最高允许排放速率（kg/h）</w:t>
                  </w:r>
                </w:p>
              </w:tc>
              <w:tc>
                <w:tcPr>
                  <w:tcW w:w="1830" w:type="pct"/>
                  <w:gridSpan w:val="2"/>
                  <w:tcBorders>
                    <w:tl2br w:val="nil"/>
                    <w:tr2bl w:val="nil"/>
                  </w:tcBorders>
                  <w:vAlign w:val="center"/>
                </w:tcPr>
                <w:p w14:paraId="699BADA6">
                  <w:pPr>
                    <w:adjustRightInd w:val="0"/>
                    <w:snapToGrid w:val="0"/>
                    <w:jc w:val="center"/>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无组织排放监控浓度限值（mg/m</w:t>
                  </w:r>
                  <w:r>
                    <w:rPr>
                      <w:rFonts w:eastAsia="仿宋"/>
                      <w:color w:val="000000" w:themeColor="text1"/>
                      <w:szCs w:val="21"/>
                      <w:vertAlign w:val="superscript"/>
                      <w14:textFill>
                        <w14:solidFill>
                          <w14:schemeClr w14:val="tx1"/>
                        </w14:solidFill>
                      </w14:textFill>
                    </w:rPr>
                    <w:t>3</w:t>
                  </w:r>
                  <w:r>
                    <w:rPr>
                      <w:rFonts w:eastAsia="仿宋"/>
                      <w:color w:val="000000" w:themeColor="text1"/>
                      <w:szCs w:val="21"/>
                      <w14:textFill>
                        <w14:solidFill>
                          <w14:schemeClr w14:val="tx1"/>
                        </w14:solidFill>
                      </w14:textFill>
                    </w:rPr>
                    <w:t>）</w:t>
                  </w:r>
                </w:p>
              </w:tc>
            </w:tr>
            <w:tr w14:paraId="4FF1EA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59" w:type="pct"/>
                  <w:vMerge w:val="continue"/>
                  <w:tcBorders>
                    <w:tl2br w:val="nil"/>
                    <w:tr2bl w:val="nil"/>
                  </w:tcBorders>
                  <w:vAlign w:val="center"/>
                </w:tcPr>
                <w:p w14:paraId="1D3B5F49">
                  <w:pPr>
                    <w:adjustRightInd w:val="0"/>
                    <w:snapToGrid w:val="0"/>
                    <w:jc w:val="center"/>
                    <w:rPr>
                      <w:rFonts w:eastAsia="仿宋"/>
                      <w:color w:val="000000" w:themeColor="text1"/>
                      <w:szCs w:val="21"/>
                      <w14:textFill>
                        <w14:solidFill>
                          <w14:schemeClr w14:val="tx1"/>
                        </w14:solidFill>
                      </w14:textFill>
                    </w:rPr>
                  </w:pPr>
                </w:p>
              </w:tc>
              <w:tc>
                <w:tcPr>
                  <w:tcW w:w="866" w:type="pct"/>
                  <w:vMerge w:val="continue"/>
                  <w:tcBorders>
                    <w:tl2br w:val="nil"/>
                    <w:tr2bl w:val="nil"/>
                  </w:tcBorders>
                  <w:vAlign w:val="center"/>
                </w:tcPr>
                <w:p w14:paraId="79F28376">
                  <w:pPr>
                    <w:adjustRightInd w:val="0"/>
                    <w:snapToGrid w:val="0"/>
                    <w:jc w:val="center"/>
                    <w:rPr>
                      <w:rFonts w:eastAsia="仿宋"/>
                      <w:color w:val="000000" w:themeColor="text1"/>
                      <w:szCs w:val="21"/>
                      <w14:textFill>
                        <w14:solidFill>
                          <w14:schemeClr w14:val="tx1"/>
                        </w14:solidFill>
                      </w14:textFill>
                    </w:rPr>
                  </w:pPr>
                </w:p>
              </w:tc>
              <w:tc>
                <w:tcPr>
                  <w:tcW w:w="1089" w:type="pct"/>
                  <w:tcBorders>
                    <w:tl2br w:val="nil"/>
                    <w:tr2bl w:val="nil"/>
                  </w:tcBorders>
                  <w:vAlign w:val="center"/>
                </w:tcPr>
                <w:p w14:paraId="05080478">
                  <w:pPr>
                    <w:adjustRightInd w:val="0"/>
                    <w:snapToGrid w:val="0"/>
                    <w:jc w:val="center"/>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排气筒高度（h）</w:t>
                  </w:r>
                </w:p>
              </w:tc>
              <w:tc>
                <w:tcPr>
                  <w:tcW w:w="554" w:type="pct"/>
                  <w:tcBorders>
                    <w:tl2br w:val="nil"/>
                    <w:tr2bl w:val="nil"/>
                  </w:tcBorders>
                  <w:vAlign w:val="center"/>
                </w:tcPr>
                <w:p w14:paraId="79B36749">
                  <w:pPr>
                    <w:adjustRightInd w:val="0"/>
                    <w:snapToGrid w:val="0"/>
                    <w:jc w:val="center"/>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二级</w:t>
                  </w:r>
                </w:p>
              </w:tc>
              <w:tc>
                <w:tcPr>
                  <w:tcW w:w="924" w:type="pct"/>
                  <w:tcBorders>
                    <w:tl2br w:val="nil"/>
                    <w:tr2bl w:val="nil"/>
                  </w:tcBorders>
                  <w:vAlign w:val="center"/>
                </w:tcPr>
                <w:p w14:paraId="24C2C5A6">
                  <w:pPr>
                    <w:adjustRightInd w:val="0"/>
                    <w:snapToGrid w:val="0"/>
                    <w:jc w:val="center"/>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监控点</w:t>
                  </w:r>
                </w:p>
              </w:tc>
              <w:tc>
                <w:tcPr>
                  <w:tcW w:w="905" w:type="pct"/>
                  <w:tcBorders>
                    <w:tl2br w:val="nil"/>
                    <w:tr2bl w:val="nil"/>
                  </w:tcBorders>
                  <w:vAlign w:val="center"/>
                </w:tcPr>
                <w:p w14:paraId="47E57778">
                  <w:pPr>
                    <w:adjustRightInd w:val="0"/>
                    <w:snapToGrid w:val="0"/>
                    <w:jc w:val="center"/>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浓度（mg/m</w:t>
                  </w:r>
                  <w:r>
                    <w:rPr>
                      <w:rFonts w:eastAsia="仿宋"/>
                      <w:color w:val="000000" w:themeColor="text1"/>
                      <w:szCs w:val="21"/>
                      <w:vertAlign w:val="superscript"/>
                      <w14:textFill>
                        <w14:solidFill>
                          <w14:schemeClr w14:val="tx1"/>
                        </w14:solidFill>
                      </w14:textFill>
                    </w:rPr>
                    <w:t>3</w:t>
                  </w:r>
                  <w:r>
                    <w:rPr>
                      <w:rFonts w:eastAsia="仿宋"/>
                      <w:color w:val="000000" w:themeColor="text1"/>
                      <w:szCs w:val="21"/>
                      <w14:textFill>
                        <w14:solidFill>
                          <w14:schemeClr w14:val="tx1"/>
                        </w14:solidFill>
                      </w14:textFill>
                    </w:rPr>
                    <w:t>）</w:t>
                  </w:r>
                </w:p>
              </w:tc>
            </w:tr>
            <w:tr w14:paraId="593D7F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59" w:type="pct"/>
                  <w:tcBorders>
                    <w:tl2br w:val="nil"/>
                    <w:tr2bl w:val="nil"/>
                  </w:tcBorders>
                  <w:vAlign w:val="center"/>
                </w:tcPr>
                <w:p w14:paraId="4E7D3750">
                  <w:pPr>
                    <w:adjustRightInd w:val="0"/>
                    <w:snapToGrid w:val="0"/>
                    <w:jc w:val="center"/>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颗粒物</w:t>
                  </w:r>
                </w:p>
              </w:tc>
              <w:tc>
                <w:tcPr>
                  <w:tcW w:w="866" w:type="pct"/>
                  <w:tcBorders>
                    <w:tl2br w:val="nil"/>
                    <w:tr2bl w:val="nil"/>
                  </w:tcBorders>
                  <w:vAlign w:val="center"/>
                </w:tcPr>
                <w:p w14:paraId="65778763">
                  <w:pPr>
                    <w:adjustRightInd w:val="0"/>
                    <w:snapToGrid w:val="0"/>
                    <w:jc w:val="center"/>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120</w:t>
                  </w:r>
                </w:p>
              </w:tc>
              <w:tc>
                <w:tcPr>
                  <w:tcW w:w="1089" w:type="pct"/>
                  <w:tcBorders>
                    <w:tl2br w:val="nil"/>
                    <w:tr2bl w:val="nil"/>
                  </w:tcBorders>
                  <w:vAlign w:val="center"/>
                </w:tcPr>
                <w:p w14:paraId="3BA5735C">
                  <w:pPr>
                    <w:adjustRightInd w:val="0"/>
                    <w:snapToGrid w:val="0"/>
                    <w:jc w:val="center"/>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15</w:t>
                  </w:r>
                </w:p>
              </w:tc>
              <w:tc>
                <w:tcPr>
                  <w:tcW w:w="554" w:type="pct"/>
                  <w:tcBorders>
                    <w:tl2br w:val="nil"/>
                    <w:tr2bl w:val="nil"/>
                  </w:tcBorders>
                  <w:vAlign w:val="center"/>
                </w:tcPr>
                <w:p w14:paraId="459A7CD3">
                  <w:pPr>
                    <w:adjustRightInd w:val="0"/>
                    <w:snapToGrid w:val="0"/>
                    <w:jc w:val="center"/>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3.5</w:t>
                  </w:r>
                </w:p>
              </w:tc>
              <w:tc>
                <w:tcPr>
                  <w:tcW w:w="924" w:type="pct"/>
                  <w:tcBorders>
                    <w:tl2br w:val="nil"/>
                    <w:tr2bl w:val="nil"/>
                  </w:tcBorders>
                  <w:vAlign w:val="center"/>
                </w:tcPr>
                <w:p w14:paraId="735386BA">
                  <w:pPr>
                    <w:adjustRightInd w:val="0"/>
                    <w:snapToGrid w:val="0"/>
                    <w:jc w:val="center"/>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周界外浓度最高点</w:t>
                  </w:r>
                </w:p>
              </w:tc>
              <w:tc>
                <w:tcPr>
                  <w:tcW w:w="905" w:type="pct"/>
                  <w:tcBorders>
                    <w:tl2br w:val="nil"/>
                    <w:tr2bl w:val="nil"/>
                  </w:tcBorders>
                  <w:vAlign w:val="center"/>
                </w:tcPr>
                <w:p w14:paraId="469C5275">
                  <w:pPr>
                    <w:adjustRightInd w:val="0"/>
                    <w:snapToGrid w:val="0"/>
                    <w:jc w:val="center"/>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1.0</w:t>
                  </w:r>
                </w:p>
              </w:tc>
            </w:tr>
          </w:tbl>
          <w:p w14:paraId="2CA0B6A8">
            <w:pPr>
              <w:keepNext w:val="0"/>
              <w:keepLines w:val="0"/>
              <w:pageBreakBefore w:val="0"/>
              <w:widowControl w:val="0"/>
              <w:kinsoku/>
              <w:wordWrap/>
              <w:overflowPunct/>
              <w:topLinePunct/>
              <w:autoSpaceDE/>
              <w:autoSpaceDN w:val="0"/>
              <w:bidi w:val="0"/>
              <w:adjustRightInd w:val="0"/>
              <w:snapToGrid w:val="0"/>
              <w:spacing w:before="157" w:beforeLines="50" w:line="360" w:lineRule="auto"/>
              <w:ind w:firstLine="480" w:firstLineChars="200"/>
              <w:textAlignment w:val="center"/>
              <w:rPr>
                <w:rFonts w:hint="default" w:ascii="Times New Roman" w:hAnsi="Times New Roman" w:eastAsia="仿宋" w:cs="Times New Roman"/>
                <w:color w:val="auto"/>
                <w:spacing w:val="0"/>
                <w:sz w:val="24"/>
                <w:szCs w:val="24"/>
                <w:highlight w:val="none"/>
                <w:lang w:eastAsia="zh-CN"/>
              </w:rPr>
            </w:pPr>
            <w:r>
              <w:rPr>
                <w:rFonts w:hint="default" w:ascii="Times New Roman" w:hAnsi="Times New Roman" w:eastAsia="仿宋" w:cs="Times New Roman"/>
                <w:color w:val="auto"/>
                <w:spacing w:val="0"/>
                <w:sz w:val="24"/>
                <w:szCs w:val="24"/>
                <w:highlight w:val="none"/>
                <w:lang w:eastAsia="zh-CN"/>
              </w:rPr>
              <w:t>⑵噪声排放标准</w:t>
            </w:r>
          </w:p>
          <w:p w14:paraId="1D97E0B9">
            <w:pPr>
              <w:pStyle w:val="58"/>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仿宋" w:cs="Times New Roman"/>
                <w:color w:val="auto"/>
                <w:spacing w:val="0"/>
                <w:kern w:val="0"/>
                <w:sz w:val="24"/>
                <w:szCs w:val="22"/>
                <w:highlight w:val="none"/>
                <w:lang w:val="en-US" w:eastAsia="zh-CN" w:bidi="ar-SA"/>
              </w:rPr>
            </w:pPr>
            <w:r>
              <w:rPr>
                <w:rFonts w:hint="default" w:ascii="Times New Roman" w:hAnsi="Times New Roman" w:eastAsia="仿宋" w:cs="Times New Roman"/>
                <w:color w:val="auto"/>
                <w:spacing w:val="0"/>
                <w:kern w:val="0"/>
                <w:sz w:val="24"/>
                <w:szCs w:val="22"/>
                <w:highlight w:val="none"/>
                <w:lang w:val="en-US" w:eastAsia="zh-CN" w:bidi="ar-SA"/>
              </w:rPr>
              <w:t>施工期噪声执行《建筑施工噪声排放标准》（GB12523-20</w:t>
            </w:r>
            <w:r>
              <w:rPr>
                <w:rFonts w:hint="eastAsia" w:ascii="Times New Roman" w:hAnsi="Times New Roman" w:eastAsia="仿宋" w:cs="Times New Roman"/>
                <w:color w:val="auto"/>
                <w:spacing w:val="0"/>
                <w:kern w:val="0"/>
                <w:sz w:val="24"/>
                <w:szCs w:val="22"/>
                <w:highlight w:val="none"/>
                <w:lang w:val="en-US" w:eastAsia="zh-CN" w:bidi="ar-SA"/>
              </w:rPr>
              <w:t>25</w:t>
            </w:r>
            <w:r>
              <w:rPr>
                <w:rFonts w:hint="default" w:ascii="Times New Roman" w:hAnsi="Times New Roman" w:eastAsia="仿宋" w:cs="Times New Roman"/>
                <w:color w:val="auto"/>
                <w:spacing w:val="0"/>
                <w:kern w:val="0"/>
                <w:sz w:val="24"/>
                <w:szCs w:val="22"/>
                <w:highlight w:val="none"/>
                <w:lang w:val="en-US" w:eastAsia="zh-CN" w:bidi="ar-SA"/>
              </w:rPr>
              <w:t>）。</w:t>
            </w:r>
          </w:p>
          <w:p w14:paraId="02CFE36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仿宋" w:cs="Times New Roman"/>
                <w:b/>
                <w:color w:val="000000"/>
                <w:kern w:val="0"/>
                <w:szCs w:val="21"/>
                <w:lang w:val="en-US" w:eastAsia="zh-CN"/>
              </w:rPr>
            </w:pPr>
            <w:r>
              <w:rPr>
                <w:rFonts w:hint="default" w:ascii="Times New Roman" w:hAnsi="Times New Roman" w:eastAsia="仿宋" w:cs="Times New Roman"/>
                <w:b/>
                <w:color w:val="000000"/>
                <w:kern w:val="0"/>
                <w:szCs w:val="21"/>
                <w:lang w:val="en-US" w:eastAsia="zh-CN"/>
              </w:rPr>
              <w:t>表</w:t>
            </w:r>
            <w:r>
              <w:rPr>
                <w:rFonts w:hint="eastAsia" w:eastAsia="仿宋" w:cs="Times New Roman"/>
                <w:b/>
                <w:color w:val="000000"/>
                <w:kern w:val="0"/>
                <w:szCs w:val="21"/>
                <w:lang w:val="en-US" w:eastAsia="zh-CN"/>
              </w:rPr>
              <w:t>30</w:t>
            </w:r>
            <w:r>
              <w:rPr>
                <w:rFonts w:hint="eastAsia" w:ascii="Times New Roman" w:hAnsi="Times New Roman" w:eastAsia="仿宋" w:cs="Times New Roman"/>
                <w:b/>
                <w:color w:val="000000"/>
                <w:kern w:val="0"/>
                <w:szCs w:val="21"/>
                <w:lang w:val="en-US" w:eastAsia="zh-CN"/>
              </w:rPr>
              <w:t xml:space="preserve">  </w:t>
            </w:r>
            <w:r>
              <w:rPr>
                <w:rFonts w:hint="default" w:ascii="Times New Roman" w:hAnsi="Times New Roman" w:eastAsia="仿宋" w:cs="Times New Roman"/>
                <w:b/>
                <w:color w:val="000000"/>
                <w:kern w:val="0"/>
                <w:szCs w:val="21"/>
                <w:lang w:val="en-US" w:eastAsia="zh-CN"/>
              </w:rPr>
              <w:t>《建筑施工噪声排放标准》（GB12523-20</w:t>
            </w:r>
            <w:r>
              <w:rPr>
                <w:rFonts w:hint="eastAsia" w:ascii="Times New Roman" w:hAnsi="Times New Roman" w:eastAsia="仿宋" w:cs="Times New Roman"/>
                <w:b/>
                <w:color w:val="000000"/>
                <w:kern w:val="0"/>
                <w:szCs w:val="21"/>
                <w:lang w:val="en-US" w:eastAsia="zh-CN"/>
              </w:rPr>
              <w:t>25</w:t>
            </w:r>
            <w:r>
              <w:rPr>
                <w:rFonts w:hint="default" w:ascii="Times New Roman" w:hAnsi="Times New Roman" w:eastAsia="仿宋" w:cs="Times New Roman"/>
                <w:b/>
                <w:color w:val="000000"/>
                <w:kern w:val="0"/>
                <w:szCs w:val="21"/>
                <w:lang w:val="en-US" w:eastAsia="zh-CN"/>
              </w:rPr>
              <w:t>）  单位：dB（A）</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3431"/>
              <w:gridCol w:w="4036"/>
            </w:tblGrid>
            <w:tr w14:paraId="13C012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1" w:hRule="atLeast"/>
                <w:jc w:val="center"/>
              </w:trPr>
              <w:tc>
                <w:tcPr>
                  <w:tcW w:w="4142" w:type="dxa"/>
                  <w:tcBorders>
                    <w:tl2br w:val="nil"/>
                    <w:tr2bl w:val="nil"/>
                  </w:tcBorders>
                  <w:noWrap w:val="0"/>
                  <w:vAlign w:val="center"/>
                </w:tcPr>
                <w:p w14:paraId="2BAA360E">
                  <w:pPr>
                    <w:keepNext w:val="0"/>
                    <w:keepLines w:val="0"/>
                    <w:pageBreakBefore w:val="0"/>
                    <w:widowControl w:val="0"/>
                    <w:kinsoku/>
                    <w:wordWrap/>
                    <w:overflowPunct/>
                    <w:topLinePunct/>
                    <w:autoSpaceDE/>
                    <w:autoSpaceDN w:val="0"/>
                    <w:bidi w:val="0"/>
                    <w:adjustRightInd/>
                    <w:snapToGrid/>
                    <w:spacing w:line="360" w:lineRule="exact"/>
                    <w:jc w:val="center"/>
                    <w:textAlignment w:val="center"/>
                    <w:rPr>
                      <w:rFonts w:hint="eastAsia" w:ascii="Times New Roman" w:hAnsi="Times New Roman" w:eastAsia="仿宋" w:cs="Times New Roman"/>
                      <w:b w:val="0"/>
                      <w:bCs w:val="0"/>
                      <w:color w:val="auto"/>
                      <w:spacing w:val="0"/>
                      <w:kern w:val="0"/>
                      <w:sz w:val="21"/>
                      <w:szCs w:val="21"/>
                      <w:highlight w:val="none"/>
                      <w:lang w:val="en-US" w:eastAsia="zh-CN"/>
                    </w:rPr>
                  </w:pPr>
                  <w:r>
                    <w:rPr>
                      <w:rFonts w:hint="eastAsia" w:ascii="Times New Roman" w:hAnsi="Times New Roman" w:eastAsia="仿宋" w:cs="Times New Roman"/>
                      <w:b w:val="0"/>
                      <w:bCs w:val="0"/>
                      <w:color w:val="auto"/>
                      <w:spacing w:val="0"/>
                      <w:kern w:val="0"/>
                      <w:sz w:val="21"/>
                      <w:szCs w:val="21"/>
                      <w:highlight w:val="none"/>
                      <w:lang w:val="en-US" w:eastAsia="zh-CN"/>
                    </w:rPr>
                    <w:t>昼间</w:t>
                  </w:r>
                </w:p>
              </w:tc>
              <w:tc>
                <w:tcPr>
                  <w:tcW w:w="4891" w:type="dxa"/>
                  <w:tcBorders>
                    <w:tl2br w:val="nil"/>
                    <w:tr2bl w:val="nil"/>
                  </w:tcBorders>
                  <w:noWrap w:val="0"/>
                  <w:vAlign w:val="center"/>
                </w:tcPr>
                <w:p w14:paraId="0969C89B">
                  <w:pPr>
                    <w:keepNext w:val="0"/>
                    <w:keepLines w:val="0"/>
                    <w:pageBreakBefore w:val="0"/>
                    <w:widowControl w:val="0"/>
                    <w:kinsoku/>
                    <w:wordWrap/>
                    <w:overflowPunct/>
                    <w:topLinePunct/>
                    <w:autoSpaceDE/>
                    <w:autoSpaceDN w:val="0"/>
                    <w:bidi w:val="0"/>
                    <w:adjustRightInd/>
                    <w:snapToGrid/>
                    <w:spacing w:line="360" w:lineRule="exact"/>
                    <w:jc w:val="center"/>
                    <w:textAlignment w:val="center"/>
                    <w:rPr>
                      <w:rFonts w:hint="eastAsia" w:ascii="Times New Roman" w:hAnsi="Times New Roman" w:eastAsia="仿宋" w:cs="Times New Roman"/>
                      <w:b w:val="0"/>
                      <w:bCs w:val="0"/>
                      <w:color w:val="auto"/>
                      <w:spacing w:val="0"/>
                      <w:kern w:val="0"/>
                      <w:sz w:val="21"/>
                      <w:szCs w:val="21"/>
                      <w:highlight w:val="none"/>
                      <w:lang w:val="en-US" w:eastAsia="zh-CN"/>
                    </w:rPr>
                  </w:pPr>
                  <w:r>
                    <w:rPr>
                      <w:rFonts w:hint="eastAsia" w:ascii="Times New Roman" w:hAnsi="Times New Roman" w:eastAsia="仿宋" w:cs="Times New Roman"/>
                      <w:b w:val="0"/>
                      <w:bCs w:val="0"/>
                      <w:color w:val="auto"/>
                      <w:spacing w:val="0"/>
                      <w:kern w:val="0"/>
                      <w:sz w:val="21"/>
                      <w:szCs w:val="21"/>
                      <w:highlight w:val="none"/>
                      <w:lang w:val="en-US" w:eastAsia="zh-CN"/>
                    </w:rPr>
                    <w:t>夜间</w:t>
                  </w:r>
                </w:p>
              </w:tc>
            </w:tr>
            <w:tr w14:paraId="47D967E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0" w:hRule="atLeast"/>
                <w:jc w:val="center"/>
              </w:trPr>
              <w:tc>
                <w:tcPr>
                  <w:tcW w:w="4142" w:type="dxa"/>
                  <w:tcBorders>
                    <w:tl2br w:val="nil"/>
                    <w:tr2bl w:val="nil"/>
                  </w:tcBorders>
                  <w:noWrap w:val="0"/>
                  <w:vAlign w:val="center"/>
                </w:tcPr>
                <w:p w14:paraId="7C16D69F">
                  <w:pPr>
                    <w:keepNext w:val="0"/>
                    <w:keepLines w:val="0"/>
                    <w:pageBreakBefore w:val="0"/>
                    <w:widowControl w:val="0"/>
                    <w:kinsoku/>
                    <w:wordWrap/>
                    <w:overflowPunct/>
                    <w:topLinePunct/>
                    <w:autoSpaceDE/>
                    <w:autoSpaceDN w:val="0"/>
                    <w:bidi w:val="0"/>
                    <w:adjustRightInd/>
                    <w:snapToGrid/>
                    <w:spacing w:line="360" w:lineRule="exact"/>
                    <w:jc w:val="center"/>
                    <w:textAlignment w:val="center"/>
                    <w:rPr>
                      <w:rFonts w:hint="eastAsia" w:ascii="Times New Roman" w:hAnsi="Times New Roman" w:eastAsia="仿宋" w:cs="Times New Roman"/>
                      <w:b w:val="0"/>
                      <w:bCs w:val="0"/>
                      <w:color w:val="auto"/>
                      <w:spacing w:val="0"/>
                      <w:kern w:val="0"/>
                      <w:sz w:val="21"/>
                      <w:szCs w:val="21"/>
                      <w:highlight w:val="none"/>
                      <w:lang w:val="en-US" w:eastAsia="zh-CN"/>
                    </w:rPr>
                  </w:pPr>
                  <w:r>
                    <w:rPr>
                      <w:rFonts w:hint="eastAsia" w:ascii="Times New Roman" w:hAnsi="Times New Roman" w:eastAsia="仿宋" w:cs="Times New Roman"/>
                      <w:b w:val="0"/>
                      <w:bCs w:val="0"/>
                      <w:color w:val="auto"/>
                      <w:spacing w:val="0"/>
                      <w:kern w:val="0"/>
                      <w:sz w:val="21"/>
                      <w:szCs w:val="21"/>
                      <w:highlight w:val="none"/>
                      <w:lang w:val="en-US" w:eastAsia="zh-CN"/>
                    </w:rPr>
                    <w:t>70</w:t>
                  </w:r>
                </w:p>
              </w:tc>
              <w:tc>
                <w:tcPr>
                  <w:tcW w:w="4891" w:type="dxa"/>
                  <w:tcBorders>
                    <w:tl2br w:val="nil"/>
                    <w:tr2bl w:val="nil"/>
                  </w:tcBorders>
                  <w:noWrap w:val="0"/>
                  <w:vAlign w:val="center"/>
                </w:tcPr>
                <w:p w14:paraId="47B3D510">
                  <w:pPr>
                    <w:keepNext w:val="0"/>
                    <w:keepLines w:val="0"/>
                    <w:pageBreakBefore w:val="0"/>
                    <w:widowControl w:val="0"/>
                    <w:kinsoku/>
                    <w:wordWrap/>
                    <w:overflowPunct/>
                    <w:topLinePunct/>
                    <w:autoSpaceDE/>
                    <w:autoSpaceDN w:val="0"/>
                    <w:bidi w:val="0"/>
                    <w:adjustRightInd/>
                    <w:snapToGrid/>
                    <w:spacing w:line="360" w:lineRule="exact"/>
                    <w:jc w:val="center"/>
                    <w:textAlignment w:val="center"/>
                    <w:rPr>
                      <w:rFonts w:hint="eastAsia" w:ascii="Times New Roman" w:hAnsi="Times New Roman" w:eastAsia="仿宋" w:cs="Times New Roman"/>
                      <w:b w:val="0"/>
                      <w:bCs w:val="0"/>
                      <w:color w:val="auto"/>
                      <w:spacing w:val="0"/>
                      <w:kern w:val="0"/>
                      <w:sz w:val="21"/>
                      <w:szCs w:val="21"/>
                      <w:highlight w:val="none"/>
                      <w:lang w:val="en-US" w:eastAsia="zh-CN"/>
                    </w:rPr>
                  </w:pPr>
                  <w:r>
                    <w:rPr>
                      <w:rFonts w:hint="eastAsia" w:ascii="Times New Roman" w:hAnsi="Times New Roman" w:eastAsia="仿宋" w:cs="Times New Roman"/>
                      <w:b w:val="0"/>
                      <w:bCs w:val="0"/>
                      <w:color w:val="auto"/>
                      <w:spacing w:val="0"/>
                      <w:kern w:val="0"/>
                      <w:sz w:val="21"/>
                      <w:szCs w:val="21"/>
                      <w:highlight w:val="none"/>
                      <w:lang w:val="en-US" w:eastAsia="zh-CN"/>
                    </w:rPr>
                    <w:t>55</w:t>
                  </w:r>
                </w:p>
              </w:tc>
            </w:tr>
          </w:tbl>
          <w:p w14:paraId="06576420">
            <w:pPr>
              <w:keepNext w:val="0"/>
              <w:keepLines w:val="0"/>
              <w:pageBreakBefore w:val="0"/>
              <w:widowControl w:val="0"/>
              <w:kinsoku/>
              <w:wordWrap/>
              <w:overflowPunct/>
              <w:topLinePunct/>
              <w:autoSpaceDE/>
              <w:autoSpaceDN w:val="0"/>
              <w:bidi w:val="0"/>
              <w:adjustRightInd w:val="0"/>
              <w:snapToGrid w:val="0"/>
              <w:spacing w:before="157" w:beforeLines="50" w:line="360" w:lineRule="auto"/>
              <w:ind w:firstLine="480" w:firstLineChars="200"/>
              <w:textAlignment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spacing w:val="0"/>
                <w:kern w:val="0"/>
                <w:sz w:val="24"/>
                <w:szCs w:val="22"/>
                <w:highlight w:val="none"/>
              </w:rPr>
              <w:t>运营期厂界噪声执行《工业企业厂界环境噪声排放标准》（GB12348-2008）</w:t>
            </w:r>
            <w:r>
              <w:rPr>
                <w:rFonts w:hint="eastAsia" w:eastAsia="仿宋" w:cs="Times New Roman"/>
                <w:color w:val="auto"/>
                <w:spacing w:val="0"/>
                <w:kern w:val="0"/>
                <w:sz w:val="24"/>
                <w:szCs w:val="22"/>
                <w:highlight w:val="none"/>
                <w:lang w:val="en-US" w:eastAsia="zh-CN"/>
              </w:rPr>
              <w:t>2</w:t>
            </w:r>
            <w:r>
              <w:rPr>
                <w:rFonts w:hint="default" w:ascii="Times New Roman" w:hAnsi="Times New Roman" w:eastAsia="仿宋" w:cs="Times New Roman"/>
                <w:color w:val="auto"/>
                <w:spacing w:val="0"/>
                <w:kern w:val="0"/>
                <w:sz w:val="24"/>
                <w:szCs w:val="22"/>
                <w:highlight w:val="none"/>
              </w:rPr>
              <w:t>类标准限值。</w:t>
            </w:r>
          </w:p>
          <w:p w14:paraId="2BBB8453">
            <w:pPr>
              <w:keepNext w:val="0"/>
              <w:keepLines w:val="0"/>
              <w:pageBreakBefore w:val="0"/>
              <w:widowControl w:val="0"/>
              <w:kinsoku/>
              <w:wordWrap/>
              <w:overflowPunct/>
              <w:topLinePunct/>
              <w:autoSpaceDE/>
              <w:autoSpaceDN w:val="0"/>
              <w:bidi w:val="0"/>
              <w:adjustRightInd w:val="0"/>
              <w:snapToGrid w:val="0"/>
              <w:spacing w:line="240" w:lineRule="auto"/>
              <w:jc w:val="center"/>
              <w:textAlignment w:val="center"/>
              <w:rPr>
                <w:rFonts w:hint="default" w:ascii="Times New Roman" w:hAnsi="Times New Roman" w:eastAsia="仿宋" w:cs="Times New Roman"/>
                <w:color w:val="auto"/>
                <w:spacing w:val="0"/>
                <w:szCs w:val="30"/>
                <w:highlight w:val="none"/>
              </w:rPr>
            </w:pPr>
            <w:r>
              <w:rPr>
                <w:rFonts w:hint="default" w:ascii="Times New Roman" w:hAnsi="Times New Roman" w:eastAsia="仿宋" w:cs="Times New Roman"/>
                <w:b/>
                <w:color w:val="000000"/>
                <w:kern w:val="0"/>
                <w:szCs w:val="21"/>
              </w:rPr>
              <w:t>表</w:t>
            </w:r>
            <w:r>
              <w:rPr>
                <w:rFonts w:hint="eastAsia" w:eastAsia="仿宋" w:cs="Times New Roman"/>
                <w:b/>
                <w:color w:val="000000"/>
                <w:kern w:val="0"/>
                <w:szCs w:val="21"/>
                <w:lang w:val="en-US" w:eastAsia="zh-CN"/>
              </w:rPr>
              <w:t>31</w:t>
            </w:r>
            <w:r>
              <w:rPr>
                <w:rFonts w:hint="default" w:ascii="Times New Roman" w:hAnsi="Times New Roman" w:eastAsia="仿宋" w:cs="Times New Roman"/>
                <w:b/>
                <w:color w:val="000000"/>
                <w:kern w:val="0"/>
                <w:szCs w:val="21"/>
                <w:lang w:val="en-US" w:eastAsia="zh-CN"/>
              </w:rPr>
              <w:t xml:space="preserve">  </w:t>
            </w:r>
            <w:r>
              <w:rPr>
                <w:rFonts w:hint="default" w:ascii="Times New Roman" w:hAnsi="Times New Roman" w:eastAsia="仿宋" w:cs="Times New Roman"/>
                <w:b/>
                <w:color w:val="000000"/>
                <w:kern w:val="0"/>
                <w:szCs w:val="21"/>
              </w:rPr>
              <w:t>《工业企业厂界环境噪声排放标准》（GB12348-2008）</w:t>
            </w:r>
            <w:r>
              <w:rPr>
                <w:rFonts w:hint="default" w:ascii="Times New Roman" w:hAnsi="Times New Roman" w:eastAsia="仿宋" w:cs="Times New Roman"/>
                <w:b/>
                <w:bCs/>
                <w:color w:val="auto"/>
                <w:spacing w:val="0"/>
                <w:sz w:val="24"/>
                <w:szCs w:val="24"/>
                <w:highlight w:val="none"/>
                <w:lang w:val="en-US" w:eastAsia="zh-CN"/>
              </w:rPr>
              <w:t xml:space="preserve"> </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770"/>
              <w:gridCol w:w="2384"/>
              <w:gridCol w:w="2313"/>
            </w:tblGrid>
            <w:tr w14:paraId="39DF92B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11" w:hRule="atLeast"/>
                <w:jc w:val="center"/>
              </w:trPr>
              <w:tc>
                <w:tcPr>
                  <w:tcW w:w="1854" w:type="pct"/>
                  <w:tcBorders>
                    <w:tl2br w:val="nil"/>
                    <w:tr2bl w:val="nil"/>
                  </w:tcBorders>
                  <w:noWrap w:val="0"/>
                  <w:vAlign w:val="center"/>
                </w:tcPr>
                <w:p w14:paraId="1F1A9A44">
                  <w:pPr>
                    <w:keepNext w:val="0"/>
                    <w:keepLines w:val="0"/>
                    <w:pageBreakBefore w:val="0"/>
                    <w:widowControl w:val="0"/>
                    <w:kinsoku/>
                    <w:wordWrap/>
                    <w:overflowPunct/>
                    <w:topLinePunct/>
                    <w:autoSpaceDE/>
                    <w:autoSpaceDN w:val="0"/>
                    <w:bidi w:val="0"/>
                    <w:adjustRightInd/>
                    <w:snapToGrid/>
                    <w:spacing w:line="360" w:lineRule="exact"/>
                    <w:jc w:val="center"/>
                    <w:textAlignment w:val="center"/>
                    <w:rPr>
                      <w:rFonts w:hint="default" w:ascii="Times New Roman" w:hAnsi="Times New Roman" w:eastAsia="仿宋" w:cs="Times New Roman"/>
                      <w:color w:val="auto"/>
                      <w:spacing w:val="0"/>
                      <w:kern w:val="0"/>
                      <w:szCs w:val="21"/>
                      <w:highlight w:val="none"/>
                    </w:rPr>
                  </w:pPr>
                  <w:r>
                    <w:rPr>
                      <w:rFonts w:hint="default" w:ascii="Times New Roman" w:hAnsi="Times New Roman" w:eastAsia="仿宋" w:cs="Times New Roman"/>
                      <w:color w:val="auto"/>
                      <w:spacing w:val="0"/>
                      <w:kern w:val="0"/>
                      <w:szCs w:val="21"/>
                      <w:highlight w:val="none"/>
                    </w:rPr>
                    <w:t>边界外声环境功能区类别</w:t>
                  </w:r>
                </w:p>
              </w:tc>
              <w:tc>
                <w:tcPr>
                  <w:tcW w:w="1596" w:type="pct"/>
                  <w:tcBorders>
                    <w:tl2br w:val="nil"/>
                    <w:tr2bl w:val="nil"/>
                  </w:tcBorders>
                  <w:noWrap w:val="0"/>
                  <w:vAlign w:val="center"/>
                </w:tcPr>
                <w:p w14:paraId="2E9EFB0B">
                  <w:pPr>
                    <w:keepNext w:val="0"/>
                    <w:keepLines w:val="0"/>
                    <w:pageBreakBefore w:val="0"/>
                    <w:widowControl w:val="0"/>
                    <w:kinsoku/>
                    <w:wordWrap/>
                    <w:overflowPunct/>
                    <w:topLinePunct/>
                    <w:autoSpaceDE/>
                    <w:autoSpaceDN w:val="0"/>
                    <w:bidi w:val="0"/>
                    <w:adjustRightInd/>
                    <w:snapToGrid/>
                    <w:spacing w:line="360" w:lineRule="exact"/>
                    <w:jc w:val="center"/>
                    <w:textAlignment w:val="center"/>
                    <w:rPr>
                      <w:rFonts w:hint="default" w:ascii="Times New Roman" w:hAnsi="Times New Roman" w:eastAsia="仿宋" w:cs="Times New Roman"/>
                      <w:color w:val="auto"/>
                      <w:spacing w:val="0"/>
                      <w:kern w:val="0"/>
                      <w:szCs w:val="21"/>
                      <w:highlight w:val="none"/>
                    </w:rPr>
                  </w:pPr>
                  <w:r>
                    <w:rPr>
                      <w:rFonts w:hint="default" w:ascii="Times New Roman" w:hAnsi="Times New Roman" w:eastAsia="仿宋" w:cs="Times New Roman"/>
                      <w:color w:val="auto"/>
                      <w:spacing w:val="0"/>
                      <w:kern w:val="0"/>
                      <w:szCs w:val="21"/>
                      <w:highlight w:val="none"/>
                    </w:rPr>
                    <w:t>昼间</w:t>
                  </w:r>
                </w:p>
              </w:tc>
              <w:tc>
                <w:tcPr>
                  <w:tcW w:w="1548" w:type="pct"/>
                  <w:tcBorders>
                    <w:tl2br w:val="nil"/>
                    <w:tr2bl w:val="nil"/>
                  </w:tcBorders>
                  <w:noWrap w:val="0"/>
                  <w:vAlign w:val="center"/>
                </w:tcPr>
                <w:p w14:paraId="7F0956DD">
                  <w:pPr>
                    <w:keepNext w:val="0"/>
                    <w:keepLines w:val="0"/>
                    <w:pageBreakBefore w:val="0"/>
                    <w:widowControl w:val="0"/>
                    <w:kinsoku/>
                    <w:wordWrap/>
                    <w:overflowPunct/>
                    <w:topLinePunct/>
                    <w:autoSpaceDE/>
                    <w:autoSpaceDN w:val="0"/>
                    <w:bidi w:val="0"/>
                    <w:adjustRightInd/>
                    <w:snapToGrid/>
                    <w:spacing w:line="360" w:lineRule="exact"/>
                    <w:jc w:val="center"/>
                    <w:textAlignment w:val="center"/>
                    <w:rPr>
                      <w:rFonts w:hint="default" w:ascii="Times New Roman" w:hAnsi="Times New Roman" w:eastAsia="仿宋" w:cs="Times New Roman"/>
                      <w:color w:val="auto"/>
                      <w:spacing w:val="0"/>
                      <w:kern w:val="0"/>
                      <w:szCs w:val="21"/>
                      <w:highlight w:val="none"/>
                    </w:rPr>
                  </w:pPr>
                  <w:r>
                    <w:rPr>
                      <w:rFonts w:hint="default" w:ascii="Times New Roman" w:hAnsi="Times New Roman" w:eastAsia="仿宋" w:cs="Times New Roman"/>
                      <w:color w:val="auto"/>
                      <w:spacing w:val="0"/>
                      <w:kern w:val="0"/>
                      <w:szCs w:val="21"/>
                      <w:highlight w:val="none"/>
                    </w:rPr>
                    <w:t>夜间</w:t>
                  </w:r>
                </w:p>
              </w:tc>
            </w:tr>
            <w:tr w14:paraId="5B19A0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0" w:hRule="atLeast"/>
                <w:jc w:val="center"/>
              </w:trPr>
              <w:tc>
                <w:tcPr>
                  <w:tcW w:w="1854" w:type="pct"/>
                  <w:tcBorders>
                    <w:tl2br w:val="nil"/>
                    <w:tr2bl w:val="nil"/>
                  </w:tcBorders>
                  <w:noWrap w:val="0"/>
                  <w:vAlign w:val="center"/>
                </w:tcPr>
                <w:p w14:paraId="7C729DED">
                  <w:pPr>
                    <w:keepNext w:val="0"/>
                    <w:keepLines w:val="0"/>
                    <w:pageBreakBefore w:val="0"/>
                    <w:widowControl w:val="0"/>
                    <w:kinsoku/>
                    <w:wordWrap/>
                    <w:overflowPunct/>
                    <w:topLinePunct/>
                    <w:autoSpaceDE/>
                    <w:autoSpaceDN w:val="0"/>
                    <w:bidi w:val="0"/>
                    <w:adjustRightInd/>
                    <w:snapToGrid/>
                    <w:spacing w:line="360" w:lineRule="exact"/>
                    <w:jc w:val="center"/>
                    <w:textAlignment w:val="center"/>
                    <w:rPr>
                      <w:rFonts w:hint="default" w:ascii="Times New Roman" w:hAnsi="Times New Roman" w:eastAsia="仿宋" w:cs="Times New Roman"/>
                      <w:b w:val="0"/>
                      <w:bCs w:val="0"/>
                      <w:color w:val="auto"/>
                      <w:spacing w:val="0"/>
                      <w:kern w:val="0"/>
                      <w:sz w:val="21"/>
                      <w:szCs w:val="21"/>
                      <w:highlight w:val="none"/>
                    </w:rPr>
                  </w:pPr>
                  <w:r>
                    <w:rPr>
                      <w:rFonts w:hint="eastAsia" w:eastAsia="仿宋" w:cs="Times New Roman"/>
                      <w:b w:val="0"/>
                      <w:bCs w:val="0"/>
                      <w:color w:val="auto"/>
                      <w:spacing w:val="0"/>
                      <w:kern w:val="0"/>
                      <w:sz w:val="21"/>
                      <w:szCs w:val="21"/>
                      <w:highlight w:val="none"/>
                      <w:lang w:val="en-US" w:eastAsia="zh-CN"/>
                    </w:rPr>
                    <w:t>2</w:t>
                  </w:r>
                  <w:r>
                    <w:rPr>
                      <w:rFonts w:hint="default" w:ascii="Times New Roman" w:hAnsi="Times New Roman" w:eastAsia="仿宋" w:cs="Times New Roman"/>
                      <w:b w:val="0"/>
                      <w:bCs w:val="0"/>
                      <w:color w:val="auto"/>
                      <w:spacing w:val="0"/>
                      <w:kern w:val="0"/>
                      <w:sz w:val="21"/>
                      <w:szCs w:val="21"/>
                      <w:highlight w:val="none"/>
                    </w:rPr>
                    <w:t>类</w:t>
                  </w:r>
                </w:p>
              </w:tc>
              <w:tc>
                <w:tcPr>
                  <w:tcW w:w="1596" w:type="pct"/>
                  <w:tcBorders>
                    <w:tl2br w:val="nil"/>
                    <w:tr2bl w:val="nil"/>
                  </w:tcBorders>
                  <w:noWrap w:val="0"/>
                  <w:vAlign w:val="center"/>
                </w:tcPr>
                <w:p w14:paraId="56865793">
                  <w:pPr>
                    <w:keepNext w:val="0"/>
                    <w:keepLines w:val="0"/>
                    <w:pageBreakBefore w:val="0"/>
                    <w:widowControl w:val="0"/>
                    <w:kinsoku/>
                    <w:wordWrap/>
                    <w:overflowPunct/>
                    <w:topLinePunct/>
                    <w:autoSpaceDE/>
                    <w:autoSpaceDN w:val="0"/>
                    <w:bidi w:val="0"/>
                    <w:adjustRightInd w:val="0"/>
                    <w:snapToGrid w:val="0"/>
                    <w:spacing w:line="240" w:lineRule="auto"/>
                    <w:jc w:val="center"/>
                    <w:textAlignment w:val="center"/>
                    <w:rPr>
                      <w:rFonts w:hint="default" w:ascii="Times New Roman" w:hAnsi="Times New Roman" w:eastAsia="仿宋" w:cs="Times New Roman"/>
                      <w:b w:val="0"/>
                      <w:bCs w:val="0"/>
                      <w:color w:val="auto"/>
                      <w:spacing w:val="0"/>
                      <w:kern w:val="0"/>
                      <w:sz w:val="21"/>
                      <w:szCs w:val="21"/>
                      <w:highlight w:val="none"/>
                    </w:rPr>
                  </w:pPr>
                  <w:r>
                    <w:rPr>
                      <w:rFonts w:hint="eastAsia" w:eastAsia="仿宋" w:cs="Times New Roman"/>
                      <w:b w:val="0"/>
                      <w:bCs w:val="0"/>
                      <w:color w:val="auto"/>
                      <w:spacing w:val="0"/>
                      <w:kern w:val="0"/>
                      <w:sz w:val="21"/>
                      <w:szCs w:val="21"/>
                      <w:highlight w:val="none"/>
                      <w:lang w:val="en-US" w:eastAsia="zh-CN"/>
                    </w:rPr>
                    <w:t>60</w:t>
                  </w:r>
                  <w:r>
                    <w:rPr>
                      <w:rFonts w:hint="default" w:ascii="Times New Roman" w:hAnsi="Times New Roman" w:eastAsia="仿宋" w:cs="Times New Roman"/>
                      <w:b w:val="0"/>
                      <w:bCs w:val="0"/>
                      <w:color w:val="auto"/>
                      <w:spacing w:val="0"/>
                      <w:sz w:val="21"/>
                      <w:szCs w:val="21"/>
                      <w:highlight w:val="none"/>
                    </w:rPr>
                    <w:t>dB（A）</w:t>
                  </w:r>
                </w:p>
              </w:tc>
              <w:tc>
                <w:tcPr>
                  <w:tcW w:w="1548" w:type="pct"/>
                  <w:tcBorders>
                    <w:tl2br w:val="nil"/>
                    <w:tr2bl w:val="nil"/>
                  </w:tcBorders>
                  <w:noWrap w:val="0"/>
                  <w:vAlign w:val="center"/>
                </w:tcPr>
                <w:p w14:paraId="084905F9">
                  <w:pPr>
                    <w:keepNext w:val="0"/>
                    <w:keepLines w:val="0"/>
                    <w:pageBreakBefore w:val="0"/>
                    <w:widowControl w:val="0"/>
                    <w:kinsoku/>
                    <w:wordWrap/>
                    <w:overflowPunct/>
                    <w:topLinePunct/>
                    <w:autoSpaceDE/>
                    <w:autoSpaceDN w:val="0"/>
                    <w:bidi w:val="0"/>
                    <w:adjustRightInd w:val="0"/>
                    <w:snapToGrid w:val="0"/>
                    <w:spacing w:line="240" w:lineRule="auto"/>
                    <w:jc w:val="center"/>
                    <w:textAlignment w:val="center"/>
                    <w:rPr>
                      <w:rFonts w:hint="default" w:ascii="Times New Roman" w:hAnsi="Times New Roman" w:eastAsia="仿宋" w:cs="Times New Roman"/>
                      <w:b w:val="0"/>
                      <w:bCs w:val="0"/>
                      <w:color w:val="auto"/>
                      <w:spacing w:val="0"/>
                      <w:kern w:val="0"/>
                      <w:sz w:val="21"/>
                      <w:szCs w:val="21"/>
                      <w:highlight w:val="none"/>
                    </w:rPr>
                  </w:pPr>
                  <w:r>
                    <w:rPr>
                      <w:rFonts w:hint="eastAsia" w:eastAsia="仿宋" w:cs="Times New Roman"/>
                      <w:b w:val="0"/>
                      <w:bCs w:val="0"/>
                      <w:color w:val="auto"/>
                      <w:spacing w:val="0"/>
                      <w:kern w:val="0"/>
                      <w:sz w:val="21"/>
                      <w:szCs w:val="21"/>
                      <w:highlight w:val="none"/>
                      <w:lang w:val="en-US" w:eastAsia="zh-CN"/>
                    </w:rPr>
                    <w:t>50</w:t>
                  </w:r>
                  <w:r>
                    <w:rPr>
                      <w:rFonts w:hint="default" w:ascii="Times New Roman" w:hAnsi="Times New Roman" w:eastAsia="仿宋" w:cs="Times New Roman"/>
                      <w:b w:val="0"/>
                      <w:bCs w:val="0"/>
                      <w:color w:val="auto"/>
                      <w:spacing w:val="0"/>
                      <w:sz w:val="21"/>
                      <w:szCs w:val="21"/>
                      <w:highlight w:val="none"/>
                    </w:rPr>
                    <w:t>dB（A）</w:t>
                  </w:r>
                </w:p>
              </w:tc>
            </w:tr>
          </w:tbl>
          <w:p w14:paraId="4D084896">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auto"/>
                <w:spacing w:val="0"/>
                <w:sz w:val="24"/>
                <w:highlight w:val="none"/>
                <w:lang w:eastAsia="zh-CN"/>
              </w:rPr>
            </w:pPr>
            <w:r>
              <w:rPr>
                <w:rFonts w:hint="default" w:ascii="Times New Roman" w:hAnsi="Times New Roman" w:eastAsia="仿宋" w:cs="Times New Roman"/>
                <w:color w:val="auto"/>
                <w:spacing w:val="0"/>
                <w:sz w:val="24"/>
                <w:szCs w:val="24"/>
                <w:highlight w:val="none"/>
                <w:lang w:eastAsia="zh-CN"/>
              </w:rPr>
              <w:t>⑶</w:t>
            </w:r>
            <w:r>
              <w:rPr>
                <w:rFonts w:hint="default" w:ascii="Times New Roman" w:hAnsi="Times New Roman" w:eastAsia="仿宋" w:cs="Times New Roman"/>
                <w:color w:val="auto"/>
                <w:spacing w:val="0"/>
                <w:sz w:val="24"/>
                <w:highlight w:val="none"/>
                <w:lang w:eastAsia="zh-CN"/>
              </w:rPr>
              <w:t>固体废物</w:t>
            </w:r>
          </w:p>
          <w:p w14:paraId="18C3844D">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val="en-US" w:eastAsia="zh-CN"/>
              </w:rPr>
              <w:t>一般</w:t>
            </w:r>
            <w:r>
              <w:rPr>
                <w:rFonts w:hint="default" w:ascii="Times New Roman" w:hAnsi="Times New Roman" w:eastAsia="仿宋" w:cs="Times New Roman"/>
                <w:color w:val="auto"/>
                <w:sz w:val="24"/>
                <w:szCs w:val="24"/>
                <w:highlight w:val="none"/>
              </w:rPr>
              <w:t>固体废物执行《一般工业固体废物贮存</w:t>
            </w:r>
            <w:r>
              <w:rPr>
                <w:rFonts w:hint="default" w:ascii="Times New Roman" w:hAnsi="Times New Roman" w:eastAsia="仿宋" w:cs="Times New Roman"/>
                <w:color w:val="auto"/>
                <w:sz w:val="24"/>
                <w:szCs w:val="24"/>
                <w:highlight w:val="none"/>
                <w:lang w:val="en-US" w:eastAsia="zh-CN"/>
              </w:rPr>
              <w:t>和填埋污染</w:t>
            </w:r>
            <w:r>
              <w:rPr>
                <w:rFonts w:hint="default" w:ascii="Times New Roman" w:hAnsi="Times New Roman" w:eastAsia="仿宋" w:cs="Times New Roman"/>
                <w:color w:val="auto"/>
                <w:sz w:val="24"/>
                <w:szCs w:val="24"/>
                <w:highlight w:val="none"/>
              </w:rPr>
              <w:t>控制标准》（GB18599-20</w:t>
            </w:r>
            <w:r>
              <w:rPr>
                <w:rFonts w:hint="default" w:ascii="Times New Roman" w:hAnsi="Times New Roman" w:eastAsia="仿宋" w:cs="Times New Roman"/>
                <w:color w:val="auto"/>
                <w:sz w:val="24"/>
                <w:szCs w:val="24"/>
                <w:highlight w:val="none"/>
                <w:lang w:val="en-US" w:eastAsia="zh-CN"/>
              </w:rPr>
              <w:t>20</w:t>
            </w:r>
            <w:r>
              <w:rPr>
                <w:rFonts w:hint="default" w:ascii="Times New Roman" w:hAnsi="Times New Roman" w:eastAsia="仿宋" w:cs="Times New Roman"/>
                <w:color w:val="auto"/>
                <w:sz w:val="24"/>
                <w:szCs w:val="24"/>
                <w:highlight w:val="none"/>
              </w:rPr>
              <w:t>）</w:t>
            </w:r>
            <w:r>
              <w:rPr>
                <w:rFonts w:hint="default" w:ascii="Times New Roman" w:hAnsi="Times New Roman" w:eastAsia="仿宋" w:cs="Times New Roman"/>
                <w:color w:val="auto"/>
                <w:sz w:val="24"/>
                <w:szCs w:val="24"/>
                <w:highlight w:val="none"/>
                <w:lang w:val="en-US" w:eastAsia="zh-CN"/>
              </w:rPr>
              <w:t>中的</w:t>
            </w:r>
            <w:r>
              <w:rPr>
                <w:rFonts w:hint="default" w:ascii="Times New Roman" w:hAnsi="Times New Roman" w:eastAsia="仿宋" w:cs="Times New Roman"/>
                <w:color w:val="auto"/>
                <w:sz w:val="24"/>
                <w:szCs w:val="24"/>
                <w:highlight w:val="none"/>
              </w:rPr>
              <w:t>相关规定</w:t>
            </w:r>
            <w:r>
              <w:rPr>
                <w:rFonts w:hint="default" w:ascii="Times New Roman" w:hAnsi="Times New Roman" w:eastAsia="仿宋" w:cs="Times New Roman"/>
                <w:color w:val="auto"/>
                <w:sz w:val="24"/>
                <w:szCs w:val="24"/>
                <w:highlight w:val="none"/>
                <w:lang w:eastAsia="zh-CN"/>
              </w:rPr>
              <w:t>；</w:t>
            </w:r>
          </w:p>
          <w:p w14:paraId="2E45CC3D">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auto"/>
                <w:spacing w:val="0"/>
                <w:kern w:val="2"/>
                <w:sz w:val="24"/>
                <w:highlight w:val="none"/>
              </w:rPr>
            </w:pPr>
            <w:r>
              <w:rPr>
                <w:rFonts w:hint="default" w:ascii="Times New Roman" w:hAnsi="Times New Roman" w:eastAsia="仿宋" w:cs="Times New Roman"/>
                <w:color w:val="auto"/>
                <w:sz w:val="24"/>
                <w:highlight w:val="none"/>
              </w:rPr>
              <w:t>危险废物按照《危险废物贮存污染控制标准》（GB18597-2023）</w:t>
            </w:r>
            <w:r>
              <w:rPr>
                <w:rFonts w:hint="default" w:ascii="Times New Roman" w:hAnsi="Times New Roman" w:eastAsia="仿宋" w:cs="Times New Roman"/>
                <w:color w:val="auto"/>
                <w:sz w:val="24"/>
                <w:highlight w:val="none"/>
                <w:lang w:val="en-US" w:eastAsia="zh-CN"/>
              </w:rPr>
              <w:t>中要求</w:t>
            </w:r>
            <w:r>
              <w:rPr>
                <w:rFonts w:hint="default" w:ascii="Times New Roman" w:hAnsi="Times New Roman" w:eastAsia="仿宋" w:cs="Times New Roman"/>
                <w:color w:val="auto"/>
                <w:sz w:val="24"/>
                <w:highlight w:val="none"/>
              </w:rPr>
              <w:t>进行</w:t>
            </w:r>
            <w:r>
              <w:rPr>
                <w:rFonts w:hint="default" w:ascii="Times New Roman" w:hAnsi="Times New Roman" w:eastAsia="仿宋" w:cs="Times New Roman"/>
                <w:color w:val="auto"/>
                <w:sz w:val="24"/>
                <w:highlight w:val="none"/>
                <w:lang w:val="en-US" w:eastAsia="zh-CN"/>
              </w:rPr>
              <w:t>管理</w:t>
            </w:r>
            <w:r>
              <w:rPr>
                <w:rFonts w:hint="default" w:ascii="Times New Roman" w:hAnsi="Times New Roman" w:eastAsia="仿宋" w:cs="Times New Roman"/>
                <w:color w:val="auto"/>
                <w:sz w:val="24"/>
                <w:szCs w:val="24"/>
                <w:highlight w:val="none"/>
              </w:rPr>
              <w:t>。</w:t>
            </w:r>
          </w:p>
        </w:tc>
      </w:tr>
      <w:tr w14:paraId="402E2D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45" w:hRule="atLeast"/>
          <w:jc w:val="center"/>
        </w:trPr>
        <w:tc>
          <w:tcPr>
            <w:tcW w:w="491" w:type="pct"/>
            <w:noWrap w:val="0"/>
            <w:vAlign w:val="center"/>
          </w:tcPr>
          <w:p w14:paraId="0FACA94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仿宋" w:cs="Times New Roman"/>
                <w:color w:val="auto"/>
                <w:spacing w:val="0"/>
                <w:kern w:val="0"/>
                <w:sz w:val="24"/>
                <w:highlight w:val="none"/>
                <w:lang w:val="en-US" w:eastAsia="zh-CN"/>
              </w:rPr>
            </w:pPr>
            <w:r>
              <w:rPr>
                <w:rFonts w:hint="default" w:ascii="Times New Roman" w:hAnsi="Times New Roman" w:eastAsia="仿宋" w:cs="Times New Roman"/>
                <w:color w:val="auto"/>
                <w:spacing w:val="0"/>
                <w:kern w:val="0"/>
                <w:sz w:val="24"/>
                <w:highlight w:val="none"/>
                <w:lang w:val="en-US" w:eastAsia="zh-CN"/>
              </w:rPr>
              <w:t>其他</w:t>
            </w:r>
          </w:p>
        </w:tc>
        <w:tc>
          <w:tcPr>
            <w:tcW w:w="4508" w:type="pct"/>
            <w:noWrap w:val="0"/>
            <w:vAlign w:val="center"/>
          </w:tcPr>
          <w:p w14:paraId="118CA741">
            <w:pPr>
              <w:keepNext w:val="0"/>
              <w:keepLines w:val="0"/>
              <w:pageBreakBefore w:val="0"/>
              <w:widowControl w:val="0"/>
              <w:kinsoku/>
              <w:wordWrap/>
              <w:overflowPunct/>
              <w:topLinePunct/>
              <w:autoSpaceDE/>
              <w:autoSpaceDN w:val="0"/>
              <w:bidi w:val="0"/>
              <w:adjustRightInd/>
              <w:snapToGrid/>
              <w:spacing w:before="157" w:beforeLines="50" w:line="360" w:lineRule="auto"/>
              <w:ind w:firstLine="480" w:firstLineChars="200"/>
              <w:textAlignment w:val="center"/>
              <w:rPr>
                <w:rFonts w:hint="default" w:ascii="Times New Roman" w:hAnsi="Times New Roman" w:eastAsia="仿宋" w:cs="Times New Roman"/>
                <w:color w:val="auto"/>
                <w:spacing w:val="0"/>
                <w:sz w:val="24"/>
                <w:highlight w:val="none"/>
                <w:lang w:val="en-US" w:eastAsia="zh-CN"/>
              </w:rPr>
            </w:pPr>
          </w:p>
          <w:p w14:paraId="4C8426B5">
            <w:pPr>
              <w:keepNext w:val="0"/>
              <w:keepLines w:val="0"/>
              <w:pageBreakBefore w:val="0"/>
              <w:widowControl w:val="0"/>
              <w:kinsoku/>
              <w:wordWrap/>
              <w:overflowPunct/>
              <w:topLinePunct/>
              <w:autoSpaceDE/>
              <w:autoSpaceDN w:val="0"/>
              <w:bidi w:val="0"/>
              <w:adjustRightInd/>
              <w:snapToGrid/>
              <w:spacing w:before="157" w:beforeLines="50" w:line="360" w:lineRule="auto"/>
              <w:ind w:firstLine="480" w:firstLineChars="200"/>
              <w:textAlignment w:val="center"/>
              <w:rPr>
                <w:rFonts w:hint="default" w:ascii="Times New Roman" w:hAnsi="Times New Roman" w:eastAsia="仿宋" w:cs="Times New Roman"/>
                <w:color w:val="auto"/>
                <w:spacing w:val="0"/>
                <w:sz w:val="24"/>
                <w:highlight w:val="none"/>
                <w:lang w:val="en-US" w:eastAsia="zh-CN"/>
              </w:rPr>
            </w:pPr>
          </w:p>
          <w:p w14:paraId="34AC23BD">
            <w:pPr>
              <w:keepNext w:val="0"/>
              <w:keepLines w:val="0"/>
              <w:pageBreakBefore w:val="0"/>
              <w:widowControl w:val="0"/>
              <w:kinsoku/>
              <w:wordWrap/>
              <w:overflowPunct/>
              <w:topLinePunct/>
              <w:autoSpaceDE/>
              <w:autoSpaceDN w:val="0"/>
              <w:bidi w:val="0"/>
              <w:adjustRightInd/>
              <w:snapToGrid/>
              <w:spacing w:before="157" w:beforeLines="50" w:line="360" w:lineRule="auto"/>
              <w:ind w:firstLine="480" w:firstLineChars="200"/>
              <w:textAlignment w:val="center"/>
              <w:rPr>
                <w:rFonts w:hint="default" w:ascii="Times New Roman" w:hAnsi="Times New Roman" w:eastAsia="仿宋" w:cs="Times New Roman"/>
                <w:color w:val="auto"/>
                <w:spacing w:val="0"/>
                <w:sz w:val="24"/>
                <w:highlight w:val="none"/>
                <w:lang w:val="en-US" w:eastAsia="zh-CN"/>
              </w:rPr>
            </w:pPr>
          </w:p>
          <w:p w14:paraId="0BA7E835">
            <w:pPr>
              <w:keepNext w:val="0"/>
              <w:keepLines w:val="0"/>
              <w:pageBreakBefore w:val="0"/>
              <w:widowControl w:val="0"/>
              <w:kinsoku/>
              <w:wordWrap/>
              <w:overflowPunct/>
              <w:topLinePunct/>
              <w:autoSpaceDE/>
              <w:autoSpaceDN w:val="0"/>
              <w:bidi w:val="0"/>
              <w:adjustRightInd/>
              <w:snapToGrid/>
              <w:spacing w:before="157" w:beforeLines="50" w:line="360" w:lineRule="auto"/>
              <w:ind w:firstLine="480" w:firstLineChars="200"/>
              <w:textAlignment w:val="center"/>
              <w:rPr>
                <w:rFonts w:hint="default" w:ascii="Times New Roman" w:hAnsi="Times New Roman" w:eastAsia="仿宋" w:cs="Times New Roman"/>
                <w:color w:val="auto"/>
                <w:spacing w:val="0"/>
                <w:sz w:val="24"/>
                <w:highlight w:val="none"/>
                <w:lang w:val="en-US" w:eastAsia="zh-CN"/>
              </w:rPr>
            </w:pPr>
          </w:p>
          <w:p w14:paraId="25FB83B3">
            <w:pPr>
              <w:keepNext w:val="0"/>
              <w:keepLines w:val="0"/>
              <w:pageBreakBefore w:val="0"/>
              <w:widowControl w:val="0"/>
              <w:kinsoku/>
              <w:wordWrap/>
              <w:overflowPunct/>
              <w:topLinePunct/>
              <w:autoSpaceDE/>
              <w:autoSpaceDN w:val="0"/>
              <w:bidi w:val="0"/>
              <w:adjustRightInd w:val="0"/>
              <w:snapToGrid w:val="0"/>
              <w:spacing w:line="360" w:lineRule="auto"/>
              <w:ind w:firstLine="480" w:firstLineChars="200"/>
              <w:textAlignment w:val="center"/>
              <w:rPr>
                <w:rFonts w:hint="default" w:ascii="Times New Roman" w:hAnsi="Times New Roman" w:eastAsia="仿宋" w:cs="Times New Roman"/>
                <w:color w:val="auto"/>
                <w:spacing w:val="0"/>
                <w:sz w:val="24"/>
                <w:highlight w:val="none"/>
                <w:lang w:val="en-US" w:eastAsia="zh-CN"/>
              </w:rPr>
            </w:pPr>
          </w:p>
          <w:p w14:paraId="7DC8E8A3">
            <w:pPr>
              <w:keepNext w:val="0"/>
              <w:keepLines w:val="0"/>
              <w:pageBreakBefore w:val="0"/>
              <w:widowControl w:val="0"/>
              <w:kinsoku/>
              <w:wordWrap/>
              <w:overflowPunct/>
              <w:topLinePunct/>
              <w:autoSpaceDE/>
              <w:autoSpaceDN w:val="0"/>
              <w:bidi w:val="0"/>
              <w:adjustRightInd w:val="0"/>
              <w:snapToGrid w:val="0"/>
              <w:spacing w:line="360" w:lineRule="auto"/>
              <w:textAlignment w:val="center"/>
              <w:rPr>
                <w:rFonts w:hint="default" w:ascii="Times New Roman" w:hAnsi="Times New Roman" w:eastAsia="仿宋" w:cs="Times New Roman"/>
                <w:color w:val="auto"/>
                <w:spacing w:val="0"/>
                <w:sz w:val="24"/>
                <w:highlight w:val="none"/>
              </w:rPr>
            </w:pPr>
            <w:r>
              <w:rPr>
                <w:rFonts w:hint="default" w:ascii="Times New Roman" w:hAnsi="Times New Roman" w:eastAsia="仿宋" w:cs="Times New Roman"/>
                <w:color w:val="auto"/>
                <w:spacing w:val="0"/>
                <w:sz w:val="24"/>
                <w:highlight w:val="none"/>
                <w:lang w:val="en-US" w:eastAsia="zh-CN"/>
              </w:rPr>
              <w:t>根据项目特征，</w:t>
            </w:r>
            <w:r>
              <w:rPr>
                <w:rFonts w:hint="default" w:ascii="Times New Roman" w:hAnsi="Times New Roman" w:eastAsia="仿宋" w:cs="Times New Roman"/>
                <w:color w:val="auto"/>
                <w:spacing w:val="0"/>
                <w:sz w:val="24"/>
                <w:highlight w:val="none"/>
              </w:rPr>
              <w:t>项目不设</w:t>
            </w:r>
            <w:r>
              <w:rPr>
                <w:rFonts w:hint="default" w:ascii="Times New Roman" w:hAnsi="Times New Roman" w:eastAsia="仿宋" w:cs="Times New Roman"/>
                <w:color w:val="auto"/>
                <w:spacing w:val="0"/>
                <w:sz w:val="24"/>
                <w:highlight w:val="none"/>
                <w:lang w:val="en-US" w:eastAsia="zh-CN"/>
              </w:rPr>
              <w:t>置</w:t>
            </w:r>
            <w:r>
              <w:rPr>
                <w:rFonts w:hint="default" w:ascii="Times New Roman" w:hAnsi="Times New Roman" w:eastAsia="仿宋" w:cs="Times New Roman"/>
                <w:color w:val="auto"/>
                <w:spacing w:val="0"/>
                <w:sz w:val="24"/>
                <w:highlight w:val="none"/>
              </w:rPr>
              <w:t>总量控制指标。</w:t>
            </w:r>
          </w:p>
          <w:p w14:paraId="18D1A364">
            <w:pPr>
              <w:keepNext w:val="0"/>
              <w:keepLines w:val="0"/>
              <w:pageBreakBefore w:val="0"/>
              <w:widowControl w:val="0"/>
              <w:kinsoku/>
              <w:wordWrap/>
              <w:overflowPunct/>
              <w:topLinePunct/>
              <w:autoSpaceDE/>
              <w:autoSpaceDN w:val="0"/>
              <w:bidi w:val="0"/>
              <w:adjustRightInd w:val="0"/>
              <w:snapToGrid w:val="0"/>
              <w:spacing w:line="360" w:lineRule="auto"/>
              <w:textAlignment w:val="center"/>
              <w:rPr>
                <w:rFonts w:hint="default" w:ascii="Times New Roman" w:hAnsi="Times New Roman" w:eastAsia="仿宋" w:cs="Times New Roman"/>
                <w:color w:val="auto"/>
                <w:spacing w:val="0"/>
                <w:sz w:val="24"/>
                <w:highlight w:val="none"/>
              </w:rPr>
            </w:pPr>
          </w:p>
          <w:p w14:paraId="76F823B3">
            <w:pPr>
              <w:keepNext w:val="0"/>
              <w:keepLines w:val="0"/>
              <w:pageBreakBefore w:val="0"/>
              <w:widowControl w:val="0"/>
              <w:kinsoku/>
              <w:wordWrap/>
              <w:overflowPunct/>
              <w:topLinePunct/>
              <w:autoSpaceDE/>
              <w:autoSpaceDN w:val="0"/>
              <w:bidi w:val="0"/>
              <w:adjustRightInd w:val="0"/>
              <w:snapToGrid w:val="0"/>
              <w:spacing w:line="360" w:lineRule="auto"/>
              <w:textAlignment w:val="center"/>
              <w:rPr>
                <w:rFonts w:hint="default" w:ascii="Times New Roman" w:hAnsi="Times New Roman" w:eastAsia="仿宋" w:cs="Times New Roman"/>
                <w:color w:val="auto"/>
                <w:spacing w:val="0"/>
                <w:sz w:val="24"/>
                <w:highlight w:val="none"/>
              </w:rPr>
            </w:pPr>
          </w:p>
          <w:p w14:paraId="18E3FCA6">
            <w:pPr>
              <w:keepNext w:val="0"/>
              <w:keepLines w:val="0"/>
              <w:pageBreakBefore w:val="0"/>
              <w:widowControl w:val="0"/>
              <w:kinsoku/>
              <w:wordWrap/>
              <w:overflowPunct/>
              <w:topLinePunct/>
              <w:autoSpaceDE/>
              <w:autoSpaceDN w:val="0"/>
              <w:bidi w:val="0"/>
              <w:adjustRightInd w:val="0"/>
              <w:snapToGrid w:val="0"/>
              <w:spacing w:line="360" w:lineRule="auto"/>
              <w:textAlignment w:val="center"/>
              <w:rPr>
                <w:rFonts w:hint="default" w:ascii="Times New Roman" w:hAnsi="Times New Roman" w:eastAsia="仿宋" w:cs="Times New Roman"/>
                <w:color w:val="auto"/>
                <w:spacing w:val="0"/>
                <w:sz w:val="24"/>
                <w:highlight w:val="none"/>
              </w:rPr>
            </w:pPr>
          </w:p>
          <w:p w14:paraId="47D93976">
            <w:pPr>
              <w:keepNext w:val="0"/>
              <w:keepLines w:val="0"/>
              <w:pageBreakBefore w:val="0"/>
              <w:widowControl w:val="0"/>
              <w:kinsoku/>
              <w:wordWrap/>
              <w:overflowPunct/>
              <w:topLinePunct/>
              <w:autoSpaceDE/>
              <w:autoSpaceDN w:val="0"/>
              <w:bidi w:val="0"/>
              <w:adjustRightInd w:val="0"/>
              <w:snapToGrid w:val="0"/>
              <w:spacing w:line="360" w:lineRule="auto"/>
              <w:ind w:firstLine="480" w:firstLineChars="200"/>
              <w:textAlignment w:val="center"/>
              <w:rPr>
                <w:rFonts w:hint="default" w:ascii="Times New Roman" w:hAnsi="Times New Roman" w:eastAsia="仿宋" w:cs="Times New Roman"/>
                <w:color w:val="auto"/>
                <w:spacing w:val="0"/>
                <w:sz w:val="24"/>
                <w:highlight w:val="none"/>
              </w:rPr>
            </w:pPr>
          </w:p>
          <w:p w14:paraId="47994A33">
            <w:pPr>
              <w:keepNext w:val="0"/>
              <w:keepLines w:val="0"/>
              <w:pageBreakBefore w:val="0"/>
              <w:widowControl w:val="0"/>
              <w:kinsoku/>
              <w:wordWrap/>
              <w:overflowPunct/>
              <w:topLinePunct/>
              <w:autoSpaceDE/>
              <w:autoSpaceDN w:val="0"/>
              <w:bidi w:val="0"/>
              <w:adjustRightInd w:val="0"/>
              <w:snapToGrid w:val="0"/>
              <w:spacing w:line="360" w:lineRule="auto"/>
              <w:ind w:firstLine="480" w:firstLineChars="200"/>
              <w:textAlignment w:val="center"/>
              <w:rPr>
                <w:rFonts w:hint="default" w:ascii="Times New Roman" w:hAnsi="Times New Roman" w:eastAsia="仿宋" w:cs="Times New Roman"/>
                <w:color w:val="auto"/>
                <w:spacing w:val="0"/>
                <w:sz w:val="24"/>
                <w:highlight w:val="none"/>
              </w:rPr>
            </w:pPr>
          </w:p>
          <w:p w14:paraId="62EC0B43">
            <w:pPr>
              <w:pStyle w:val="4"/>
              <w:rPr>
                <w:rFonts w:hint="default"/>
              </w:rPr>
            </w:pPr>
          </w:p>
        </w:tc>
      </w:tr>
    </w:tbl>
    <w:p w14:paraId="5A0E50B7">
      <w:pPr>
        <w:pStyle w:val="20"/>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default" w:ascii="Times New Roman" w:hAnsi="Times New Roman" w:eastAsia="仿宋" w:cs="Times New Roman"/>
          <w:snapToGrid w:val="0"/>
          <w:color w:val="auto"/>
          <w:sz w:val="30"/>
          <w:szCs w:val="30"/>
          <w:highlight w:val="none"/>
          <w:lang w:val="en-US" w:eastAsia="zh-CN"/>
        </w:rPr>
      </w:pPr>
      <w:r>
        <w:rPr>
          <w:rFonts w:hint="default" w:ascii="Times New Roman" w:hAnsi="Times New Roman" w:eastAsia="仿宋" w:cs="Times New Roman"/>
          <w:snapToGrid w:val="0"/>
          <w:color w:val="auto"/>
          <w:sz w:val="30"/>
          <w:szCs w:val="30"/>
          <w:highlight w:val="none"/>
          <w:lang w:val="en-US" w:eastAsia="zh-CN"/>
        </w:rPr>
        <w:t>四、生态环境影响分析</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7483"/>
      </w:tblGrid>
      <w:tr w14:paraId="16D2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6EF2D2AB">
            <w:pPr>
              <w:bidi w:val="0"/>
              <w:spacing w:line="240" w:lineRule="auto"/>
              <w:jc w:val="center"/>
              <w:rPr>
                <w:rFonts w:hint="default" w:ascii="Times New Roman" w:hAnsi="Times New Roman" w:eastAsia="仿宋" w:cs="Times New Roman"/>
                <w:color w:val="auto"/>
                <w:highlight w:val="none"/>
                <w:vertAlign w:val="baseline"/>
                <w:lang w:val="en-US" w:eastAsia="zh-CN"/>
              </w:rPr>
            </w:pPr>
            <w:bookmarkStart w:id="39" w:name="_Hlk49796138"/>
            <w:r>
              <w:rPr>
                <w:rFonts w:hint="default" w:ascii="Times New Roman" w:hAnsi="Times New Roman" w:eastAsia="仿宋" w:cs="Times New Roman"/>
                <w:color w:val="auto"/>
                <w:spacing w:val="0"/>
                <w:sz w:val="24"/>
                <w:highlight w:val="none"/>
                <w:lang w:val="en-US" w:eastAsia="zh-CN"/>
              </w:rPr>
              <w:t>施工期生态环境影响分析</w:t>
            </w:r>
            <w:bookmarkEnd w:id="39"/>
          </w:p>
        </w:tc>
        <w:tc>
          <w:tcPr>
            <w:tcW w:w="7483" w:type="dxa"/>
          </w:tcPr>
          <w:p w14:paraId="0AE83E2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rPr>
                <w:rFonts w:eastAsia="仿宋"/>
                <w:b/>
                <w:color w:val="000000"/>
                <w:sz w:val="24"/>
              </w:rPr>
            </w:pPr>
            <w:r>
              <w:rPr>
                <w:rFonts w:hint="eastAsia" w:eastAsia="仿宋"/>
                <w:b/>
                <w:color w:val="000000"/>
                <w:sz w:val="24"/>
                <w:lang w:eastAsia="zh-CN"/>
              </w:rPr>
              <w:t>1.</w:t>
            </w:r>
            <w:r>
              <w:rPr>
                <w:rFonts w:eastAsia="仿宋"/>
                <w:b/>
                <w:color w:val="000000"/>
                <w:sz w:val="24"/>
              </w:rPr>
              <w:t>施工期生态环境影响分析</w:t>
            </w:r>
          </w:p>
          <w:p w14:paraId="48ADE4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eastAsia="仿宋"/>
                <w:color w:val="000000"/>
                <w:sz w:val="24"/>
              </w:rPr>
            </w:pPr>
            <w:r>
              <w:rPr>
                <w:rFonts w:eastAsia="仿宋"/>
                <w:color w:val="000000"/>
                <w:sz w:val="24"/>
              </w:rPr>
              <w:t>本项目施工期对生态环境的影响主要体现在施工场地生态环境影响和对周边动植物的环境影响。本次评价将从水土流失、动植物等方面进行分析。</w:t>
            </w:r>
          </w:p>
          <w:p w14:paraId="2847C2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eastAsia="仿宋"/>
                <w:color w:val="000000"/>
                <w:sz w:val="24"/>
              </w:rPr>
            </w:pPr>
            <w:r>
              <w:rPr>
                <w:rFonts w:hint="eastAsia" w:ascii="宋体" w:hAnsi="宋体" w:cs="宋体"/>
                <w:color w:val="000000"/>
                <w:sz w:val="24"/>
              </w:rPr>
              <w:t>⑴</w:t>
            </w:r>
            <w:r>
              <w:rPr>
                <w:rFonts w:eastAsia="仿宋"/>
                <w:color w:val="000000"/>
                <w:sz w:val="24"/>
              </w:rPr>
              <w:t>对植被的影响分析</w:t>
            </w:r>
          </w:p>
          <w:p w14:paraId="55DF2A9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eastAsia="仿宋"/>
                <w:color w:val="000000"/>
                <w:sz w:val="24"/>
              </w:rPr>
            </w:pPr>
            <w:r>
              <w:rPr>
                <w:rFonts w:eastAsia="仿宋"/>
                <w:color w:val="000000"/>
                <w:sz w:val="24"/>
              </w:rPr>
              <w:t>施工期由于施工场地的清理等施工工序会直接导致原有地表及地表植被产生一定的扰动和破坏，导致施工场地区域植被覆盖度降低，植被破坏的直接结果是土地裸露，水土流失量增加。因此工程施工过程中应采取相应的植被保护措施，</w:t>
            </w:r>
            <w:r>
              <w:rPr>
                <w:rFonts w:hint="eastAsia" w:eastAsia="仿宋"/>
                <w:color w:val="000000"/>
                <w:sz w:val="24"/>
                <w:lang w:eastAsia="zh-CN"/>
              </w:rPr>
              <w:t>尽量减少</w:t>
            </w:r>
            <w:r>
              <w:rPr>
                <w:rFonts w:eastAsia="仿宋"/>
                <w:color w:val="000000"/>
                <w:sz w:val="24"/>
              </w:rPr>
              <w:t>植物种群与资源受到破坏，减少工程建设对植被的不利影响。</w:t>
            </w:r>
          </w:p>
          <w:p w14:paraId="0FE6340B">
            <w:pPr>
              <w:pStyle w:val="12"/>
              <w:keepNext w:val="0"/>
              <w:keepLines w:val="0"/>
              <w:pageBreakBefore w:val="0"/>
              <w:widowControl w:val="0"/>
              <w:kinsoku/>
              <w:wordWrap/>
              <w:overflowPunct/>
              <w:topLinePunct w:val="0"/>
              <w:autoSpaceDE/>
              <w:autoSpaceDN/>
              <w:bidi w:val="0"/>
              <w:adjustRightInd w:val="0"/>
              <w:snapToGrid w:val="0"/>
              <w:spacing w:line="360" w:lineRule="auto"/>
              <w:ind w:firstLine="480"/>
              <w:rPr>
                <w:rFonts w:ascii="Times New Roman" w:hAnsi="Times New Roman" w:eastAsia="仿宋"/>
                <w:color w:val="000000"/>
                <w:sz w:val="24"/>
                <w:szCs w:val="24"/>
              </w:rPr>
            </w:pPr>
            <w:r>
              <w:rPr>
                <w:rFonts w:ascii="Times New Roman" w:hAnsi="Times New Roman" w:eastAsia="仿宋"/>
                <w:color w:val="000000"/>
                <w:sz w:val="24"/>
                <w:szCs w:val="24"/>
              </w:rPr>
              <w:t>工程施工过程中扰动地表及植被面积包括永久占地和临时用地。根据现场调查，</w:t>
            </w:r>
            <w:r>
              <w:rPr>
                <w:rFonts w:hint="eastAsia" w:ascii="Times New Roman" w:hAnsi="Times New Roman" w:eastAsia="仿宋"/>
                <w:color w:val="000000"/>
                <w:sz w:val="24"/>
                <w:szCs w:val="24"/>
                <w:lang w:val="en-US" w:eastAsia="zh-CN"/>
              </w:rPr>
              <w:t>本</w:t>
            </w:r>
            <w:r>
              <w:rPr>
                <w:rFonts w:ascii="Times New Roman" w:hAnsi="Times New Roman" w:eastAsia="仿宋"/>
                <w:color w:val="000000"/>
                <w:sz w:val="24"/>
                <w:szCs w:val="24"/>
              </w:rPr>
              <w:t>项目永久占地及临时占地均不涉及基本农田及林地，不会对基本农田及林地植被造成影响。</w:t>
            </w:r>
            <w:r>
              <w:rPr>
                <w:rFonts w:hint="eastAsia" w:ascii="Times New Roman" w:hAnsi="Times New Roman" w:eastAsia="仿宋"/>
                <w:color w:val="000000"/>
                <w:sz w:val="24"/>
                <w:szCs w:val="24"/>
                <w:lang w:val="en-US" w:eastAsia="zh-CN"/>
              </w:rPr>
              <w:t>本</w:t>
            </w:r>
            <w:r>
              <w:rPr>
                <w:rFonts w:ascii="Times New Roman" w:hAnsi="Times New Roman" w:eastAsia="仿宋"/>
                <w:color w:val="000000"/>
                <w:sz w:val="24"/>
                <w:szCs w:val="24"/>
              </w:rPr>
              <w:t>项目所在区域不涉及大型国家森林公园、自然保护区、风景名胜区等生态敏感区，且项目</w:t>
            </w:r>
            <w:r>
              <w:rPr>
                <w:rFonts w:hint="eastAsia" w:ascii="Times New Roman" w:hAnsi="Times New Roman" w:eastAsia="仿宋"/>
                <w:color w:val="000000"/>
                <w:sz w:val="24"/>
                <w:szCs w:val="24"/>
                <w:lang w:eastAsia="zh-CN"/>
              </w:rPr>
              <w:t>所在</w:t>
            </w:r>
            <w:r>
              <w:rPr>
                <w:rFonts w:ascii="Times New Roman" w:hAnsi="Times New Roman" w:eastAsia="仿宋"/>
                <w:color w:val="000000"/>
                <w:sz w:val="24"/>
                <w:szCs w:val="24"/>
              </w:rPr>
              <w:t>区域地表植被均属一般常见种，评价区内无国家重点保护的野生植物，上述植被均属该区域的常见种和广布种，其生长范围广，适应性强，工程施工不会造成区域内物种的消失或灭绝，也不会对植物生长产生阻隔作用，因此工程建设不会造成区域内植物多样性的减少。</w:t>
            </w:r>
          </w:p>
          <w:p w14:paraId="74403425">
            <w:pPr>
              <w:pStyle w:val="12"/>
              <w:keepNext w:val="0"/>
              <w:keepLines w:val="0"/>
              <w:pageBreakBefore w:val="0"/>
              <w:widowControl w:val="0"/>
              <w:kinsoku/>
              <w:wordWrap/>
              <w:overflowPunct/>
              <w:topLinePunct w:val="0"/>
              <w:autoSpaceDE/>
              <w:autoSpaceDN/>
              <w:bidi w:val="0"/>
              <w:adjustRightInd w:val="0"/>
              <w:snapToGrid w:val="0"/>
              <w:spacing w:line="360" w:lineRule="auto"/>
              <w:ind w:firstLine="456"/>
              <w:rPr>
                <w:rFonts w:ascii="Times New Roman" w:hAnsi="Times New Roman" w:eastAsia="仿宋"/>
                <w:color w:val="000000"/>
                <w:sz w:val="24"/>
                <w:szCs w:val="24"/>
              </w:rPr>
            </w:pPr>
            <w:r>
              <w:rPr>
                <w:rFonts w:hint="eastAsia" w:hAnsi="宋体" w:cs="宋体"/>
                <w:color w:val="000000"/>
                <w:sz w:val="24"/>
                <w:szCs w:val="24"/>
              </w:rPr>
              <w:t>⑵</w:t>
            </w:r>
            <w:r>
              <w:rPr>
                <w:rFonts w:ascii="Times New Roman" w:hAnsi="Times New Roman" w:eastAsia="仿宋"/>
                <w:color w:val="000000"/>
                <w:sz w:val="24"/>
                <w:szCs w:val="24"/>
              </w:rPr>
              <w:t>对野生动物的影响分析</w:t>
            </w:r>
          </w:p>
          <w:p w14:paraId="5EE3EFE8">
            <w:pPr>
              <w:pStyle w:val="12"/>
              <w:keepNext w:val="0"/>
              <w:keepLines w:val="0"/>
              <w:pageBreakBefore w:val="0"/>
              <w:widowControl w:val="0"/>
              <w:kinsoku/>
              <w:wordWrap/>
              <w:overflowPunct/>
              <w:topLinePunct w:val="0"/>
              <w:autoSpaceDE/>
              <w:autoSpaceDN/>
              <w:bidi w:val="0"/>
              <w:adjustRightInd w:val="0"/>
              <w:snapToGrid w:val="0"/>
              <w:spacing w:line="360" w:lineRule="auto"/>
              <w:ind w:firstLine="456"/>
              <w:textAlignment w:val="auto"/>
              <w:rPr>
                <w:rFonts w:ascii="Times New Roman" w:hAnsi="Times New Roman" w:eastAsia="仿宋"/>
                <w:color w:val="000000"/>
                <w:sz w:val="24"/>
                <w:szCs w:val="24"/>
              </w:rPr>
            </w:pPr>
            <w:r>
              <w:rPr>
                <w:rFonts w:ascii="Times New Roman" w:hAnsi="Times New Roman" w:eastAsia="仿宋"/>
                <w:color w:val="000000"/>
                <w:sz w:val="24"/>
                <w:szCs w:val="24"/>
              </w:rPr>
              <w:t>根据现场调查，</w:t>
            </w:r>
            <w:r>
              <w:rPr>
                <w:rFonts w:hint="eastAsia" w:ascii="Times New Roman" w:hAnsi="Times New Roman" w:eastAsia="仿宋"/>
                <w:color w:val="000000"/>
                <w:sz w:val="24"/>
                <w:szCs w:val="24"/>
                <w:lang w:val="en-US" w:eastAsia="zh-CN"/>
              </w:rPr>
              <w:t>本</w:t>
            </w:r>
            <w:r>
              <w:rPr>
                <w:rFonts w:ascii="Times New Roman" w:hAnsi="Times New Roman" w:eastAsia="仿宋"/>
                <w:color w:val="000000"/>
                <w:sz w:val="24"/>
                <w:szCs w:val="24"/>
              </w:rPr>
              <w:t>项目所在区域野生动物主要是鼠和常见鸟类。首先，施工期</w:t>
            </w:r>
            <w:r>
              <w:rPr>
                <w:rFonts w:hint="eastAsia" w:ascii="Times New Roman" w:hAnsi="Times New Roman" w:eastAsia="仿宋"/>
                <w:color w:val="000000"/>
                <w:sz w:val="24"/>
                <w:szCs w:val="24"/>
                <w:lang w:val="en-US" w:eastAsia="zh-CN"/>
              </w:rPr>
              <w:t>施工过程中</w:t>
            </w:r>
            <w:r>
              <w:rPr>
                <w:rFonts w:ascii="Times New Roman" w:hAnsi="Times New Roman" w:eastAsia="仿宋"/>
                <w:color w:val="000000"/>
                <w:sz w:val="24"/>
                <w:szCs w:val="24"/>
              </w:rPr>
              <w:t>使工程区野生动物的栖息地遭到一定的破坏；其次，工程施工期废水、废气和噪声等对工程区野生动物的栖息和觅食会产生一定影响。施工期废水产生量少且排放分散，因而不会对野生动物造成不利影响；施工期废气主要为各类扬尘和车辆尾气，废气产生量有限，对周边地区空气质量的影响较小，因而对野生动物的生存和繁殖影响甚微。</w:t>
            </w:r>
            <w:r>
              <w:rPr>
                <w:rFonts w:ascii="Times New Roman" w:hAnsi="Times New Roman" w:eastAsia="仿宋"/>
                <w:color w:val="000000"/>
                <w:sz w:val="24"/>
                <w:szCs w:val="24"/>
              </w:rPr>
              <w:br w:type="textWrapping"/>
            </w:r>
            <w:r>
              <w:rPr>
                <w:rFonts w:ascii="Times New Roman" w:hAnsi="Times New Roman" w:eastAsia="仿宋"/>
                <w:color w:val="000000"/>
                <w:sz w:val="24"/>
                <w:szCs w:val="24"/>
              </w:rPr>
              <w:t xml:space="preserve">    施工期机械噪声和人员活动噪声对区域内野生动物会产生一定的影响，虽然施工机械噪声属非连续性间歇排放，但由于噪声源相对集中，且多为裸露声源，故其噪声影响范围及影响程度较大。项目施工区域范围内无大型野生动物及国家保护的珍稀动物出没，主要是兔、鼠等小型动物和鸟类且数量极少，施工期区域范围内野生动物将产生规避反应，迁移至附近的同类生境，由于陆生动物迁移能力强，且同类生境易于在附近找寻，故物种种群与数量不会受到明显影响，总体上工程建设对区域范围内野生动物的影响较小。</w:t>
            </w:r>
          </w:p>
          <w:p w14:paraId="156C21D0">
            <w:pPr>
              <w:pStyle w:val="12"/>
              <w:keepNext w:val="0"/>
              <w:keepLines w:val="0"/>
              <w:pageBreakBefore w:val="0"/>
              <w:widowControl w:val="0"/>
              <w:kinsoku/>
              <w:wordWrap/>
              <w:overflowPunct/>
              <w:topLinePunct w:val="0"/>
              <w:autoSpaceDE/>
              <w:autoSpaceDN/>
              <w:bidi w:val="0"/>
              <w:adjustRightInd w:val="0"/>
              <w:snapToGrid w:val="0"/>
              <w:spacing w:line="360" w:lineRule="auto"/>
              <w:ind w:firstLine="456"/>
              <w:jc w:val="both"/>
              <w:textAlignment w:val="auto"/>
              <w:rPr>
                <w:rFonts w:ascii="Times New Roman" w:hAnsi="Times New Roman" w:eastAsia="仿宋"/>
                <w:color w:val="000000"/>
                <w:sz w:val="24"/>
                <w:szCs w:val="24"/>
              </w:rPr>
            </w:pPr>
            <w:r>
              <w:rPr>
                <w:rFonts w:hint="eastAsia" w:hAnsi="宋体" w:cs="宋体"/>
                <w:color w:val="000000"/>
                <w:sz w:val="24"/>
                <w:szCs w:val="24"/>
              </w:rPr>
              <w:t>⑶</w:t>
            </w:r>
            <w:r>
              <w:rPr>
                <w:rFonts w:ascii="Times New Roman" w:hAnsi="Times New Roman" w:eastAsia="仿宋"/>
                <w:color w:val="000000"/>
                <w:sz w:val="24"/>
                <w:szCs w:val="24"/>
              </w:rPr>
              <w:t>水土流失影响</w:t>
            </w:r>
          </w:p>
          <w:p w14:paraId="2F59BA6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仿宋"/>
                <w:color w:val="000000"/>
                <w:sz w:val="24"/>
              </w:rPr>
            </w:pPr>
            <w:r>
              <w:rPr>
                <w:rFonts w:eastAsia="仿宋"/>
                <w:color w:val="000000"/>
                <w:sz w:val="24"/>
              </w:rPr>
              <w:t xml:space="preserve">工程土方开挖水土流失影响主要表现在以下几个方面： </w:t>
            </w:r>
          </w:p>
          <w:p w14:paraId="7F7B9C39">
            <w:pPr>
              <w:pStyle w:val="28"/>
              <w:keepNext w:val="0"/>
              <w:keepLines w:val="0"/>
              <w:pageBreakBefore w:val="0"/>
              <w:widowControl w:val="0"/>
              <w:kinsoku/>
              <w:wordWrap/>
              <w:overflowPunct/>
              <w:topLinePunct w:val="0"/>
              <w:autoSpaceDE/>
              <w:autoSpaceDN/>
              <w:bidi w:val="0"/>
              <w:adjustRightInd w:val="0"/>
              <w:snapToGrid w:val="0"/>
              <w:ind w:firstLine="480"/>
              <w:jc w:val="both"/>
              <w:textAlignment w:val="auto"/>
              <w:rPr>
                <w:rFonts w:ascii="Times New Roman" w:hAnsi="Times New Roman" w:eastAsia="仿宋" w:cs="Times New Roman"/>
                <w:color w:val="000000"/>
              </w:rPr>
            </w:pPr>
            <w:r>
              <w:rPr>
                <w:rFonts w:hint="eastAsia" w:ascii="宋体" w:hAnsi="宋体"/>
                <w:color w:val="000000"/>
              </w:rPr>
              <w:t>①</w:t>
            </w:r>
            <w:r>
              <w:rPr>
                <w:rFonts w:ascii="Times New Roman" w:hAnsi="Times New Roman" w:eastAsia="仿宋" w:cs="Times New Roman"/>
                <w:color w:val="000000"/>
              </w:rPr>
              <w:t xml:space="preserve">植被破坏 </w:t>
            </w:r>
          </w:p>
          <w:p w14:paraId="497E4D6E">
            <w:pPr>
              <w:pStyle w:val="28"/>
              <w:keepNext w:val="0"/>
              <w:keepLines w:val="0"/>
              <w:pageBreakBefore w:val="0"/>
              <w:widowControl w:val="0"/>
              <w:kinsoku/>
              <w:wordWrap/>
              <w:overflowPunct/>
              <w:topLinePunct w:val="0"/>
              <w:autoSpaceDE/>
              <w:autoSpaceDN/>
              <w:bidi w:val="0"/>
              <w:adjustRightInd w:val="0"/>
              <w:snapToGrid w:val="0"/>
              <w:ind w:firstLine="480"/>
              <w:jc w:val="both"/>
              <w:textAlignment w:val="auto"/>
              <w:rPr>
                <w:rFonts w:ascii="Times New Roman" w:hAnsi="Times New Roman" w:eastAsia="仿宋" w:cs="Times New Roman"/>
                <w:color w:val="000000"/>
              </w:rPr>
            </w:pPr>
            <w:r>
              <w:rPr>
                <w:rFonts w:ascii="Times New Roman" w:hAnsi="Times New Roman" w:eastAsia="仿宋" w:cs="Times New Roman"/>
                <w:color w:val="000000"/>
              </w:rPr>
              <w:t xml:space="preserve">土石方开挖过程中大量的地表受到扰动，原生植被受到破坏，使地表抗侵蚀能力急剧下降；加之施工期间土石方的临时堆放，为水土流失提供了松散物质，施工期间若不注重水土保持，将在整个区域内形成严重的水土流失，破坏区域内生态环境，从而影响周边区域的生态环境。 </w:t>
            </w:r>
          </w:p>
          <w:p w14:paraId="751C4CDA">
            <w:pPr>
              <w:pStyle w:val="28"/>
              <w:keepNext w:val="0"/>
              <w:keepLines w:val="0"/>
              <w:pageBreakBefore w:val="0"/>
              <w:widowControl w:val="0"/>
              <w:kinsoku/>
              <w:wordWrap/>
              <w:overflowPunct/>
              <w:topLinePunct w:val="0"/>
              <w:autoSpaceDE/>
              <w:autoSpaceDN/>
              <w:bidi w:val="0"/>
              <w:adjustRightInd w:val="0"/>
              <w:snapToGrid w:val="0"/>
              <w:ind w:firstLine="480"/>
              <w:jc w:val="both"/>
              <w:textAlignment w:val="auto"/>
              <w:rPr>
                <w:rFonts w:ascii="Times New Roman" w:hAnsi="Times New Roman" w:eastAsia="仿宋" w:cs="Times New Roman"/>
                <w:color w:val="000000"/>
              </w:rPr>
            </w:pPr>
            <w:r>
              <w:rPr>
                <w:rFonts w:hint="eastAsia" w:ascii="宋体" w:hAnsi="宋体"/>
                <w:color w:val="000000"/>
              </w:rPr>
              <w:t>②</w:t>
            </w:r>
            <w:r>
              <w:rPr>
                <w:rFonts w:ascii="Times New Roman" w:hAnsi="Times New Roman" w:eastAsia="仿宋" w:cs="Times New Roman"/>
                <w:color w:val="000000"/>
              </w:rPr>
              <w:t xml:space="preserve">破坏土地资源，降低土地生产力 </w:t>
            </w:r>
          </w:p>
          <w:p w14:paraId="49C34B5E">
            <w:pPr>
              <w:pStyle w:val="28"/>
              <w:keepNext w:val="0"/>
              <w:keepLines w:val="0"/>
              <w:pageBreakBefore w:val="0"/>
              <w:widowControl w:val="0"/>
              <w:kinsoku/>
              <w:wordWrap/>
              <w:overflowPunct/>
              <w:topLinePunct w:val="0"/>
              <w:autoSpaceDE/>
              <w:autoSpaceDN/>
              <w:bidi w:val="0"/>
              <w:adjustRightInd w:val="0"/>
              <w:snapToGrid w:val="0"/>
              <w:ind w:firstLine="480"/>
              <w:jc w:val="both"/>
              <w:textAlignment w:val="auto"/>
              <w:rPr>
                <w:rFonts w:ascii="Times New Roman" w:hAnsi="Times New Roman" w:eastAsia="仿宋" w:cs="Times New Roman"/>
                <w:color w:val="000000"/>
              </w:rPr>
            </w:pPr>
            <w:r>
              <w:rPr>
                <w:rFonts w:ascii="Times New Roman" w:hAnsi="Times New Roman" w:eastAsia="仿宋" w:cs="Times New Roman"/>
                <w:color w:val="000000"/>
              </w:rPr>
              <w:t xml:space="preserve">造成地表形态破坏，使植被退化、导致区域水土流失加剧，降低土地生产力。 </w:t>
            </w:r>
          </w:p>
          <w:p w14:paraId="66EBAC17">
            <w:pPr>
              <w:pStyle w:val="28"/>
              <w:keepNext w:val="0"/>
              <w:keepLines w:val="0"/>
              <w:pageBreakBefore w:val="0"/>
              <w:widowControl w:val="0"/>
              <w:kinsoku/>
              <w:wordWrap/>
              <w:overflowPunct/>
              <w:topLinePunct w:val="0"/>
              <w:autoSpaceDE/>
              <w:autoSpaceDN/>
              <w:bidi w:val="0"/>
              <w:adjustRightInd w:val="0"/>
              <w:snapToGrid w:val="0"/>
              <w:ind w:firstLine="480"/>
              <w:jc w:val="both"/>
              <w:textAlignment w:val="auto"/>
              <w:rPr>
                <w:rFonts w:ascii="Times New Roman" w:hAnsi="Times New Roman" w:eastAsia="仿宋" w:cs="Times New Roman"/>
                <w:color w:val="000000"/>
              </w:rPr>
            </w:pPr>
            <w:r>
              <w:rPr>
                <w:rFonts w:hint="eastAsia" w:ascii="宋体" w:hAnsi="宋体"/>
                <w:color w:val="000000"/>
              </w:rPr>
              <w:t>③</w:t>
            </w:r>
            <w:r>
              <w:rPr>
                <w:rFonts w:ascii="Times New Roman" w:hAnsi="Times New Roman" w:eastAsia="仿宋" w:cs="Times New Roman"/>
                <w:color w:val="000000"/>
              </w:rPr>
              <w:t xml:space="preserve">土壤流失量增加，影响工程安全、正常运行 </w:t>
            </w:r>
          </w:p>
          <w:p w14:paraId="59ECB568">
            <w:pPr>
              <w:pStyle w:val="28"/>
              <w:keepNext w:val="0"/>
              <w:keepLines w:val="0"/>
              <w:pageBreakBefore w:val="0"/>
              <w:widowControl w:val="0"/>
              <w:kinsoku/>
              <w:wordWrap/>
              <w:overflowPunct/>
              <w:topLinePunct w:val="0"/>
              <w:autoSpaceDE/>
              <w:autoSpaceDN/>
              <w:bidi w:val="0"/>
              <w:adjustRightInd w:val="0"/>
              <w:snapToGrid w:val="0"/>
              <w:ind w:firstLine="480"/>
              <w:jc w:val="both"/>
              <w:textAlignment w:val="auto"/>
              <w:rPr>
                <w:rFonts w:ascii="Times New Roman" w:hAnsi="Times New Roman" w:cs="Times New Roman"/>
                <w:color w:val="000000"/>
                <w:spacing w:val="-6"/>
                <w:position w:val="2"/>
              </w:rPr>
            </w:pPr>
            <w:r>
              <w:rPr>
                <w:rFonts w:ascii="Times New Roman" w:hAnsi="Times New Roman" w:eastAsia="仿宋" w:cs="Times New Roman"/>
                <w:color w:val="000000"/>
              </w:rPr>
              <w:t>由于工程建设中的开挖，使原地貌植被损坏，改变了原有地表土壤结构和水分运动条件，减弱了表层土体抗侵蚀能力，增加了地表径流的冲刷强度和土壤侵蚀强度，从而导致土壤流失量增加。</w:t>
            </w:r>
            <w:r>
              <w:rPr>
                <w:rFonts w:ascii="Times New Roman" w:hAnsi="Times New Roman" w:cs="Times New Roman"/>
                <w:color w:val="000000"/>
                <w:spacing w:val="-6"/>
                <w:position w:val="2"/>
              </w:rPr>
              <w:t xml:space="preserve"> </w:t>
            </w:r>
          </w:p>
          <w:p w14:paraId="7431FA2E">
            <w:pPr>
              <w:pStyle w:val="28"/>
              <w:keepNext w:val="0"/>
              <w:keepLines w:val="0"/>
              <w:pageBreakBefore w:val="0"/>
              <w:widowControl w:val="0"/>
              <w:kinsoku/>
              <w:wordWrap/>
              <w:overflowPunct/>
              <w:topLinePunct w:val="0"/>
              <w:autoSpaceDE/>
              <w:autoSpaceDN/>
              <w:bidi w:val="0"/>
              <w:adjustRightInd w:val="0"/>
              <w:snapToGrid w:val="0"/>
              <w:ind w:firstLine="480"/>
              <w:jc w:val="both"/>
              <w:textAlignment w:val="auto"/>
              <w:rPr>
                <w:rFonts w:ascii="Times New Roman" w:hAnsi="Times New Roman" w:eastAsia="仿宋" w:cs="Times New Roman"/>
                <w:color w:val="000000"/>
              </w:rPr>
            </w:pPr>
            <w:r>
              <w:rPr>
                <w:rFonts w:hint="eastAsia" w:ascii="宋体" w:hAnsi="宋体"/>
                <w:color w:val="000000"/>
              </w:rPr>
              <w:t>④</w:t>
            </w:r>
            <w:r>
              <w:rPr>
                <w:rFonts w:ascii="Times New Roman" w:hAnsi="Times New Roman" w:eastAsia="仿宋" w:cs="Times New Roman"/>
                <w:color w:val="000000"/>
              </w:rPr>
              <w:t xml:space="preserve">对景观的影响 </w:t>
            </w:r>
          </w:p>
          <w:p w14:paraId="0897F29F">
            <w:pPr>
              <w:pStyle w:val="28"/>
              <w:keepNext w:val="0"/>
              <w:keepLines w:val="0"/>
              <w:pageBreakBefore w:val="0"/>
              <w:widowControl w:val="0"/>
              <w:kinsoku/>
              <w:wordWrap/>
              <w:overflowPunct/>
              <w:topLinePunct w:val="0"/>
              <w:autoSpaceDE/>
              <w:autoSpaceDN/>
              <w:bidi w:val="0"/>
              <w:adjustRightInd w:val="0"/>
              <w:snapToGrid w:val="0"/>
              <w:ind w:firstLine="480"/>
              <w:jc w:val="both"/>
              <w:textAlignment w:val="auto"/>
              <w:rPr>
                <w:rFonts w:ascii="Times New Roman" w:hAnsi="Times New Roman" w:eastAsia="仿宋" w:cs="Times New Roman"/>
                <w:color w:val="000000"/>
              </w:rPr>
            </w:pPr>
            <w:r>
              <w:rPr>
                <w:rFonts w:ascii="Times New Roman" w:hAnsi="Times New Roman" w:eastAsia="仿宋" w:cs="Times New Roman"/>
                <w:color w:val="000000"/>
              </w:rPr>
              <w:t>从景观角度出发，破坏了原有地表景观。本工程具有水土保持的功能，工程竣工后可促进河道两岸人民群众的生命财产不受水毁破坏，使治理前水土流失严重的问题得到有效控制，生态环境得到改善。</w:t>
            </w:r>
          </w:p>
          <w:p w14:paraId="0BCEFED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eastAsia="仿宋"/>
                <w:b/>
                <w:color w:val="000000"/>
                <w:sz w:val="24"/>
              </w:rPr>
            </w:pPr>
            <w:r>
              <w:rPr>
                <w:rFonts w:hint="eastAsia" w:eastAsia="仿宋"/>
                <w:b/>
                <w:color w:val="000000"/>
                <w:sz w:val="24"/>
                <w:lang w:eastAsia="zh-CN"/>
              </w:rPr>
              <w:t>2.</w:t>
            </w:r>
            <w:r>
              <w:rPr>
                <w:rFonts w:eastAsia="仿宋"/>
                <w:b/>
                <w:color w:val="000000"/>
                <w:sz w:val="24"/>
              </w:rPr>
              <w:t>施工期大气环境影响分析</w:t>
            </w:r>
          </w:p>
          <w:p w14:paraId="30CAA228">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color w:val="000000"/>
                <w:sz w:val="24"/>
              </w:rPr>
            </w:pPr>
            <w:r>
              <w:rPr>
                <w:rFonts w:eastAsia="仿宋"/>
                <w:color w:val="000000"/>
                <w:sz w:val="24"/>
              </w:rPr>
              <w:t>施工期对空气环境的污染主要来自施工扬尘、施工机械尾气等。</w:t>
            </w:r>
          </w:p>
          <w:p w14:paraId="74F5CFF3">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bCs/>
                <w:color w:val="000000"/>
                <w:sz w:val="24"/>
              </w:rPr>
            </w:pPr>
            <w:r>
              <w:rPr>
                <w:rFonts w:hint="eastAsia" w:ascii="宋体" w:hAnsi="宋体" w:cs="宋体"/>
                <w:bCs/>
                <w:color w:val="000000"/>
                <w:sz w:val="24"/>
              </w:rPr>
              <w:t>⑴</w:t>
            </w:r>
            <w:r>
              <w:rPr>
                <w:rFonts w:eastAsia="仿宋"/>
                <w:color w:val="000000"/>
                <w:sz w:val="24"/>
              </w:rPr>
              <w:t>施工扬尘</w:t>
            </w:r>
          </w:p>
          <w:p w14:paraId="3D414BF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仿宋"/>
                <w:color w:val="000000"/>
                <w:sz w:val="24"/>
              </w:rPr>
            </w:pPr>
            <w:r>
              <w:rPr>
                <w:rFonts w:eastAsia="仿宋"/>
                <w:color w:val="000000"/>
                <w:sz w:val="24"/>
              </w:rPr>
              <w:t>扬尘是施工期大气污染源的主要来源，对整个施工期而言，主要集中在施工阶段，按起尘的原因可分为风力起尘和动力起尘，其中风力起尘主要是由于露天堆放的建材及裸露的施工区表层浮尘由于天气干燥及大风，产生风力扬尘；动力起尘主要是在建材的装卸、搅拌的过程中，由于外力产生的尘粒再悬浮而造成，其中装卸车辆运输扬尘最为严重。</w:t>
            </w:r>
          </w:p>
          <w:p w14:paraId="493388D3">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color w:val="000000"/>
                <w:sz w:val="24"/>
              </w:rPr>
            </w:pPr>
            <w:r>
              <w:rPr>
                <w:rFonts w:hint="eastAsia" w:ascii="宋体" w:hAnsi="宋体" w:cs="宋体"/>
                <w:color w:val="000000"/>
                <w:sz w:val="24"/>
              </w:rPr>
              <w:t>①</w:t>
            </w:r>
            <w:r>
              <w:rPr>
                <w:rFonts w:eastAsia="仿宋"/>
                <w:color w:val="000000"/>
                <w:sz w:val="24"/>
              </w:rPr>
              <w:t>露天堆场和裸露场地的风力扬尘</w:t>
            </w:r>
          </w:p>
          <w:p w14:paraId="3F1FFD9B">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color w:val="000000"/>
                <w:sz w:val="24"/>
              </w:rPr>
            </w:pPr>
            <w:r>
              <w:rPr>
                <w:rFonts w:eastAsia="仿宋"/>
                <w:color w:val="000000"/>
                <w:sz w:val="24"/>
              </w:rPr>
              <w:t>由于施工的需要，一些材料需露天堆放；一些施工点表层土壤需人工开挖、堆放在气候干燥又有风的情况下，会产生扬尘，其扬尘量可按堆放场起尘的经验公式计算：</w:t>
            </w:r>
          </w:p>
          <w:p w14:paraId="4DEB4AB7">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color w:val="000000"/>
                <w:sz w:val="24"/>
              </w:rPr>
            </w:pPr>
            <w:r>
              <w:rPr>
                <w:rFonts w:eastAsia="仿宋"/>
                <w:color w:val="000000"/>
                <w:sz w:val="24"/>
              </w:rPr>
              <w:t>Q</w:t>
            </w:r>
            <w:r>
              <w:rPr>
                <w:rFonts w:hint="eastAsia" w:eastAsia="仿宋"/>
                <w:color w:val="000000"/>
                <w:sz w:val="24"/>
                <w:lang w:eastAsia="zh-CN"/>
              </w:rPr>
              <w:t>=</w:t>
            </w:r>
            <w:r>
              <w:rPr>
                <w:rFonts w:eastAsia="仿宋"/>
                <w:color w:val="000000"/>
                <w:sz w:val="24"/>
              </w:rPr>
              <w:t>2.1</w:t>
            </w:r>
            <w:r>
              <w:rPr>
                <w:rFonts w:hint="eastAsia" w:eastAsia="仿宋"/>
                <w:color w:val="000000"/>
                <w:sz w:val="24"/>
                <w:lang w:eastAsia="zh-CN"/>
              </w:rPr>
              <w:t>(</w:t>
            </w:r>
            <w:r>
              <w:rPr>
                <w:rFonts w:eastAsia="仿宋"/>
                <w:color w:val="000000"/>
                <w:sz w:val="24"/>
              </w:rPr>
              <w:t>V</w:t>
            </w:r>
            <w:r>
              <w:rPr>
                <w:rFonts w:eastAsia="仿宋"/>
                <w:color w:val="000000"/>
                <w:sz w:val="24"/>
                <w:vertAlign w:val="subscript"/>
              </w:rPr>
              <w:t>50</w:t>
            </w:r>
            <w:r>
              <w:rPr>
                <w:rFonts w:eastAsia="仿宋"/>
                <w:color w:val="000000"/>
                <w:sz w:val="24"/>
              </w:rPr>
              <w:t>—V</w:t>
            </w:r>
            <w:r>
              <w:rPr>
                <w:rFonts w:eastAsia="仿宋"/>
                <w:color w:val="000000"/>
                <w:sz w:val="24"/>
                <w:vertAlign w:val="subscript"/>
              </w:rPr>
              <w:t>0</w:t>
            </w:r>
            <w:r>
              <w:rPr>
                <w:rFonts w:hint="eastAsia" w:eastAsia="仿宋"/>
                <w:color w:val="000000"/>
                <w:sz w:val="24"/>
                <w:vertAlign w:val="subscript"/>
                <w:lang w:eastAsia="zh-CN"/>
              </w:rPr>
              <w:t>)</w:t>
            </w:r>
            <w:r>
              <w:rPr>
                <w:rFonts w:eastAsia="仿宋"/>
                <w:color w:val="000000"/>
                <w:sz w:val="24"/>
                <w:vertAlign w:val="superscript"/>
              </w:rPr>
              <w:t>3</w:t>
            </w:r>
            <w:r>
              <w:rPr>
                <w:rFonts w:eastAsia="仿宋"/>
                <w:color w:val="000000"/>
                <w:sz w:val="24"/>
              </w:rPr>
              <w:t>e</w:t>
            </w:r>
            <w:r>
              <w:rPr>
                <w:rFonts w:eastAsia="仿宋"/>
                <w:color w:val="000000"/>
                <w:sz w:val="24"/>
                <w:vertAlign w:val="superscript"/>
              </w:rPr>
              <w:t>-1.023w</w:t>
            </w:r>
          </w:p>
          <w:p w14:paraId="252C9C40">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color w:val="000000"/>
                <w:sz w:val="24"/>
                <w:szCs w:val="32"/>
              </w:rPr>
            </w:pPr>
            <w:r>
              <w:rPr>
                <w:rFonts w:eastAsia="仿宋"/>
                <w:color w:val="000000"/>
                <w:sz w:val="24"/>
                <w:szCs w:val="32"/>
              </w:rPr>
              <w:t>式中：Q——起尘量，kg／t·a；</w:t>
            </w:r>
          </w:p>
          <w:p w14:paraId="383415BA">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1200" w:firstLineChars="500"/>
              <w:jc w:val="both"/>
              <w:textAlignment w:val="auto"/>
              <w:rPr>
                <w:rFonts w:eastAsia="仿宋"/>
                <w:color w:val="000000"/>
                <w:sz w:val="24"/>
                <w:szCs w:val="32"/>
              </w:rPr>
            </w:pPr>
            <w:r>
              <w:rPr>
                <w:rFonts w:eastAsia="仿宋"/>
                <w:color w:val="000000"/>
                <w:sz w:val="24"/>
                <w:szCs w:val="32"/>
              </w:rPr>
              <w:t>V</w:t>
            </w:r>
            <w:r>
              <w:rPr>
                <w:rFonts w:eastAsia="仿宋"/>
                <w:color w:val="000000"/>
                <w:sz w:val="24"/>
                <w:szCs w:val="32"/>
                <w:vertAlign w:val="subscript"/>
              </w:rPr>
              <w:t>50</w:t>
            </w:r>
            <w:r>
              <w:rPr>
                <w:rFonts w:eastAsia="仿宋"/>
                <w:color w:val="000000"/>
                <w:sz w:val="24"/>
                <w:szCs w:val="32"/>
              </w:rPr>
              <w:t>——距地面50m处风速，m/s；</w:t>
            </w:r>
          </w:p>
          <w:p w14:paraId="114ECD99">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1200" w:firstLineChars="500"/>
              <w:jc w:val="both"/>
              <w:textAlignment w:val="auto"/>
              <w:rPr>
                <w:rFonts w:eastAsia="仿宋"/>
                <w:color w:val="000000"/>
                <w:sz w:val="24"/>
                <w:szCs w:val="32"/>
              </w:rPr>
            </w:pPr>
            <w:r>
              <w:rPr>
                <w:rFonts w:eastAsia="仿宋"/>
                <w:color w:val="000000"/>
                <w:sz w:val="24"/>
                <w:szCs w:val="32"/>
              </w:rPr>
              <w:t>V</w:t>
            </w:r>
            <w:r>
              <w:rPr>
                <w:rFonts w:eastAsia="仿宋"/>
                <w:color w:val="000000"/>
                <w:sz w:val="24"/>
                <w:szCs w:val="32"/>
                <w:vertAlign w:val="subscript"/>
              </w:rPr>
              <w:t>0</w:t>
            </w:r>
            <w:r>
              <w:rPr>
                <w:rFonts w:eastAsia="仿宋"/>
                <w:color w:val="000000"/>
                <w:sz w:val="24"/>
                <w:szCs w:val="32"/>
              </w:rPr>
              <w:t>——起尘风速，m/s；</w:t>
            </w:r>
          </w:p>
          <w:p w14:paraId="0F362E28">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1200" w:firstLineChars="500"/>
              <w:jc w:val="both"/>
              <w:textAlignment w:val="auto"/>
              <w:rPr>
                <w:rFonts w:eastAsia="仿宋"/>
                <w:color w:val="000000"/>
                <w:sz w:val="24"/>
                <w:szCs w:val="32"/>
              </w:rPr>
            </w:pPr>
            <w:r>
              <w:rPr>
                <w:rFonts w:eastAsia="仿宋"/>
                <w:color w:val="000000"/>
                <w:sz w:val="24"/>
                <w:szCs w:val="32"/>
              </w:rPr>
              <w:t>W——尘粒的含水率，%。</w:t>
            </w:r>
          </w:p>
          <w:p w14:paraId="4E131349">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color w:val="000000"/>
                <w:sz w:val="24"/>
                <w:szCs w:val="32"/>
              </w:rPr>
            </w:pPr>
            <w:r>
              <w:rPr>
                <w:rFonts w:eastAsia="仿宋"/>
                <w:color w:val="000000"/>
                <w:sz w:val="24"/>
                <w:szCs w:val="32"/>
              </w:rPr>
              <w:t>V</w:t>
            </w:r>
            <w:r>
              <w:rPr>
                <w:rFonts w:eastAsia="仿宋"/>
                <w:color w:val="000000"/>
                <w:sz w:val="24"/>
                <w:szCs w:val="32"/>
                <w:vertAlign w:val="subscript"/>
              </w:rPr>
              <w:t>0</w:t>
            </w:r>
            <w:r>
              <w:rPr>
                <w:rFonts w:eastAsia="仿宋"/>
                <w:color w:val="000000"/>
                <w:sz w:val="24"/>
                <w:szCs w:val="32"/>
              </w:rPr>
              <w:t>与粒径和含水率有关，因此，减少露天堆放和保证一定的含水率及减少裸露地面是减少风力起尘的有效手段。尘粒在空气中的传播扩散情况与风速等气象条件有关，也与尘粒本身的沉降速度有关。不同尘粒的沉降速度见表</w:t>
            </w:r>
            <w:r>
              <w:rPr>
                <w:rFonts w:hint="eastAsia" w:eastAsia="仿宋"/>
                <w:color w:val="000000"/>
                <w:sz w:val="24"/>
                <w:szCs w:val="32"/>
                <w:lang w:val="en-US" w:eastAsia="zh-CN"/>
              </w:rPr>
              <w:t>32</w:t>
            </w:r>
            <w:r>
              <w:rPr>
                <w:rFonts w:eastAsia="仿宋"/>
                <w:color w:val="000000"/>
                <w:sz w:val="24"/>
                <w:szCs w:val="32"/>
              </w:rPr>
              <w:t>。</w:t>
            </w:r>
          </w:p>
          <w:p w14:paraId="4105A340">
            <w:pPr>
              <w:keepNext w:val="0"/>
              <w:keepLines w:val="0"/>
              <w:pageBreakBefore w:val="0"/>
              <w:widowControl w:val="0"/>
              <w:kinsoku/>
              <w:wordWrap/>
              <w:overflowPunct/>
              <w:topLinePunct w:val="0"/>
              <w:autoSpaceDE w:val="0"/>
              <w:autoSpaceDN w:val="0"/>
              <w:bidi w:val="0"/>
              <w:adjustRightInd w:val="0"/>
              <w:snapToGrid w:val="0"/>
              <w:jc w:val="center"/>
              <w:textAlignment w:val="auto"/>
              <w:rPr>
                <w:rFonts w:eastAsia="仿宋"/>
                <w:b/>
                <w:color w:val="000000"/>
                <w:kern w:val="0"/>
                <w:szCs w:val="21"/>
              </w:rPr>
            </w:pPr>
            <w:r>
              <w:rPr>
                <w:rFonts w:eastAsia="仿宋"/>
                <w:b/>
                <w:color w:val="000000"/>
                <w:kern w:val="0"/>
                <w:szCs w:val="21"/>
              </w:rPr>
              <w:t>表</w:t>
            </w:r>
            <w:r>
              <w:rPr>
                <w:rFonts w:hint="eastAsia" w:eastAsia="仿宋"/>
                <w:b/>
                <w:color w:val="000000"/>
                <w:kern w:val="0"/>
                <w:szCs w:val="21"/>
                <w:lang w:val="en-US" w:eastAsia="zh-CN"/>
              </w:rPr>
              <w:t>32</w:t>
            </w:r>
            <w:r>
              <w:rPr>
                <w:rFonts w:eastAsia="仿宋"/>
                <w:b/>
                <w:color w:val="000000"/>
                <w:kern w:val="0"/>
                <w:szCs w:val="21"/>
              </w:rPr>
              <w:t xml:space="preserve"> </w:t>
            </w:r>
            <w:r>
              <w:rPr>
                <w:rFonts w:hint="eastAsia" w:eastAsia="仿宋"/>
                <w:b/>
                <w:color w:val="000000"/>
                <w:kern w:val="0"/>
                <w:szCs w:val="21"/>
                <w:lang w:val="en-US" w:eastAsia="zh-CN"/>
              </w:rPr>
              <w:t xml:space="preserve">  </w:t>
            </w:r>
            <w:r>
              <w:rPr>
                <w:rFonts w:eastAsia="仿宋"/>
                <w:b/>
                <w:color w:val="000000"/>
                <w:kern w:val="0"/>
                <w:szCs w:val="21"/>
              </w:rPr>
              <w:t>不同粒径尘粒的沉降速度</w:t>
            </w:r>
          </w:p>
          <w:tbl>
            <w:tblPr>
              <w:tblStyle w:val="23"/>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556"/>
              <w:gridCol w:w="888"/>
              <w:gridCol w:w="883"/>
              <w:gridCol w:w="885"/>
              <w:gridCol w:w="758"/>
              <w:gridCol w:w="885"/>
              <w:gridCol w:w="757"/>
              <w:gridCol w:w="652"/>
            </w:tblGrid>
            <w:tr w14:paraId="7C8301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071" w:type="pct"/>
                  <w:noWrap w:val="0"/>
                  <w:vAlign w:val="center"/>
                </w:tcPr>
                <w:p w14:paraId="6ACA3307">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粒径（μm）</w:t>
                  </w:r>
                </w:p>
              </w:tc>
              <w:tc>
                <w:tcPr>
                  <w:tcW w:w="611" w:type="pct"/>
                  <w:noWrap w:val="0"/>
                  <w:vAlign w:val="center"/>
                </w:tcPr>
                <w:p w14:paraId="010D0189">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10</w:t>
                  </w:r>
                </w:p>
              </w:tc>
              <w:tc>
                <w:tcPr>
                  <w:tcW w:w="608" w:type="pct"/>
                  <w:noWrap w:val="0"/>
                  <w:vAlign w:val="center"/>
                </w:tcPr>
                <w:p w14:paraId="1FD9C4AF">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20</w:t>
                  </w:r>
                </w:p>
              </w:tc>
              <w:tc>
                <w:tcPr>
                  <w:tcW w:w="609" w:type="pct"/>
                  <w:noWrap w:val="0"/>
                  <w:vAlign w:val="center"/>
                </w:tcPr>
                <w:p w14:paraId="62B614DA">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30</w:t>
                  </w:r>
                </w:p>
              </w:tc>
              <w:tc>
                <w:tcPr>
                  <w:tcW w:w="522" w:type="pct"/>
                  <w:noWrap w:val="0"/>
                  <w:vAlign w:val="center"/>
                </w:tcPr>
                <w:p w14:paraId="3E381B2D">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40</w:t>
                  </w:r>
                </w:p>
              </w:tc>
              <w:tc>
                <w:tcPr>
                  <w:tcW w:w="609" w:type="pct"/>
                  <w:noWrap w:val="0"/>
                  <w:vAlign w:val="center"/>
                </w:tcPr>
                <w:p w14:paraId="15C127DB">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50</w:t>
                  </w:r>
                </w:p>
              </w:tc>
              <w:tc>
                <w:tcPr>
                  <w:tcW w:w="521" w:type="pct"/>
                  <w:noWrap w:val="0"/>
                  <w:vAlign w:val="center"/>
                </w:tcPr>
                <w:p w14:paraId="4E685F59">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60</w:t>
                  </w:r>
                </w:p>
              </w:tc>
              <w:tc>
                <w:tcPr>
                  <w:tcW w:w="448" w:type="pct"/>
                  <w:noWrap w:val="0"/>
                  <w:vAlign w:val="center"/>
                </w:tcPr>
                <w:p w14:paraId="13C01679">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70</w:t>
                  </w:r>
                </w:p>
              </w:tc>
            </w:tr>
            <w:tr w14:paraId="3512987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071" w:type="pct"/>
                  <w:noWrap w:val="0"/>
                  <w:vAlign w:val="center"/>
                </w:tcPr>
                <w:p w14:paraId="2EAF243B">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沉降速度（m/s）</w:t>
                  </w:r>
                </w:p>
              </w:tc>
              <w:tc>
                <w:tcPr>
                  <w:tcW w:w="611" w:type="pct"/>
                  <w:noWrap w:val="0"/>
                  <w:vAlign w:val="center"/>
                </w:tcPr>
                <w:p w14:paraId="110B778D">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0.003</w:t>
                  </w:r>
                </w:p>
              </w:tc>
              <w:tc>
                <w:tcPr>
                  <w:tcW w:w="608" w:type="pct"/>
                  <w:noWrap w:val="0"/>
                  <w:vAlign w:val="center"/>
                </w:tcPr>
                <w:p w14:paraId="7EE9A4DA">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0.012</w:t>
                  </w:r>
                </w:p>
              </w:tc>
              <w:tc>
                <w:tcPr>
                  <w:tcW w:w="609" w:type="pct"/>
                  <w:noWrap w:val="0"/>
                  <w:vAlign w:val="center"/>
                </w:tcPr>
                <w:p w14:paraId="5172D714">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0.027</w:t>
                  </w:r>
                </w:p>
              </w:tc>
              <w:tc>
                <w:tcPr>
                  <w:tcW w:w="522" w:type="pct"/>
                  <w:noWrap w:val="0"/>
                  <w:vAlign w:val="center"/>
                </w:tcPr>
                <w:p w14:paraId="3F3F8DE6">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0.048</w:t>
                  </w:r>
                </w:p>
              </w:tc>
              <w:tc>
                <w:tcPr>
                  <w:tcW w:w="609" w:type="pct"/>
                  <w:noWrap w:val="0"/>
                  <w:vAlign w:val="center"/>
                </w:tcPr>
                <w:p w14:paraId="691889C4">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0.075</w:t>
                  </w:r>
                </w:p>
              </w:tc>
              <w:tc>
                <w:tcPr>
                  <w:tcW w:w="521" w:type="pct"/>
                  <w:noWrap w:val="0"/>
                  <w:vAlign w:val="center"/>
                </w:tcPr>
                <w:p w14:paraId="63177C1D">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0.108</w:t>
                  </w:r>
                </w:p>
              </w:tc>
              <w:tc>
                <w:tcPr>
                  <w:tcW w:w="448" w:type="pct"/>
                  <w:noWrap w:val="0"/>
                  <w:vAlign w:val="center"/>
                </w:tcPr>
                <w:p w14:paraId="13332714">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0.147</w:t>
                  </w:r>
                </w:p>
              </w:tc>
            </w:tr>
            <w:tr w14:paraId="173CAE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071" w:type="pct"/>
                  <w:noWrap w:val="0"/>
                  <w:vAlign w:val="center"/>
                </w:tcPr>
                <w:p w14:paraId="6050D7A4">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粒径（μm）</w:t>
                  </w:r>
                </w:p>
              </w:tc>
              <w:tc>
                <w:tcPr>
                  <w:tcW w:w="611" w:type="pct"/>
                  <w:noWrap w:val="0"/>
                  <w:vAlign w:val="center"/>
                </w:tcPr>
                <w:p w14:paraId="1C856124">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80</w:t>
                  </w:r>
                </w:p>
              </w:tc>
              <w:tc>
                <w:tcPr>
                  <w:tcW w:w="608" w:type="pct"/>
                  <w:noWrap w:val="0"/>
                  <w:vAlign w:val="center"/>
                </w:tcPr>
                <w:p w14:paraId="58128934">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90</w:t>
                  </w:r>
                </w:p>
              </w:tc>
              <w:tc>
                <w:tcPr>
                  <w:tcW w:w="609" w:type="pct"/>
                  <w:noWrap w:val="0"/>
                  <w:vAlign w:val="center"/>
                </w:tcPr>
                <w:p w14:paraId="75F5EE71">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100</w:t>
                  </w:r>
                </w:p>
              </w:tc>
              <w:tc>
                <w:tcPr>
                  <w:tcW w:w="522" w:type="pct"/>
                  <w:noWrap w:val="0"/>
                  <w:vAlign w:val="center"/>
                </w:tcPr>
                <w:p w14:paraId="7EF2F471">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150</w:t>
                  </w:r>
                </w:p>
              </w:tc>
              <w:tc>
                <w:tcPr>
                  <w:tcW w:w="609" w:type="pct"/>
                  <w:noWrap w:val="0"/>
                  <w:vAlign w:val="center"/>
                </w:tcPr>
                <w:p w14:paraId="74C87407">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200</w:t>
                  </w:r>
                </w:p>
              </w:tc>
              <w:tc>
                <w:tcPr>
                  <w:tcW w:w="521" w:type="pct"/>
                  <w:noWrap w:val="0"/>
                  <w:vAlign w:val="center"/>
                </w:tcPr>
                <w:p w14:paraId="36D5508B">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250</w:t>
                  </w:r>
                </w:p>
              </w:tc>
              <w:tc>
                <w:tcPr>
                  <w:tcW w:w="448" w:type="pct"/>
                  <w:noWrap w:val="0"/>
                  <w:vAlign w:val="center"/>
                </w:tcPr>
                <w:p w14:paraId="3F713DD8">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300</w:t>
                  </w:r>
                </w:p>
              </w:tc>
            </w:tr>
            <w:tr w14:paraId="6362C7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071" w:type="pct"/>
                  <w:noWrap w:val="0"/>
                  <w:vAlign w:val="center"/>
                </w:tcPr>
                <w:p w14:paraId="39CEF713">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沉降速度（m/s）</w:t>
                  </w:r>
                </w:p>
              </w:tc>
              <w:tc>
                <w:tcPr>
                  <w:tcW w:w="611" w:type="pct"/>
                  <w:noWrap w:val="0"/>
                  <w:vAlign w:val="center"/>
                </w:tcPr>
                <w:p w14:paraId="0C62EF50">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0.158</w:t>
                  </w:r>
                </w:p>
              </w:tc>
              <w:tc>
                <w:tcPr>
                  <w:tcW w:w="608" w:type="pct"/>
                  <w:noWrap w:val="0"/>
                  <w:vAlign w:val="center"/>
                </w:tcPr>
                <w:p w14:paraId="5133C53E">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0.170</w:t>
                  </w:r>
                </w:p>
              </w:tc>
              <w:tc>
                <w:tcPr>
                  <w:tcW w:w="609" w:type="pct"/>
                  <w:noWrap w:val="0"/>
                  <w:vAlign w:val="center"/>
                </w:tcPr>
                <w:p w14:paraId="232E7F07">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0.182</w:t>
                  </w:r>
                </w:p>
              </w:tc>
              <w:tc>
                <w:tcPr>
                  <w:tcW w:w="522" w:type="pct"/>
                  <w:noWrap w:val="0"/>
                  <w:vAlign w:val="center"/>
                </w:tcPr>
                <w:p w14:paraId="68F0FBF1">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0.239</w:t>
                  </w:r>
                </w:p>
              </w:tc>
              <w:tc>
                <w:tcPr>
                  <w:tcW w:w="609" w:type="pct"/>
                  <w:noWrap w:val="0"/>
                  <w:vAlign w:val="center"/>
                </w:tcPr>
                <w:p w14:paraId="09042E4B">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0.804</w:t>
                  </w:r>
                </w:p>
              </w:tc>
              <w:tc>
                <w:tcPr>
                  <w:tcW w:w="521" w:type="pct"/>
                  <w:noWrap w:val="0"/>
                  <w:vAlign w:val="center"/>
                </w:tcPr>
                <w:p w14:paraId="0DDF9486">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1.005</w:t>
                  </w:r>
                </w:p>
              </w:tc>
              <w:tc>
                <w:tcPr>
                  <w:tcW w:w="448" w:type="pct"/>
                  <w:noWrap w:val="0"/>
                  <w:vAlign w:val="center"/>
                </w:tcPr>
                <w:p w14:paraId="26CA64C9">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1.829</w:t>
                  </w:r>
                </w:p>
              </w:tc>
            </w:tr>
            <w:tr w14:paraId="41C893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071" w:type="pct"/>
                  <w:noWrap w:val="0"/>
                  <w:vAlign w:val="center"/>
                </w:tcPr>
                <w:p w14:paraId="17C01029">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粒径（μm）</w:t>
                  </w:r>
                </w:p>
              </w:tc>
              <w:tc>
                <w:tcPr>
                  <w:tcW w:w="611" w:type="pct"/>
                  <w:noWrap w:val="0"/>
                  <w:vAlign w:val="center"/>
                </w:tcPr>
                <w:p w14:paraId="6A2129EF">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450</w:t>
                  </w:r>
                </w:p>
              </w:tc>
              <w:tc>
                <w:tcPr>
                  <w:tcW w:w="608" w:type="pct"/>
                  <w:noWrap w:val="0"/>
                  <w:vAlign w:val="center"/>
                </w:tcPr>
                <w:p w14:paraId="5E1D4063">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550</w:t>
                  </w:r>
                </w:p>
              </w:tc>
              <w:tc>
                <w:tcPr>
                  <w:tcW w:w="609" w:type="pct"/>
                  <w:noWrap w:val="0"/>
                  <w:vAlign w:val="center"/>
                </w:tcPr>
                <w:p w14:paraId="531EA703">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650</w:t>
                  </w:r>
                </w:p>
              </w:tc>
              <w:tc>
                <w:tcPr>
                  <w:tcW w:w="522" w:type="pct"/>
                  <w:noWrap w:val="0"/>
                  <w:vAlign w:val="center"/>
                </w:tcPr>
                <w:p w14:paraId="0BACC4DD">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750</w:t>
                  </w:r>
                </w:p>
              </w:tc>
              <w:tc>
                <w:tcPr>
                  <w:tcW w:w="609" w:type="pct"/>
                  <w:noWrap w:val="0"/>
                  <w:vAlign w:val="center"/>
                </w:tcPr>
                <w:p w14:paraId="0A522EF3">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850</w:t>
                  </w:r>
                </w:p>
              </w:tc>
              <w:tc>
                <w:tcPr>
                  <w:tcW w:w="521" w:type="pct"/>
                  <w:noWrap w:val="0"/>
                  <w:vAlign w:val="center"/>
                </w:tcPr>
                <w:p w14:paraId="15B40F0C">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950</w:t>
                  </w:r>
                </w:p>
              </w:tc>
              <w:tc>
                <w:tcPr>
                  <w:tcW w:w="448" w:type="pct"/>
                  <w:noWrap w:val="0"/>
                  <w:vAlign w:val="center"/>
                </w:tcPr>
                <w:p w14:paraId="490CB733">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1050</w:t>
                  </w:r>
                </w:p>
              </w:tc>
            </w:tr>
            <w:tr w14:paraId="67A0924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071" w:type="pct"/>
                  <w:noWrap w:val="0"/>
                  <w:vAlign w:val="center"/>
                </w:tcPr>
                <w:p w14:paraId="3AD7767C">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沉降速度（m/s）</w:t>
                  </w:r>
                </w:p>
              </w:tc>
              <w:tc>
                <w:tcPr>
                  <w:tcW w:w="611" w:type="pct"/>
                  <w:noWrap w:val="0"/>
                  <w:vAlign w:val="center"/>
                </w:tcPr>
                <w:p w14:paraId="718885E9">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2.211</w:t>
                  </w:r>
                </w:p>
              </w:tc>
              <w:tc>
                <w:tcPr>
                  <w:tcW w:w="608" w:type="pct"/>
                  <w:noWrap w:val="0"/>
                  <w:vAlign w:val="center"/>
                </w:tcPr>
                <w:p w14:paraId="3DCE095E">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2.614</w:t>
                  </w:r>
                </w:p>
              </w:tc>
              <w:tc>
                <w:tcPr>
                  <w:tcW w:w="609" w:type="pct"/>
                  <w:noWrap w:val="0"/>
                  <w:vAlign w:val="center"/>
                </w:tcPr>
                <w:p w14:paraId="0EF2E94F">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3.016</w:t>
                  </w:r>
                </w:p>
              </w:tc>
              <w:tc>
                <w:tcPr>
                  <w:tcW w:w="522" w:type="pct"/>
                  <w:noWrap w:val="0"/>
                  <w:vAlign w:val="center"/>
                </w:tcPr>
                <w:p w14:paraId="1147FC4E">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3.418</w:t>
                  </w:r>
                </w:p>
              </w:tc>
              <w:tc>
                <w:tcPr>
                  <w:tcW w:w="609" w:type="pct"/>
                  <w:noWrap w:val="0"/>
                  <w:vAlign w:val="center"/>
                </w:tcPr>
                <w:p w14:paraId="4C2359CC">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3.820</w:t>
                  </w:r>
                </w:p>
              </w:tc>
              <w:tc>
                <w:tcPr>
                  <w:tcW w:w="521" w:type="pct"/>
                  <w:noWrap w:val="0"/>
                  <w:vAlign w:val="center"/>
                </w:tcPr>
                <w:p w14:paraId="6B3B1D1F">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4.222</w:t>
                  </w:r>
                </w:p>
              </w:tc>
              <w:tc>
                <w:tcPr>
                  <w:tcW w:w="448" w:type="pct"/>
                  <w:noWrap w:val="0"/>
                  <w:vAlign w:val="center"/>
                </w:tcPr>
                <w:p w14:paraId="126FEC02">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4.624</w:t>
                  </w:r>
                </w:p>
              </w:tc>
            </w:tr>
          </w:tbl>
          <w:p w14:paraId="640538CF">
            <w:pPr>
              <w:pStyle w:val="6"/>
              <w:keepNext w:val="0"/>
              <w:keepLines w:val="0"/>
              <w:pageBreakBefore w:val="0"/>
              <w:widowControl w:val="0"/>
              <w:kinsoku/>
              <w:wordWrap/>
              <w:overflowPunct/>
              <w:topLinePunct w:val="0"/>
              <w:autoSpaceDE/>
              <w:autoSpaceDN/>
              <w:bidi w:val="0"/>
              <w:adjustRightInd w:val="0"/>
              <w:snapToGrid w:val="0"/>
              <w:spacing w:before="120" w:beforeLines="50" w:after="0" w:line="360" w:lineRule="auto"/>
              <w:ind w:left="0" w:leftChars="0" w:firstLine="480"/>
              <w:jc w:val="both"/>
              <w:textAlignment w:val="auto"/>
              <w:rPr>
                <w:rFonts w:eastAsia="仿宋"/>
                <w:color w:val="000000"/>
                <w:sz w:val="24"/>
              </w:rPr>
            </w:pPr>
            <w:r>
              <w:rPr>
                <w:rFonts w:eastAsia="仿宋"/>
                <w:color w:val="000000"/>
                <w:sz w:val="24"/>
              </w:rPr>
              <w:t>因此，对易起尘的物料不能露天堆放，此外，在选择施工作业场地时应尽量选择较开阔的区域，远离社区或</w:t>
            </w:r>
            <w:r>
              <w:rPr>
                <w:rFonts w:hint="eastAsia" w:eastAsia="仿宋"/>
                <w:color w:val="000000"/>
                <w:sz w:val="24"/>
                <w:lang w:eastAsia="zh-CN"/>
              </w:rPr>
              <w:t>其他</w:t>
            </w:r>
            <w:r>
              <w:rPr>
                <w:rFonts w:eastAsia="仿宋"/>
                <w:color w:val="000000"/>
                <w:sz w:val="24"/>
              </w:rPr>
              <w:t>人群活动较多的地方，以尽量</w:t>
            </w:r>
            <w:r>
              <w:rPr>
                <w:rFonts w:hint="eastAsia" w:eastAsia="仿宋"/>
                <w:color w:val="000000"/>
                <w:sz w:val="24"/>
                <w:lang w:eastAsia="zh-CN"/>
              </w:rPr>
              <w:t>减少</w:t>
            </w:r>
            <w:r>
              <w:rPr>
                <w:rFonts w:eastAsia="仿宋"/>
                <w:color w:val="000000"/>
                <w:sz w:val="24"/>
              </w:rPr>
              <w:t>施工扬尘对周围人群健康的影响。土方填筑也将产生少量的扬尘，这部分扬尘主要与施工机械运动幅度大小以及当时的天气条件有关，一般较难估算。</w:t>
            </w:r>
          </w:p>
          <w:p w14:paraId="7A282E98">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color w:val="000000"/>
                <w:sz w:val="24"/>
              </w:rPr>
            </w:pPr>
            <w:r>
              <w:rPr>
                <w:rFonts w:hint="eastAsia" w:ascii="宋体" w:hAnsi="宋体" w:cs="宋体"/>
                <w:color w:val="000000"/>
                <w:sz w:val="24"/>
              </w:rPr>
              <w:t>②</w:t>
            </w:r>
            <w:r>
              <w:rPr>
                <w:rFonts w:eastAsia="仿宋"/>
                <w:color w:val="000000"/>
                <w:sz w:val="24"/>
              </w:rPr>
              <w:t>车辆行驶的动力起尘</w:t>
            </w:r>
          </w:p>
          <w:p w14:paraId="14AF6FAA">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color w:val="000000"/>
                <w:sz w:val="24"/>
              </w:rPr>
            </w:pPr>
            <w:r>
              <w:rPr>
                <w:rFonts w:eastAsia="仿宋"/>
                <w:color w:val="000000"/>
                <w:sz w:val="24"/>
              </w:rPr>
              <w:t>据有关文献，车辆行驶产生的扬尘占总扬尘的60%以上，车辆行驶产生的扬尘，在完全干燥的情况下，可按下列经验公式计算：</w:t>
            </w:r>
          </w:p>
          <w:p w14:paraId="46C42401">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color w:val="000000"/>
                <w:sz w:val="24"/>
              </w:rPr>
            </w:pPr>
            <w:r>
              <w:rPr>
                <w:rFonts w:eastAsia="仿宋"/>
                <w:color w:val="000000"/>
                <w:sz w:val="24"/>
              </w:rPr>
              <w:t>Q</w:t>
            </w:r>
            <w:r>
              <w:rPr>
                <w:rFonts w:hint="eastAsia" w:eastAsia="仿宋"/>
                <w:color w:val="000000"/>
                <w:sz w:val="24"/>
                <w:lang w:eastAsia="zh-CN"/>
              </w:rPr>
              <w:t>=</w:t>
            </w:r>
            <w:r>
              <w:rPr>
                <w:rFonts w:eastAsia="仿宋"/>
                <w:color w:val="000000"/>
                <w:sz w:val="24"/>
              </w:rPr>
              <w:t>0.123</w:t>
            </w:r>
            <w:r>
              <w:rPr>
                <w:rFonts w:hint="eastAsia" w:eastAsia="仿宋"/>
                <w:color w:val="000000"/>
                <w:sz w:val="24"/>
                <w:lang w:eastAsia="zh-CN"/>
              </w:rPr>
              <w:t>（</w:t>
            </w:r>
            <w:r>
              <w:rPr>
                <w:rFonts w:eastAsia="仿宋"/>
                <w:color w:val="000000"/>
                <w:sz w:val="24"/>
              </w:rPr>
              <w:t>V/5</w:t>
            </w:r>
            <w:r>
              <w:rPr>
                <w:rFonts w:hint="eastAsia" w:eastAsia="仿宋"/>
                <w:color w:val="000000"/>
                <w:sz w:val="24"/>
                <w:lang w:eastAsia="zh-CN"/>
              </w:rPr>
              <w:t>）（</w:t>
            </w:r>
            <w:r>
              <w:rPr>
                <w:rFonts w:eastAsia="仿宋"/>
                <w:color w:val="000000"/>
                <w:sz w:val="24"/>
              </w:rPr>
              <w:t>W/6</w:t>
            </w:r>
            <w:r>
              <w:rPr>
                <w:rFonts w:hint="eastAsia" w:eastAsia="仿宋"/>
                <w:color w:val="000000"/>
                <w:sz w:val="24"/>
                <w:lang w:eastAsia="zh-CN"/>
              </w:rPr>
              <w:t>）</w:t>
            </w:r>
            <w:r>
              <w:rPr>
                <w:rFonts w:eastAsia="仿宋"/>
                <w:color w:val="000000"/>
                <w:sz w:val="24"/>
              </w:rPr>
              <w:t>80.85</w:t>
            </w:r>
            <w:r>
              <w:rPr>
                <w:rFonts w:hint="eastAsia" w:eastAsia="仿宋"/>
                <w:color w:val="000000"/>
                <w:sz w:val="24"/>
                <w:lang w:eastAsia="zh-CN"/>
              </w:rPr>
              <w:t>（</w:t>
            </w:r>
            <w:r>
              <w:rPr>
                <w:rFonts w:eastAsia="仿宋"/>
                <w:color w:val="000000"/>
                <w:sz w:val="24"/>
              </w:rPr>
              <w:t>P/0.5</w:t>
            </w:r>
            <w:r>
              <w:rPr>
                <w:rFonts w:hint="eastAsia" w:eastAsia="仿宋"/>
                <w:color w:val="000000"/>
                <w:sz w:val="24"/>
                <w:lang w:eastAsia="zh-CN"/>
              </w:rPr>
              <w:t>）</w:t>
            </w:r>
            <w:r>
              <w:rPr>
                <w:rFonts w:eastAsia="仿宋"/>
                <w:color w:val="000000"/>
                <w:sz w:val="24"/>
              </w:rPr>
              <w:t>0.75</w:t>
            </w:r>
          </w:p>
          <w:p w14:paraId="6D5D2406">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color w:val="000000"/>
                <w:sz w:val="24"/>
              </w:rPr>
            </w:pPr>
            <w:r>
              <w:rPr>
                <w:rFonts w:eastAsia="仿宋"/>
                <w:color w:val="000000"/>
                <w:sz w:val="24"/>
              </w:rPr>
              <w:t>式中：Q——汽车行驶的扬尘，kg/km·辆；</w:t>
            </w:r>
          </w:p>
          <w:p w14:paraId="7AF5C22F">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color w:val="000000"/>
                <w:sz w:val="24"/>
              </w:rPr>
            </w:pPr>
            <w:r>
              <w:rPr>
                <w:rFonts w:eastAsia="仿宋"/>
                <w:color w:val="000000"/>
                <w:sz w:val="24"/>
              </w:rPr>
              <w:t>V——汽车速度，km/hr；</w:t>
            </w:r>
          </w:p>
          <w:p w14:paraId="0CEF5BFC">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color w:val="000000"/>
                <w:sz w:val="24"/>
              </w:rPr>
            </w:pPr>
            <w:r>
              <w:rPr>
                <w:rFonts w:eastAsia="仿宋"/>
                <w:color w:val="000000"/>
                <w:sz w:val="24"/>
              </w:rPr>
              <w:t>W——汽车载重量，吨；</w:t>
            </w:r>
          </w:p>
          <w:p w14:paraId="689B98F5">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color w:val="000000"/>
                <w:sz w:val="24"/>
              </w:rPr>
            </w:pPr>
            <w:r>
              <w:rPr>
                <w:rFonts w:eastAsia="仿宋"/>
                <w:color w:val="000000"/>
                <w:sz w:val="24"/>
              </w:rPr>
              <w:t>P——道路表面粉尘量，kg/m</w:t>
            </w:r>
            <w:r>
              <w:rPr>
                <w:rFonts w:eastAsia="仿宋"/>
                <w:color w:val="000000"/>
                <w:sz w:val="24"/>
                <w:vertAlign w:val="superscript"/>
              </w:rPr>
              <w:t>2</w:t>
            </w:r>
            <w:r>
              <w:rPr>
                <w:rFonts w:eastAsia="仿宋"/>
                <w:color w:val="000000"/>
                <w:sz w:val="24"/>
              </w:rPr>
              <w:t>。</w:t>
            </w:r>
          </w:p>
          <w:p w14:paraId="3FAE9BB0">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jc w:val="both"/>
              <w:textAlignment w:val="auto"/>
              <w:rPr>
                <w:rFonts w:eastAsia="仿宋"/>
                <w:color w:val="000000"/>
                <w:sz w:val="24"/>
              </w:rPr>
            </w:pPr>
            <w:r>
              <w:rPr>
                <w:rFonts w:eastAsia="仿宋"/>
                <w:color w:val="000000"/>
                <w:sz w:val="24"/>
              </w:rPr>
              <w:t>表</w:t>
            </w:r>
            <w:r>
              <w:rPr>
                <w:rFonts w:hint="eastAsia" w:eastAsia="仿宋"/>
                <w:color w:val="000000"/>
                <w:sz w:val="24"/>
                <w:lang w:val="en-US" w:eastAsia="zh-CN"/>
              </w:rPr>
              <w:t>33</w:t>
            </w:r>
            <w:r>
              <w:rPr>
                <w:rFonts w:eastAsia="仿宋"/>
                <w:color w:val="000000"/>
                <w:sz w:val="24"/>
              </w:rPr>
              <w:t>为一辆10吨卡车，通过一段长度为1km的路面时，不同路面清洁程度，不同行驶速度情况下的扬尘量。</w:t>
            </w:r>
          </w:p>
          <w:p w14:paraId="49FF4D8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eastAsia="仿宋"/>
                <w:b/>
                <w:color w:val="000000"/>
                <w:kern w:val="0"/>
                <w:szCs w:val="21"/>
              </w:rPr>
            </w:pPr>
            <w:r>
              <w:rPr>
                <w:rFonts w:eastAsia="仿宋"/>
                <w:b/>
                <w:color w:val="000000"/>
                <w:kern w:val="0"/>
                <w:szCs w:val="21"/>
              </w:rPr>
              <w:t>表</w:t>
            </w:r>
            <w:r>
              <w:rPr>
                <w:rFonts w:hint="eastAsia" w:eastAsia="仿宋"/>
                <w:b/>
                <w:color w:val="000000"/>
                <w:kern w:val="0"/>
                <w:szCs w:val="21"/>
                <w:lang w:val="en-US" w:eastAsia="zh-CN"/>
              </w:rPr>
              <w:t>33</w:t>
            </w:r>
            <w:r>
              <w:rPr>
                <w:rFonts w:eastAsia="仿宋"/>
                <w:b/>
                <w:color w:val="000000"/>
                <w:kern w:val="0"/>
                <w:szCs w:val="21"/>
              </w:rPr>
              <w:t xml:space="preserve">  在不同车速和地面清洁程度的汽车扬尘</w:t>
            </w:r>
            <w:r>
              <w:rPr>
                <w:rFonts w:hint="eastAsia" w:eastAsia="仿宋"/>
                <w:b/>
                <w:color w:val="000000"/>
                <w:kern w:val="0"/>
                <w:szCs w:val="21"/>
                <w:lang w:val="en-US" w:eastAsia="zh-CN"/>
              </w:rPr>
              <w:t xml:space="preserve">  </w:t>
            </w:r>
            <w:r>
              <w:rPr>
                <w:rFonts w:eastAsia="仿宋"/>
                <w:b/>
                <w:color w:val="000000"/>
                <w:kern w:val="0"/>
                <w:szCs w:val="21"/>
              </w:rPr>
              <w:t>单位：kg/辆·km</w:t>
            </w:r>
          </w:p>
          <w:tbl>
            <w:tblPr>
              <w:tblStyle w:val="23"/>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89"/>
              <w:gridCol w:w="955"/>
              <w:gridCol w:w="1064"/>
              <w:gridCol w:w="1064"/>
              <w:gridCol w:w="1065"/>
              <w:gridCol w:w="1065"/>
              <w:gridCol w:w="1065"/>
            </w:tblGrid>
            <w:tr w14:paraId="79D0BC0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53" w:hRule="atLeast"/>
                <w:jc w:val="center"/>
              </w:trPr>
              <w:tc>
                <w:tcPr>
                  <w:tcW w:w="680" w:type="pct"/>
                  <w:tcBorders>
                    <w:top w:val="single" w:color="auto" w:sz="12" w:space="0"/>
                    <w:left w:val="nil"/>
                    <w:bottom w:val="single" w:color="auto" w:sz="6" w:space="0"/>
                    <w:right w:val="single" w:color="auto" w:sz="6" w:space="0"/>
                    <w:tl2br w:val="single" w:color="auto" w:sz="4" w:space="0"/>
                  </w:tcBorders>
                  <w:noWrap w:val="0"/>
                  <w:vAlign w:val="center"/>
                </w:tcPr>
                <w:p w14:paraId="16D8BC9A">
                  <w:pPr>
                    <w:pStyle w:val="6"/>
                    <w:keepNext w:val="0"/>
                    <w:keepLines w:val="0"/>
                    <w:pageBreakBefore w:val="0"/>
                    <w:widowControl w:val="0"/>
                    <w:kinsoku/>
                    <w:wordWrap/>
                    <w:overflowPunct/>
                    <w:topLinePunct w:val="0"/>
                    <w:autoSpaceDE/>
                    <w:autoSpaceDN/>
                    <w:bidi w:val="0"/>
                    <w:adjustRightInd w:val="0"/>
                    <w:snapToGrid w:val="0"/>
                    <w:spacing w:after="0"/>
                    <w:ind w:left="0" w:leftChars="0" w:firstLine="210" w:firstLineChars="100"/>
                    <w:jc w:val="both"/>
                    <w:textAlignment w:val="auto"/>
                    <w:rPr>
                      <w:rFonts w:eastAsia="仿宋"/>
                      <w:color w:val="000000"/>
                      <w:sz w:val="21"/>
                      <w:szCs w:val="21"/>
                    </w:rPr>
                  </w:pPr>
                  <w:r>
                    <w:rPr>
                      <w:rFonts w:eastAsia="仿宋"/>
                      <w:color w:val="000000"/>
                      <w:sz w:val="21"/>
                      <w:szCs w:val="21"/>
                    </w:rPr>
                    <w:t>粉尘量</w:t>
                  </w:r>
                </w:p>
                <w:p w14:paraId="49190588">
                  <w:pPr>
                    <w:keepNext w:val="0"/>
                    <w:keepLines w:val="0"/>
                    <w:pageBreakBefore w:val="0"/>
                    <w:widowControl w:val="0"/>
                    <w:kinsoku/>
                    <w:wordWrap/>
                    <w:overflowPunct/>
                    <w:topLinePunct w:val="0"/>
                    <w:autoSpaceDE/>
                    <w:autoSpaceDN/>
                    <w:bidi w:val="0"/>
                    <w:adjustRightInd w:val="0"/>
                    <w:snapToGrid w:val="0"/>
                    <w:textAlignment w:val="auto"/>
                    <w:rPr>
                      <w:rFonts w:eastAsia="仿宋"/>
                      <w:color w:val="000000"/>
                      <w:sz w:val="21"/>
                      <w:szCs w:val="21"/>
                    </w:rPr>
                  </w:pPr>
                  <w:r>
                    <w:rPr>
                      <w:rFonts w:eastAsia="仿宋"/>
                      <w:color w:val="000000"/>
                      <w:sz w:val="21"/>
                      <w:szCs w:val="21"/>
                    </w:rPr>
                    <w:t>车速</w:t>
                  </w:r>
                </w:p>
              </w:tc>
              <w:tc>
                <w:tcPr>
                  <w:tcW w:w="657" w:type="pct"/>
                  <w:tcBorders>
                    <w:top w:val="single" w:color="auto" w:sz="12" w:space="0"/>
                    <w:left w:val="single" w:color="auto" w:sz="6" w:space="0"/>
                    <w:bottom w:val="single" w:color="auto" w:sz="6" w:space="0"/>
                    <w:right w:val="single" w:color="auto" w:sz="6" w:space="0"/>
                  </w:tcBorders>
                  <w:noWrap w:val="0"/>
                  <w:vAlign w:val="center"/>
                </w:tcPr>
                <w:p w14:paraId="7497744A">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0.1(kg/m</w:t>
                  </w:r>
                  <w:r>
                    <w:rPr>
                      <w:rFonts w:eastAsia="仿宋"/>
                      <w:color w:val="000000"/>
                      <w:sz w:val="21"/>
                      <w:szCs w:val="21"/>
                      <w:vertAlign w:val="superscript"/>
                    </w:rPr>
                    <w:t>2</w:t>
                  </w:r>
                  <w:r>
                    <w:rPr>
                      <w:rFonts w:eastAsia="仿宋"/>
                      <w:color w:val="000000"/>
                      <w:sz w:val="21"/>
                      <w:szCs w:val="21"/>
                    </w:rPr>
                    <w:t>）</w:t>
                  </w:r>
                </w:p>
              </w:tc>
              <w:tc>
                <w:tcPr>
                  <w:tcW w:w="732" w:type="pct"/>
                  <w:tcBorders>
                    <w:top w:val="single" w:color="auto" w:sz="12" w:space="0"/>
                    <w:left w:val="single" w:color="auto" w:sz="6" w:space="0"/>
                    <w:bottom w:val="single" w:color="auto" w:sz="6" w:space="0"/>
                    <w:right w:val="single" w:color="auto" w:sz="6" w:space="0"/>
                  </w:tcBorders>
                  <w:noWrap w:val="0"/>
                  <w:vAlign w:val="center"/>
                </w:tcPr>
                <w:p w14:paraId="4198D02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sz w:val="21"/>
                      <w:szCs w:val="21"/>
                    </w:rPr>
                  </w:pPr>
                  <w:r>
                    <w:rPr>
                      <w:rFonts w:eastAsia="仿宋"/>
                      <w:color w:val="000000"/>
                      <w:sz w:val="21"/>
                      <w:szCs w:val="21"/>
                    </w:rPr>
                    <w:t>0.2(kg/m</w:t>
                  </w:r>
                  <w:r>
                    <w:rPr>
                      <w:rFonts w:eastAsia="仿宋"/>
                      <w:color w:val="000000"/>
                      <w:sz w:val="21"/>
                      <w:szCs w:val="21"/>
                      <w:vertAlign w:val="superscript"/>
                    </w:rPr>
                    <w:t>2</w:t>
                  </w:r>
                  <w:r>
                    <w:rPr>
                      <w:rFonts w:eastAsia="仿宋"/>
                      <w:color w:val="000000"/>
                      <w:sz w:val="21"/>
                      <w:szCs w:val="21"/>
                    </w:rPr>
                    <w:t>）</w:t>
                  </w:r>
                </w:p>
              </w:tc>
              <w:tc>
                <w:tcPr>
                  <w:tcW w:w="732" w:type="pct"/>
                  <w:tcBorders>
                    <w:top w:val="single" w:color="auto" w:sz="12" w:space="0"/>
                    <w:left w:val="single" w:color="auto" w:sz="6" w:space="0"/>
                    <w:bottom w:val="single" w:color="auto" w:sz="6" w:space="0"/>
                    <w:right w:val="single" w:color="auto" w:sz="6" w:space="0"/>
                  </w:tcBorders>
                  <w:noWrap w:val="0"/>
                  <w:vAlign w:val="center"/>
                </w:tcPr>
                <w:p w14:paraId="13A62929">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sz w:val="21"/>
                      <w:szCs w:val="21"/>
                    </w:rPr>
                  </w:pPr>
                  <w:r>
                    <w:rPr>
                      <w:rFonts w:eastAsia="仿宋"/>
                      <w:color w:val="000000"/>
                      <w:sz w:val="21"/>
                      <w:szCs w:val="21"/>
                    </w:rPr>
                    <w:t>0.3(kg/m</w:t>
                  </w:r>
                  <w:r>
                    <w:rPr>
                      <w:rFonts w:eastAsia="仿宋"/>
                      <w:color w:val="000000"/>
                      <w:sz w:val="21"/>
                      <w:szCs w:val="21"/>
                      <w:vertAlign w:val="superscript"/>
                    </w:rPr>
                    <w:t>2</w:t>
                  </w:r>
                  <w:r>
                    <w:rPr>
                      <w:rFonts w:eastAsia="仿宋"/>
                      <w:color w:val="000000"/>
                      <w:sz w:val="21"/>
                      <w:szCs w:val="21"/>
                    </w:rPr>
                    <w:t>）</w:t>
                  </w:r>
                </w:p>
              </w:tc>
              <w:tc>
                <w:tcPr>
                  <w:tcW w:w="732" w:type="pct"/>
                  <w:tcBorders>
                    <w:top w:val="single" w:color="auto" w:sz="12" w:space="0"/>
                    <w:left w:val="single" w:color="auto" w:sz="6" w:space="0"/>
                    <w:bottom w:val="single" w:color="auto" w:sz="6" w:space="0"/>
                    <w:right w:val="single" w:color="auto" w:sz="6" w:space="0"/>
                  </w:tcBorders>
                  <w:noWrap w:val="0"/>
                  <w:vAlign w:val="center"/>
                </w:tcPr>
                <w:p w14:paraId="531877B2">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sz w:val="21"/>
                      <w:szCs w:val="21"/>
                    </w:rPr>
                  </w:pPr>
                  <w:r>
                    <w:rPr>
                      <w:rFonts w:eastAsia="仿宋"/>
                      <w:color w:val="000000"/>
                      <w:sz w:val="21"/>
                      <w:szCs w:val="21"/>
                    </w:rPr>
                    <w:t>0.4(kg/m</w:t>
                  </w:r>
                  <w:r>
                    <w:rPr>
                      <w:rFonts w:eastAsia="仿宋"/>
                      <w:color w:val="000000"/>
                      <w:sz w:val="21"/>
                      <w:szCs w:val="21"/>
                      <w:vertAlign w:val="superscript"/>
                    </w:rPr>
                    <w:t>2</w:t>
                  </w:r>
                  <w:r>
                    <w:rPr>
                      <w:rFonts w:eastAsia="仿宋"/>
                      <w:color w:val="000000"/>
                      <w:sz w:val="21"/>
                      <w:szCs w:val="21"/>
                    </w:rPr>
                    <w:t>）</w:t>
                  </w:r>
                </w:p>
              </w:tc>
              <w:tc>
                <w:tcPr>
                  <w:tcW w:w="732" w:type="pct"/>
                  <w:tcBorders>
                    <w:top w:val="single" w:color="auto" w:sz="12" w:space="0"/>
                    <w:left w:val="single" w:color="auto" w:sz="6" w:space="0"/>
                    <w:bottom w:val="single" w:color="auto" w:sz="6" w:space="0"/>
                    <w:right w:val="single" w:color="auto" w:sz="6" w:space="0"/>
                  </w:tcBorders>
                  <w:noWrap w:val="0"/>
                  <w:vAlign w:val="center"/>
                </w:tcPr>
                <w:p w14:paraId="2AE6C924">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sz w:val="21"/>
                      <w:szCs w:val="21"/>
                    </w:rPr>
                  </w:pPr>
                  <w:r>
                    <w:rPr>
                      <w:rFonts w:eastAsia="仿宋"/>
                      <w:color w:val="000000"/>
                      <w:sz w:val="21"/>
                      <w:szCs w:val="21"/>
                    </w:rPr>
                    <w:t>0.5(kg/m</w:t>
                  </w:r>
                  <w:r>
                    <w:rPr>
                      <w:rFonts w:eastAsia="仿宋"/>
                      <w:color w:val="000000"/>
                      <w:sz w:val="21"/>
                      <w:szCs w:val="21"/>
                      <w:vertAlign w:val="superscript"/>
                    </w:rPr>
                    <w:t>2</w:t>
                  </w:r>
                  <w:r>
                    <w:rPr>
                      <w:rFonts w:eastAsia="仿宋"/>
                      <w:color w:val="000000"/>
                      <w:sz w:val="21"/>
                      <w:szCs w:val="21"/>
                    </w:rPr>
                    <w:t>）</w:t>
                  </w:r>
                </w:p>
              </w:tc>
              <w:tc>
                <w:tcPr>
                  <w:tcW w:w="732" w:type="pct"/>
                  <w:tcBorders>
                    <w:top w:val="single" w:color="auto" w:sz="12" w:space="0"/>
                    <w:left w:val="single" w:color="auto" w:sz="6" w:space="0"/>
                    <w:bottom w:val="single" w:color="auto" w:sz="6" w:space="0"/>
                    <w:right w:val="nil"/>
                  </w:tcBorders>
                  <w:noWrap w:val="0"/>
                  <w:vAlign w:val="center"/>
                </w:tcPr>
                <w:p w14:paraId="430682AE">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sz w:val="21"/>
                      <w:szCs w:val="21"/>
                    </w:rPr>
                  </w:pPr>
                  <w:r>
                    <w:rPr>
                      <w:rFonts w:eastAsia="仿宋"/>
                      <w:color w:val="000000"/>
                      <w:sz w:val="21"/>
                      <w:szCs w:val="21"/>
                    </w:rPr>
                    <w:t>1.0(kg/m</w:t>
                  </w:r>
                  <w:r>
                    <w:rPr>
                      <w:rFonts w:eastAsia="仿宋"/>
                      <w:color w:val="000000"/>
                      <w:sz w:val="21"/>
                      <w:szCs w:val="21"/>
                      <w:vertAlign w:val="superscript"/>
                    </w:rPr>
                    <w:t>2</w:t>
                  </w:r>
                  <w:r>
                    <w:rPr>
                      <w:rFonts w:eastAsia="仿宋"/>
                      <w:color w:val="000000"/>
                      <w:sz w:val="21"/>
                      <w:szCs w:val="21"/>
                    </w:rPr>
                    <w:t>）</w:t>
                  </w:r>
                </w:p>
              </w:tc>
            </w:tr>
            <w:tr w14:paraId="4A5CCD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80" w:type="pct"/>
                  <w:tcBorders>
                    <w:top w:val="single" w:color="auto" w:sz="6" w:space="0"/>
                    <w:left w:val="nil"/>
                    <w:bottom w:val="single" w:color="auto" w:sz="6" w:space="0"/>
                    <w:right w:val="single" w:color="auto" w:sz="6" w:space="0"/>
                  </w:tcBorders>
                  <w:noWrap w:val="0"/>
                  <w:vAlign w:val="center"/>
                </w:tcPr>
                <w:p w14:paraId="6F29B02C">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5（km/h）</w:t>
                  </w:r>
                </w:p>
              </w:tc>
              <w:tc>
                <w:tcPr>
                  <w:tcW w:w="657" w:type="pct"/>
                  <w:tcBorders>
                    <w:top w:val="single" w:color="auto" w:sz="6" w:space="0"/>
                    <w:left w:val="single" w:color="auto" w:sz="6" w:space="0"/>
                    <w:bottom w:val="single" w:color="auto" w:sz="6" w:space="0"/>
                    <w:right w:val="single" w:color="auto" w:sz="6" w:space="0"/>
                  </w:tcBorders>
                  <w:noWrap w:val="0"/>
                  <w:vAlign w:val="center"/>
                </w:tcPr>
                <w:p w14:paraId="295750C4">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0.0511</w:t>
                  </w:r>
                </w:p>
              </w:tc>
              <w:tc>
                <w:tcPr>
                  <w:tcW w:w="732" w:type="pct"/>
                  <w:tcBorders>
                    <w:top w:val="single" w:color="auto" w:sz="6" w:space="0"/>
                    <w:left w:val="single" w:color="auto" w:sz="6" w:space="0"/>
                    <w:bottom w:val="single" w:color="auto" w:sz="6" w:space="0"/>
                    <w:right w:val="single" w:color="auto" w:sz="6" w:space="0"/>
                  </w:tcBorders>
                  <w:noWrap w:val="0"/>
                  <w:vAlign w:val="center"/>
                </w:tcPr>
                <w:p w14:paraId="70BF999E">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0.0859</w:t>
                  </w:r>
                </w:p>
              </w:tc>
              <w:tc>
                <w:tcPr>
                  <w:tcW w:w="732" w:type="pct"/>
                  <w:tcBorders>
                    <w:top w:val="single" w:color="auto" w:sz="6" w:space="0"/>
                    <w:left w:val="single" w:color="auto" w:sz="6" w:space="0"/>
                    <w:bottom w:val="single" w:color="auto" w:sz="6" w:space="0"/>
                    <w:right w:val="single" w:color="auto" w:sz="6" w:space="0"/>
                  </w:tcBorders>
                  <w:noWrap w:val="0"/>
                  <w:vAlign w:val="center"/>
                </w:tcPr>
                <w:p w14:paraId="41D85DE9">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0.1164</w:t>
                  </w:r>
                </w:p>
              </w:tc>
              <w:tc>
                <w:tcPr>
                  <w:tcW w:w="732" w:type="pct"/>
                  <w:tcBorders>
                    <w:top w:val="single" w:color="auto" w:sz="6" w:space="0"/>
                    <w:left w:val="single" w:color="auto" w:sz="6" w:space="0"/>
                    <w:bottom w:val="single" w:color="auto" w:sz="6" w:space="0"/>
                    <w:right w:val="single" w:color="auto" w:sz="6" w:space="0"/>
                  </w:tcBorders>
                  <w:noWrap w:val="0"/>
                  <w:vAlign w:val="center"/>
                </w:tcPr>
                <w:p w14:paraId="61643880">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0.1444</w:t>
                  </w:r>
                </w:p>
              </w:tc>
              <w:tc>
                <w:tcPr>
                  <w:tcW w:w="732" w:type="pct"/>
                  <w:tcBorders>
                    <w:top w:val="single" w:color="auto" w:sz="6" w:space="0"/>
                    <w:left w:val="single" w:color="auto" w:sz="6" w:space="0"/>
                    <w:bottom w:val="single" w:color="auto" w:sz="6" w:space="0"/>
                    <w:right w:val="single" w:color="auto" w:sz="6" w:space="0"/>
                  </w:tcBorders>
                  <w:noWrap w:val="0"/>
                  <w:vAlign w:val="center"/>
                </w:tcPr>
                <w:p w14:paraId="2670BCE3">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0.1707</w:t>
                  </w:r>
                </w:p>
              </w:tc>
              <w:tc>
                <w:tcPr>
                  <w:tcW w:w="732" w:type="pct"/>
                  <w:tcBorders>
                    <w:top w:val="single" w:color="auto" w:sz="6" w:space="0"/>
                    <w:left w:val="single" w:color="auto" w:sz="6" w:space="0"/>
                    <w:bottom w:val="single" w:color="auto" w:sz="6" w:space="0"/>
                    <w:right w:val="nil"/>
                  </w:tcBorders>
                  <w:noWrap w:val="0"/>
                  <w:vAlign w:val="center"/>
                </w:tcPr>
                <w:p w14:paraId="52543CCC">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0.2871</w:t>
                  </w:r>
                </w:p>
              </w:tc>
            </w:tr>
            <w:tr w14:paraId="0260DE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80" w:type="pct"/>
                  <w:tcBorders>
                    <w:top w:val="single" w:color="auto" w:sz="6" w:space="0"/>
                    <w:left w:val="nil"/>
                    <w:bottom w:val="single" w:color="auto" w:sz="6" w:space="0"/>
                    <w:right w:val="single" w:color="auto" w:sz="6" w:space="0"/>
                  </w:tcBorders>
                  <w:noWrap w:val="0"/>
                  <w:vAlign w:val="center"/>
                </w:tcPr>
                <w:p w14:paraId="6B0FFEE5">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10（km/h）</w:t>
                  </w:r>
                </w:p>
              </w:tc>
              <w:tc>
                <w:tcPr>
                  <w:tcW w:w="657" w:type="pct"/>
                  <w:tcBorders>
                    <w:top w:val="single" w:color="auto" w:sz="6" w:space="0"/>
                    <w:left w:val="single" w:color="auto" w:sz="6" w:space="0"/>
                    <w:bottom w:val="single" w:color="auto" w:sz="6" w:space="0"/>
                    <w:right w:val="single" w:color="auto" w:sz="6" w:space="0"/>
                  </w:tcBorders>
                  <w:noWrap w:val="0"/>
                  <w:vAlign w:val="center"/>
                </w:tcPr>
                <w:p w14:paraId="454D01D0">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0.1021</w:t>
                  </w:r>
                </w:p>
              </w:tc>
              <w:tc>
                <w:tcPr>
                  <w:tcW w:w="732" w:type="pct"/>
                  <w:tcBorders>
                    <w:top w:val="single" w:color="auto" w:sz="6" w:space="0"/>
                    <w:left w:val="single" w:color="auto" w:sz="6" w:space="0"/>
                    <w:bottom w:val="single" w:color="auto" w:sz="6" w:space="0"/>
                    <w:right w:val="single" w:color="auto" w:sz="6" w:space="0"/>
                  </w:tcBorders>
                  <w:noWrap w:val="0"/>
                  <w:vAlign w:val="center"/>
                </w:tcPr>
                <w:p w14:paraId="714EB75B">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0.1717</w:t>
                  </w:r>
                </w:p>
              </w:tc>
              <w:tc>
                <w:tcPr>
                  <w:tcW w:w="732" w:type="pct"/>
                  <w:tcBorders>
                    <w:top w:val="single" w:color="auto" w:sz="6" w:space="0"/>
                    <w:left w:val="single" w:color="auto" w:sz="6" w:space="0"/>
                    <w:bottom w:val="single" w:color="auto" w:sz="6" w:space="0"/>
                    <w:right w:val="single" w:color="auto" w:sz="6" w:space="0"/>
                  </w:tcBorders>
                  <w:noWrap w:val="0"/>
                  <w:vAlign w:val="center"/>
                </w:tcPr>
                <w:p w14:paraId="5DF606A5">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0.2328</w:t>
                  </w:r>
                </w:p>
              </w:tc>
              <w:tc>
                <w:tcPr>
                  <w:tcW w:w="732" w:type="pct"/>
                  <w:tcBorders>
                    <w:top w:val="single" w:color="auto" w:sz="6" w:space="0"/>
                    <w:left w:val="single" w:color="auto" w:sz="6" w:space="0"/>
                    <w:bottom w:val="single" w:color="auto" w:sz="6" w:space="0"/>
                    <w:right w:val="single" w:color="auto" w:sz="6" w:space="0"/>
                  </w:tcBorders>
                  <w:noWrap w:val="0"/>
                  <w:vAlign w:val="center"/>
                </w:tcPr>
                <w:p w14:paraId="4EA92292">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0.2888</w:t>
                  </w:r>
                </w:p>
              </w:tc>
              <w:tc>
                <w:tcPr>
                  <w:tcW w:w="732" w:type="pct"/>
                  <w:tcBorders>
                    <w:top w:val="single" w:color="auto" w:sz="6" w:space="0"/>
                    <w:left w:val="single" w:color="auto" w:sz="6" w:space="0"/>
                    <w:bottom w:val="single" w:color="auto" w:sz="6" w:space="0"/>
                    <w:right w:val="single" w:color="auto" w:sz="6" w:space="0"/>
                  </w:tcBorders>
                  <w:noWrap w:val="0"/>
                  <w:vAlign w:val="center"/>
                </w:tcPr>
                <w:p w14:paraId="7E7DAC3D">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0.3414</w:t>
                  </w:r>
                </w:p>
              </w:tc>
              <w:tc>
                <w:tcPr>
                  <w:tcW w:w="732" w:type="pct"/>
                  <w:tcBorders>
                    <w:top w:val="single" w:color="auto" w:sz="6" w:space="0"/>
                    <w:left w:val="single" w:color="auto" w:sz="6" w:space="0"/>
                    <w:bottom w:val="single" w:color="auto" w:sz="6" w:space="0"/>
                    <w:right w:val="nil"/>
                  </w:tcBorders>
                  <w:noWrap w:val="0"/>
                  <w:vAlign w:val="center"/>
                </w:tcPr>
                <w:p w14:paraId="31384750">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0.5742</w:t>
                  </w:r>
                </w:p>
              </w:tc>
            </w:tr>
            <w:tr w14:paraId="6DBA1A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80" w:type="pct"/>
                  <w:tcBorders>
                    <w:top w:val="single" w:color="auto" w:sz="6" w:space="0"/>
                    <w:left w:val="nil"/>
                    <w:bottom w:val="single" w:color="auto" w:sz="6" w:space="0"/>
                    <w:right w:val="single" w:color="auto" w:sz="6" w:space="0"/>
                  </w:tcBorders>
                  <w:noWrap w:val="0"/>
                  <w:vAlign w:val="center"/>
                </w:tcPr>
                <w:p w14:paraId="22A1C06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sz w:val="21"/>
                      <w:szCs w:val="21"/>
                    </w:rPr>
                  </w:pPr>
                  <w:r>
                    <w:rPr>
                      <w:rFonts w:eastAsia="仿宋"/>
                      <w:color w:val="000000"/>
                      <w:sz w:val="21"/>
                      <w:szCs w:val="21"/>
                    </w:rPr>
                    <w:t>15（km/h）</w:t>
                  </w:r>
                </w:p>
              </w:tc>
              <w:tc>
                <w:tcPr>
                  <w:tcW w:w="657" w:type="pct"/>
                  <w:tcBorders>
                    <w:top w:val="single" w:color="auto" w:sz="6" w:space="0"/>
                    <w:left w:val="single" w:color="auto" w:sz="6" w:space="0"/>
                    <w:bottom w:val="single" w:color="auto" w:sz="6" w:space="0"/>
                    <w:right w:val="single" w:color="auto" w:sz="6" w:space="0"/>
                  </w:tcBorders>
                  <w:noWrap w:val="0"/>
                  <w:vAlign w:val="center"/>
                </w:tcPr>
                <w:p w14:paraId="5A6CB7B0">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0.1532</w:t>
                  </w:r>
                </w:p>
              </w:tc>
              <w:tc>
                <w:tcPr>
                  <w:tcW w:w="732" w:type="pct"/>
                  <w:tcBorders>
                    <w:top w:val="single" w:color="auto" w:sz="6" w:space="0"/>
                    <w:left w:val="single" w:color="auto" w:sz="6" w:space="0"/>
                    <w:bottom w:val="single" w:color="auto" w:sz="6" w:space="0"/>
                    <w:right w:val="single" w:color="auto" w:sz="6" w:space="0"/>
                  </w:tcBorders>
                  <w:noWrap w:val="0"/>
                  <w:vAlign w:val="center"/>
                </w:tcPr>
                <w:p w14:paraId="7C6CEEDC">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0.2576</w:t>
                  </w:r>
                </w:p>
              </w:tc>
              <w:tc>
                <w:tcPr>
                  <w:tcW w:w="732" w:type="pct"/>
                  <w:tcBorders>
                    <w:top w:val="single" w:color="auto" w:sz="6" w:space="0"/>
                    <w:left w:val="single" w:color="auto" w:sz="6" w:space="0"/>
                    <w:bottom w:val="single" w:color="auto" w:sz="6" w:space="0"/>
                    <w:right w:val="single" w:color="auto" w:sz="6" w:space="0"/>
                  </w:tcBorders>
                  <w:noWrap w:val="0"/>
                  <w:vAlign w:val="center"/>
                </w:tcPr>
                <w:p w14:paraId="0EF60E5A">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0.3491</w:t>
                  </w:r>
                </w:p>
              </w:tc>
              <w:tc>
                <w:tcPr>
                  <w:tcW w:w="732" w:type="pct"/>
                  <w:tcBorders>
                    <w:top w:val="single" w:color="auto" w:sz="6" w:space="0"/>
                    <w:left w:val="single" w:color="auto" w:sz="6" w:space="0"/>
                    <w:bottom w:val="single" w:color="auto" w:sz="6" w:space="0"/>
                    <w:right w:val="single" w:color="auto" w:sz="6" w:space="0"/>
                  </w:tcBorders>
                  <w:noWrap w:val="0"/>
                  <w:vAlign w:val="center"/>
                </w:tcPr>
                <w:p w14:paraId="154667C4">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0.4332</w:t>
                  </w:r>
                </w:p>
              </w:tc>
              <w:tc>
                <w:tcPr>
                  <w:tcW w:w="732" w:type="pct"/>
                  <w:tcBorders>
                    <w:top w:val="single" w:color="auto" w:sz="6" w:space="0"/>
                    <w:left w:val="single" w:color="auto" w:sz="6" w:space="0"/>
                    <w:bottom w:val="single" w:color="auto" w:sz="6" w:space="0"/>
                    <w:right w:val="single" w:color="auto" w:sz="6" w:space="0"/>
                  </w:tcBorders>
                  <w:noWrap w:val="0"/>
                  <w:vAlign w:val="center"/>
                </w:tcPr>
                <w:p w14:paraId="4AC80164">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0.5121</w:t>
                  </w:r>
                </w:p>
              </w:tc>
              <w:tc>
                <w:tcPr>
                  <w:tcW w:w="732" w:type="pct"/>
                  <w:tcBorders>
                    <w:top w:val="single" w:color="auto" w:sz="6" w:space="0"/>
                    <w:left w:val="single" w:color="auto" w:sz="6" w:space="0"/>
                    <w:bottom w:val="single" w:color="auto" w:sz="6" w:space="0"/>
                    <w:right w:val="nil"/>
                  </w:tcBorders>
                  <w:noWrap w:val="0"/>
                  <w:vAlign w:val="center"/>
                </w:tcPr>
                <w:p w14:paraId="2A70C74D">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0.8613</w:t>
                  </w:r>
                </w:p>
              </w:tc>
            </w:tr>
            <w:tr w14:paraId="6F900F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80" w:type="pct"/>
                  <w:tcBorders>
                    <w:top w:val="single" w:color="auto" w:sz="6" w:space="0"/>
                    <w:left w:val="nil"/>
                    <w:bottom w:val="single" w:color="auto" w:sz="12" w:space="0"/>
                    <w:right w:val="single" w:color="auto" w:sz="6" w:space="0"/>
                  </w:tcBorders>
                  <w:noWrap w:val="0"/>
                  <w:vAlign w:val="center"/>
                </w:tcPr>
                <w:p w14:paraId="2FA4DC3B">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sz w:val="21"/>
                      <w:szCs w:val="21"/>
                    </w:rPr>
                  </w:pPr>
                  <w:r>
                    <w:rPr>
                      <w:rFonts w:eastAsia="仿宋"/>
                      <w:color w:val="000000"/>
                      <w:sz w:val="21"/>
                      <w:szCs w:val="21"/>
                    </w:rPr>
                    <w:t>25（km/h）</w:t>
                  </w:r>
                </w:p>
              </w:tc>
              <w:tc>
                <w:tcPr>
                  <w:tcW w:w="657" w:type="pct"/>
                  <w:tcBorders>
                    <w:top w:val="single" w:color="auto" w:sz="6" w:space="0"/>
                    <w:left w:val="single" w:color="auto" w:sz="6" w:space="0"/>
                    <w:bottom w:val="single" w:color="auto" w:sz="12" w:space="0"/>
                    <w:right w:val="single" w:color="auto" w:sz="6" w:space="0"/>
                  </w:tcBorders>
                  <w:noWrap w:val="0"/>
                  <w:vAlign w:val="center"/>
                </w:tcPr>
                <w:p w14:paraId="064AF166">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0.2553</w:t>
                  </w:r>
                </w:p>
              </w:tc>
              <w:tc>
                <w:tcPr>
                  <w:tcW w:w="732" w:type="pct"/>
                  <w:tcBorders>
                    <w:top w:val="single" w:color="auto" w:sz="6" w:space="0"/>
                    <w:left w:val="single" w:color="auto" w:sz="6" w:space="0"/>
                    <w:bottom w:val="single" w:color="auto" w:sz="12" w:space="0"/>
                    <w:right w:val="single" w:color="auto" w:sz="6" w:space="0"/>
                  </w:tcBorders>
                  <w:noWrap w:val="0"/>
                  <w:vAlign w:val="center"/>
                </w:tcPr>
                <w:p w14:paraId="61E4B7AD">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0.4293</w:t>
                  </w:r>
                </w:p>
              </w:tc>
              <w:tc>
                <w:tcPr>
                  <w:tcW w:w="732" w:type="pct"/>
                  <w:tcBorders>
                    <w:top w:val="single" w:color="auto" w:sz="6" w:space="0"/>
                    <w:left w:val="single" w:color="auto" w:sz="6" w:space="0"/>
                    <w:bottom w:val="single" w:color="auto" w:sz="12" w:space="0"/>
                    <w:right w:val="single" w:color="auto" w:sz="6" w:space="0"/>
                  </w:tcBorders>
                  <w:noWrap w:val="0"/>
                  <w:vAlign w:val="center"/>
                </w:tcPr>
                <w:p w14:paraId="07D02F79">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0.5819</w:t>
                  </w:r>
                </w:p>
              </w:tc>
              <w:tc>
                <w:tcPr>
                  <w:tcW w:w="732" w:type="pct"/>
                  <w:tcBorders>
                    <w:top w:val="single" w:color="auto" w:sz="6" w:space="0"/>
                    <w:left w:val="single" w:color="auto" w:sz="6" w:space="0"/>
                    <w:bottom w:val="single" w:color="auto" w:sz="12" w:space="0"/>
                    <w:right w:val="single" w:color="auto" w:sz="6" w:space="0"/>
                  </w:tcBorders>
                  <w:noWrap w:val="0"/>
                  <w:vAlign w:val="center"/>
                </w:tcPr>
                <w:p w14:paraId="79E70841">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0.7220</w:t>
                  </w:r>
                </w:p>
              </w:tc>
              <w:tc>
                <w:tcPr>
                  <w:tcW w:w="732" w:type="pct"/>
                  <w:tcBorders>
                    <w:top w:val="single" w:color="auto" w:sz="6" w:space="0"/>
                    <w:left w:val="single" w:color="auto" w:sz="6" w:space="0"/>
                    <w:bottom w:val="single" w:color="auto" w:sz="12" w:space="0"/>
                    <w:right w:val="single" w:color="auto" w:sz="6" w:space="0"/>
                  </w:tcBorders>
                  <w:noWrap w:val="0"/>
                  <w:vAlign w:val="center"/>
                </w:tcPr>
                <w:p w14:paraId="04D1E8F4">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0.8536</w:t>
                  </w:r>
                </w:p>
              </w:tc>
              <w:tc>
                <w:tcPr>
                  <w:tcW w:w="732" w:type="pct"/>
                  <w:tcBorders>
                    <w:top w:val="single" w:color="auto" w:sz="6" w:space="0"/>
                    <w:left w:val="single" w:color="auto" w:sz="6" w:space="0"/>
                    <w:bottom w:val="single" w:color="auto" w:sz="12" w:space="0"/>
                    <w:right w:val="nil"/>
                  </w:tcBorders>
                  <w:noWrap w:val="0"/>
                  <w:vAlign w:val="center"/>
                </w:tcPr>
                <w:p w14:paraId="1948364E">
                  <w:pPr>
                    <w:pStyle w:val="6"/>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center"/>
                    <w:textAlignment w:val="auto"/>
                    <w:rPr>
                      <w:rFonts w:eastAsia="仿宋"/>
                      <w:color w:val="000000"/>
                      <w:sz w:val="21"/>
                      <w:szCs w:val="21"/>
                    </w:rPr>
                  </w:pPr>
                  <w:r>
                    <w:rPr>
                      <w:rFonts w:eastAsia="仿宋"/>
                      <w:color w:val="000000"/>
                      <w:sz w:val="21"/>
                      <w:szCs w:val="21"/>
                    </w:rPr>
                    <w:t>1.4355</w:t>
                  </w:r>
                </w:p>
              </w:tc>
            </w:tr>
          </w:tbl>
          <w:p w14:paraId="7B6915D7">
            <w:pPr>
              <w:pStyle w:val="6"/>
              <w:keepNext w:val="0"/>
              <w:keepLines w:val="0"/>
              <w:pageBreakBefore w:val="0"/>
              <w:widowControl w:val="0"/>
              <w:kinsoku/>
              <w:wordWrap/>
              <w:overflowPunct/>
              <w:topLinePunct w:val="0"/>
              <w:autoSpaceDE/>
              <w:autoSpaceDN/>
              <w:bidi w:val="0"/>
              <w:adjustRightInd w:val="0"/>
              <w:snapToGrid w:val="0"/>
              <w:spacing w:before="120" w:beforeLines="50" w:after="0" w:line="360" w:lineRule="auto"/>
              <w:ind w:left="0" w:leftChars="0" w:firstLine="480"/>
              <w:jc w:val="both"/>
              <w:textAlignment w:val="auto"/>
              <w:rPr>
                <w:rFonts w:eastAsia="仿宋"/>
                <w:color w:val="000000"/>
                <w:sz w:val="24"/>
              </w:rPr>
            </w:pPr>
            <w:r>
              <w:rPr>
                <w:rFonts w:eastAsia="仿宋"/>
                <w:color w:val="000000"/>
                <w:sz w:val="24"/>
              </w:rPr>
              <w:t>由此可见，在同样路面清洁程度条件下，车速越快，扬尘量越大；而在同样车速情况下，路面越脏，扬尘量越大。因此限速行驶及保持路面的清洁是减少汽车扬尘的有效办法。扬尘主要表现在交通沿线和工地附近，尤其是天气干燥及风速较大时影响更为明显，使该区块及周围大气中总悬浮颗粒（TSP）浓度增大。粉尘的排放量大小直接与施工期的管理措施有关。</w:t>
            </w:r>
          </w:p>
          <w:p w14:paraId="3D4A96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仿宋"/>
                <w:color w:val="000000"/>
                <w:sz w:val="24"/>
              </w:rPr>
            </w:pPr>
            <w:r>
              <w:rPr>
                <w:rFonts w:hint="eastAsia" w:ascii="宋体" w:hAnsi="宋体" w:cs="宋体"/>
                <w:color w:val="000000"/>
                <w:sz w:val="24"/>
              </w:rPr>
              <w:t>⑵</w:t>
            </w:r>
            <w:r>
              <w:rPr>
                <w:rFonts w:eastAsia="仿宋"/>
                <w:color w:val="000000"/>
                <w:sz w:val="24"/>
              </w:rPr>
              <w:t>施工机械尾气</w:t>
            </w:r>
          </w:p>
          <w:p w14:paraId="14CF6C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rPr>
            </w:pPr>
            <w:r>
              <w:rPr>
                <w:rFonts w:eastAsia="仿宋"/>
                <w:color w:val="000000"/>
                <w:sz w:val="24"/>
              </w:rPr>
              <w:t>施工过程中施工机械和运输车辆产生的汽车尾气，主要污染物是SO</w:t>
            </w:r>
            <w:r>
              <w:rPr>
                <w:rFonts w:eastAsia="仿宋"/>
                <w:color w:val="000000"/>
                <w:sz w:val="24"/>
                <w:vertAlign w:val="subscript"/>
              </w:rPr>
              <w:t>2</w:t>
            </w:r>
            <w:r>
              <w:rPr>
                <w:rFonts w:eastAsia="仿宋"/>
                <w:color w:val="000000"/>
                <w:sz w:val="24"/>
              </w:rPr>
              <w:t>、NO</w:t>
            </w:r>
            <w:r>
              <w:rPr>
                <w:rFonts w:eastAsia="仿宋"/>
                <w:color w:val="000000"/>
                <w:sz w:val="24"/>
                <w:vertAlign w:val="subscript"/>
              </w:rPr>
              <w:t>2</w:t>
            </w:r>
            <w:r>
              <w:rPr>
                <w:rFonts w:eastAsia="仿宋"/>
                <w:color w:val="000000"/>
                <w:sz w:val="24"/>
              </w:rPr>
              <w:t>、CO等。由于废气量较小，同时废气污染源具有间歇性和流动性，且施工</w:t>
            </w:r>
            <w:r>
              <w:rPr>
                <w:rFonts w:hint="default" w:ascii="Times New Roman" w:hAnsi="Times New Roman" w:eastAsia="仿宋" w:cs="Times New Roman"/>
                <w:color w:val="000000"/>
                <w:sz w:val="24"/>
              </w:rPr>
              <w:t>现场均较开敞，有利于空气扩散，对局部地区的环境空气影响较小。</w:t>
            </w:r>
          </w:p>
          <w:p w14:paraId="7BE6750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eastAsia="仿宋"/>
                <w:b/>
                <w:color w:val="000000"/>
                <w:sz w:val="24"/>
              </w:rPr>
            </w:pPr>
            <w:r>
              <w:rPr>
                <w:rFonts w:hint="eastAsia" w:eastAsia="仿宋"/>
                <w:b/>
                <w:color w:val="000000"/>
                <w:sz w:val="24"/>
                <w:lang w:eastAsia="zh-CN"/>
              </w:rPr>
              <w:t>3.</w:t>
            </w:r>
            <w:r>
              <w:rPr>
                <w:rFonts w:eastAsia="仿宋"/>
                <w:b/>
                <w:color w:val="000000"/>
                <w:sz w:val="24"/>
              </w:rPr>
              <w:t>施工期水环境影响分析</w:t>
            </w:r>
          </w:p>
          <w:p w14:paraId="6BC7B533">
            <w:pPr>
              <w:adjustRightInd w:val="0"/>
              <w:snapToGrid w:val="0"/>
              <w:spacing w:line="360" w:lineRule="auto"/>
              <w:ind w:firstLine="480" w:firstLineChars="200"/>
              <w:rPr>
                <w:rFonts w:hint="eastAsia" w:eastAsia="仿宋"/>
                <w:color w:val="000000" w:themeColor="text1"/>
                <w:kern w:val="0"/>
                <w:sz w:val="24"/>
                <w:lang w:val="en-US" w:eastAsia="zh-CN"/>
                <w14:textFill>
                  <w14:solidFill>
                    <w14:schemeClr w14:val="tx1"/>
                  </w14:solidFill>
                </w14:textFill>
              </w:rPr>
            </w:pPr>
            <w:r>
              <w:rPr>
                <w:rFonts w:eastAsia="仿宋"/>
                <w:color w:val="000000" w:themeColor="text1"/>
                <w:kern w:val="0"/>
                <w:sz w:val="24"/>
                <w14:textFill>
                  <w14:solidFill>
                    <w14:schemeClr w14:val="tx1"/>
                  </w14:solidFill>
                </w14:textFill>
              </w:rPr>
              <w:t>本项目施工期废水主要是施工人员的生活污水</w:t>
            </w:r>
            <w:r>
              <w:rPr>
                <w:rFonts w:hint="eastAsia" w:eastAsia="仿宋"/>
                <w:color w:val="000000" w:themeColor="text1"/>
                <w:kern w:val="0"/>
                <w:sz w:val="24"/>
                <w14:textFill>
                  <w14:solidFill>
                    <w14:schemeClr w14:val="tx1"/>
                  </w14:solidFill>
                </w14:textFill>
              </w:rPr>
              <w:t>和施工废水，</w:t>
            </w:r>
            <w:r>
              <w:rPr>
                <w:rFonts w:eastAsia="仿宋"/>
                <w:bCs/>
                <w:color w:val="000000" w:themeColor="text1"/>
                <w:sz w:val="24"/>
                <w14:textFill>
                  <w14:solidFill>
                    <w14:schemeClr w14:val="tx1"/>
                  </w14:solidFill>
                </w14:textFill>
              </w:rPr>
              <w:t>本项目</w:t>
            </w:r>
            <w:r>
              <w:rPr>
                <w:rFonts w:hint="eastAsia" w:eastAsia="仿宋"/>
                <w:bCs/>
                <w:color w:val="000000" w:themeColor="text1"/>
                <w:sz w:val="24"/>
                <w:lang w:val="en-US" w:eastAsia="zh-CN"/>
                <w14:textFill>
                  <w14:solidFill>
                    <w14:schemeClr w14:val="tx1"/>
                  </w14:solidFill>
                </w14:textFill>
              </w:rPr>
              <w:t>施工人员20</w:t>
            </w:r>
            <w:r>
              <w:rPr>
                <w:rFonts w:eastAsia="仿宋"/>
                <w:bCs/>
                <w:color w:val="000000" w:themeColor="text1"/>
                <w:sz w:val="24"/>
                <w14:textFill>
                  <w14:solidFill>
                    <w14:schemeClr w14:val="tx1"/>
                  </w14:solidFill>
                </w14:textFill>
              </w:rPr>
              <w:t>人，</w:t>
            </w:r>
            <w:r>
              <w:rPr>
                <w:rFonts w:eastAsia="仿宋"/>
                <w:color w:val="000000" w:themeColor="text1"/>
                <w:sz w:val="24"/>
                <w14:textFill>
                  <w14:solidFill>
                    <w14:schemeClr w14:val="tx1"/>
                  </w14:solidFill>
                </w14:textFill>
              </w:rPr>
              <w:t>职工生活用水量按</w:t>
            </w:r>
            <w:r>
              <w:rPr>
                <w:rFonts w:hint="eastAsia" w:eastAsia="仿宋"/>
                <w:color w:val="000000" w:themeColor="text1"/>
                <w:sz w:val="24"/>
                <w:lang w:val="en-US" w:eastAsia="zh-CN"/>
                <w14:textFill>
                  <w14:solidFill>
                    <w14:schemeClr w14:val="tx1"/>
                  </w14:solidFill>
                </w14:textFill>
              </w:rPr>
              <w:t>60</w:t>
            </w:r>
            <w:r>
              <w:rPr>
                <w:rFonts w:eastAsia="仿宋"/>
                <w:color w:val="000000" w:themeColor="text1"/>
                <w:sz w:val="24"/>
                <w14:textFill>
                  <w14:solidFill>
                    <w14:schemeClr w14:val="tx1"/>
                  </w14:solidFill>
                </w14:textFill>
              </w:rPr>
              <w:t>L/人</w:t>
            </w:r>
            <w:r>
              <w:rPr>
                <w:rFonts w:eastAsia="微软雅黑"/>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d计</w:t>
            </w:r>
            <w:r>
              <w:rPr>
                <w:rFonts w:eastAsia="仿宋"/>
                <w:bCs/>
                <w:color w:val="000000" w:themeColor="text1"/>
                <w:sz w:val="24"/>
                <w14:textFill>
                  <w14:solidFill>
                    <w14:schemeClr w14:val="tx1"/>
                  </w14:solidFill>
                </w14:textFill>
              </w:rPr>
              <w:t>，则本项目生活用水量为</w:t>
            </w:r>
            <w:r>
              <w:rPr>
                <w:rFonts w:hint="eastAsia" w:eastAsia="仿宋"/>
                <w:bCs/>
                <w:color w:val="000000" w:themeColor="text1"/>
                <w:sz w:val="24"/>
                <w:lang w:val="en-US" w:eastAsia="zh-CN"/>
                <w14:textFill>
                  <w14:solidFill>
                    <w14:schemeClr w14:val="tx1"/>
                  </w14:solidFill>
                </w14:textFill>
              </w:rPr>
              <w:t>1.2</w:t>
            </w:r>
            <w:r>
              <w:rPr>
                <w:rFonts w:eastAsia="仿宋"/>
                <w:bCs/>
                <w:color w:val="000000" w:themeColor="text1"/>
                <w:sz w:val="24"/>
                <w14:textFill>
                  <w14:solidFill>
                    <w14:schemeClr w14:val="tx1"/>
                  </w14:solidFill>
                </w14:textFill>
              </w:rPr>
              <w:t>m</w:t>
            </w:r>
            <w:r>
              <w:rPr>
                <w:rFonts w:eastAsia="仿宋"/>
                <w:bCs/>
                <w:color w:val="000000" w:themeColor="text1"/>
                <w:sz w:val="24"/>
                <w:vertAlign w:val="superscript"/>
                <w14:textFill>
                  <w14:solidFill>
                    <w14:schemeClr w14:val="tx1"/>
                  </w14:solidFill>
                </w14:textFill>
              </w:rPr>
              <w:t>3</w:t>
            </w:r>
            <w:r>
              <w:rPr>
                <w:rFonts w:eastAsia="仿宋"/>
                <w:bCs/>
                <w:color w:val="000000" w:themeColor="text1"/>
                <w:sz w:val="24"/>
                <w14:textFill>
                  <w14:solidFill>
                    <w14:schemeClr w14:val="tx1"/>
                  </w14:solidFill>
                </w14:textFill>
              </w:rPr>
              <w:t>/d</w:t>
            </w:r>
            <w:r>
              <w:rPr>
                <w:rFonts w:hint="eastAsia" w:eastAsia="仿宋"/>
                <w:bCs/>
                <w:color w:val="000000" w:themeColor="text1"/>
                <w:sz w:val="24"/>
                <w:lang w:eastAsia="zh-CN"/>
                <w14:textFill>
                  <w14:solidFill>
                    <w14:schemeClr w14:val="tx1"/>
                  </w14:solidFill>
                </w14:textFill>
              </w:rPr>
              <w:t>，</w:t>
            </w:r>
            <w:r>
              <w:rPr>
                <w:rFonts w:hint="eastAsia" w:eastAsia="仿宋"/>
                <w:color w:val="000000" w:themeColor="text1"/>
                <w:kern w:val="0"/>
                <w:sz w:val="24"/>
                <w14:textFill>
                  <w14:solidFill>
                    <w14:schemeClr w14:val="tx1"/>
                  </w14:solidFill>
                </w14:textFill>
              </w:rPr>
              <w:t>洗漱废水用于厂区泼洒降尘</w:t>
            </w:r>
            <w:r>
              <w:rPr>
                <w:rFonts w:eastAsia="仿宋"/>
                <w:color w:val="000000" w:themeColor="text1"/>
                <w:kern w:val="0"/>
                <w:sz w:val="24"/>
                <w14:textFill>
                  <w14:solidFill>
                    <w14:schemeClr w14:val="tx1"/>
                  </w14:solidFill>
                </w14:textFill>
              </w:rPr>
              <w:t>，</w:t>
            </w:r>
            <w:r>
              <w:rPr>
                <w:rFonts w:hint="eastAsia" w:eastAsia="仿宋"/>
                <w:color w:val="000000" w:themeColor="text1"/>
                <w:kern w:val="0"/>
                <w:sz w:val="24"/>
                <w:lang w:val="en-US" w:eastAsia="zh-CN"/>
                <w14:textFill>
                  <w14:solidFill>
                    <w14:schemeClr w14:val="tx1"/>
                  </w14:solidFill>
                </w14:textFill>
              </w:rPr>
              <w:t>设置环保型厕所，粪便定期清掏。</w:t>
            </w:r>
          </w:p>
          <w:p w14:paraId="7D0ADA26">
            <w:pPr>
              <w:adjustRightInd w:val="0"/>
              <w:snapToGrid w:val="0"/>
              <w:spacing w:line="360" w:lineRule="auto"/>
              <w:ind w:firstLine="480" w:firstLineChars="200"/>
              <w:rPr>
                <w:rFonts w:hint="eastAsia" w:eastAsia="仿宋"/>
                <w:color w:val="000000"/>
                <w:kern w:val="0"/>
                <w:sz w:val="24"/>
                <w:lang w:val="en-US" w:eastAsia="zh-CN"/>
              </w:rPr>
            </w:pPr>
            <w:r>
              <w:rPr>
                <w:rFonts w:hint="eastAsia" w:eastAsia="仿宋"/>
                <w:color w:val="000000"/>
                <w:kern w:val="0"/>
                <w:sz w:val="24"/>
              </w:rPr>
              <w:t>施</w:t>
            </w:r>
            <w:r>
              <w:rPr>
                <w:rFonts w:hint="eastAsia" w:eastAsia="仿宋"/>
                <w:color w:val="000000"/>
                <w:sz w:val="24"/>
              </w:rPr>
              <w:t>工废水经沉淀池处理后回用，不外排。</w:t>
            </w:r>
          </w:p>
          <w:p w14:paraId="1E001780">
            <w:pPr>
              <w:keepNext w:val="0"/>
              <w:keepLines w:val="0"/>
              <w:pageBreakBefore w:val="0"/>
              <w:widowControl w:val="0"/>
              <w:tabs>
                <w:tab w:val="center" w:pos="4060"/>
                <w:tab w:val="right" w:pos="8261"/>
              </w:tabs>
              <w:suppressAutoHyphens/>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kern w:val="0"/>
                <w:sz w:val="24"/>
                <w:lang w:val="en-US" w:eastAsia="zh-CN"/>
              </w:rPr>
            </w:pPr>
            <w:r>
              <w:rPr>
                <w:rFonts w:hint="eastAsia" w:ascii="Times New Roman" w:hAnsi="Times New Roman" w:eastAsia="仿宋" w:cs="Times New Roman"/>
                <w:color w:val="000000"/>
                <w:kern w:val="0"/>
                <w:sz w:val="24"/>
                <w:lang w:val="en-US" w:eastAsia="zh-CN"/>
              </w:rPr>
              <w:t>综上所述，</w:t>
            </w:r>
            <w:r>
              <w:rPr>
                <w:rFonts w:hint="eastAsia" w:eastAsia="仿宋" w:cs="Times New Roman"/>
                <w:color w:val="000000"/>
                <w:kern w:val="0"/>
                <w:sz w:val="24"/>
                <w:lang w:val="en-US" w:eastAsia="zh-CN"/>
              </w:rPr>
              <w:t>本项目施工期废水</w:t>
            </w:r>
            <w:r>
              <w:rPr>
                <w:rFonts w:hint="eastAsia" w:ascii="Times New Roman" w:hAnsi="Times New Roman" w:eastAsia="仿宋" w:cs="Times New Roman"/>
                <w:color w:val="000000"/>
                <w:kern w:val="0"/>
                <w:sz w:val="24"/>
                <w:lang w:val="en-US" w:eastAsia="zh-CN"/>
              </w:rPr>
              <w:t>对地表水环境影响小。</w:t>
            </w:r>
          </w:p>
          <w:p w14:paraId="198D7F4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eastAsia="仿宋"/>
                <w:b/>
                <w:color w:val="000000"/>
                <w:sz w:val="24"/>
              </w:rPr>
            </w:pPr>
            <w:r>
              <w:rPr>
                <w:rFonts w:hint="eastAsia" w:eastAsia="仿宋"/>
                <w:b/>
                <w:color w:val="000000"/>
                <w:sz w:val="24"/>
                <w:lang w:eastAsia="zh-CN"/>
              </w:rPr>
              <w:t>4.</w:t>
            </w:r>
            <w:r>
              <w:rPr>
                <w:rFonts w:eastAsia="仿宋"/>
                <w:b/>
                <w:color w:val="000000"/>
                <w:sz w:val="24"/>
              </w:rPr>
              <w:t>施工期声环境影响分析</w:t>
            </w:r>
          </w:p>
          <w:p w14:paraId="249446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仿宋"/>
                <w:color w:val="000000"/>
                <w:sz w:val="24"/>
              </w:rPr>
            </w:pPr>
            <w:r>
              <w:rPr>
                <w:rFonts w:eastAsia="仿宋"/>
                <w:color w:val="000000"/>
                <w:sz w:val="24"/>
              </w:rPr>
              <w:t>施工现场噪声主要为机械噪声和施工作业噪声，其中以机械噪声的影响为主。机械噪声主要由各种施工机械造成，如挖土机械、打桩机械、升降机等，以点声源为主。施工作业噪声主要指一些零星的敲打声、装卸车辆撞击声等，多为瞬时噪声。</w:t>
            </w:r>
          </w:p>
          <w:p w14:paraId="452C91E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仿宋"/>
                <w:color w:val="000000"/>
                <w:sz w:val="24"/>
              </w:rPr>
            </w:pPr>
            <w:r>
              <w:rPr>
                <w:rFonts w:eastAsia="仿宋"/>
                <w:color w:val="000000"/>
                <w:sz w:val="24"/>
              </w:rPr>
              <w:t>根据《环境影响评价技术导则</w:t>
            </w:r>
            <w:r>
              <w:rPr>
                <w:rFonts w:hint="eastAsia" w:eastAsia="仿宋"/>
                <w:color w:val="000000"/>
                <w:sz w:val="24"/>
                <w:lang w:val="en-US" w:eastAsia="zh-CN"/>
              </w:rPr>
              <w:t>-</w:t>
            </w:r>
            <w:r>
              <w:rPr>
                <w:rFonts w:eastAsia="仿宋"/>
                <w:color w:val="000000"/>
                <w:sz w:val="24"/>
              </w:rPr>
              <w:t>声环境》（HJ2.4-2021）源强确定，本项目施工期噪声源强依据《环境噪声与振动控制工程技术导则》（HJ2034-2013）表A.2，各施工阶段的主要噪声源及噪声级见表</w:t>
            </w:r>
            <w:r>
              <w:rPr>
                <w:rFonts w:hint="eastAsia" w:eastAsia="仿宋"/>
                <w:color w:val="000000"/>
                <w:sz w:val="24"/>
                <w:lang w:val="en-US" w:eastAsia="zh-CN"/>
              </w:rPr>
              <w:t>34</w:t>
            </w:r>
            <w:r>
              <w:rPr>
                <w:rFonts w:eastAsia="仿宋"/>
                <w:color w:val="000000"/>
                <w:sz w:val="24"/>
              </w:rPr>
              <w:t>。</w:t>
            </w:r>
          </w:p>
          <w:p w14:paraId="49BE345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eastAsia="仿宋"/>
                <w:b/>
                <w:color w:val="000000"/>
                <w:kern w:val="0"/>
                <w:szCs w:val="21"/>
              </w:rPr>
            </w:pPr>
            <w:r>
              <w:rPr>
                <w:rFonts w:eastAsia="仿宋"/>
                <w:b/>
                <w:color w:val="000000"/>
                <w:kern w:val="0"/>
                <w:szCs w:val="21"/>
              </w:rPr>
              <w:t>表</w:t>
            </w:r>
            <w:r>
              <w:rPr>
                <w:rFonts w:hint="eastAsia" w:eastAsia="仿宋"/>
                <w:b/>
                <w:color w:val="000000"/>
                <w:kern w:val="0"/>
                <w:szCs w:val="21"/>
                <w:lang w:val="en-US" w:eastAsia="zh-CN"/>
              </w:rPr>
              <w:t>34</w:t>
            </w:r>
            <w:r>
              <w:rPr>
                <w:rFonts w:eastAsia="仿宋"/>
                <w:b/>
                <w:color w:val="000000"/>
                <w:kern w:val="0"/>
                <w:szCs w:val="21"/>
              </w:rPr>
              <w:t xml:space="preserve">  施工期的主要噪声源一览表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2281"/>
              <w:gridCol w:w="2118"/>
              <w:gridCol w:w="1663"/>
            </w:tblGrid>
            <w:tr w14:paraId="435E36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205" w:type="dxa"/>
                  <w:vMerge w:val="restart"/>
                  <w:noWrap w:val="0"/>
                  <w:vAlign w:val="center"/>
                </w:tcPr>
                <w:p w14:paraId="0455DD99">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声源名称</w:t>
                  </w:r>
                </w:p>
              </w:tc>
              <w:tc>
                <w:tcPr>
                  <w:tcW w:w="2281" w:type="dxa"/>
                  <w:vMerge w:val="restart"/>
                  <w:noWrap w:val="0"/>
                  <w:vAlign w:val="center"/>
                </w:tcPr>
                <w:p w14:paraId="04912208">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eastAsia="仿宋" w:cs="Times New Roman"/>
                      <w:color w:val="000000" w:themeColor="text1"/>
                      <w:szCs w:val="21"/>
                      <w:highlight w:val="none"/>
                      <w:lang w:val="en-US" w:eastAsia="zh-CN"/>
                      <w14:textFill>
                        <w14:solidFill>
                          <w14:schemeClr w14:val="tx1"/>
                        </w14:solidFill>
                      </w14:textFill>
                    </w:rPr>
                    <w:t>距声源</w:t>
                  </w:r>
                </w:p>
              </w:tc>
              <w:tc>
                <w:tcPr>
                  <w:tcW w:w="2118" w:type="dxa"/>
                  <w:noWrap w:val="0"/>
                  <w:vAlign w:val="center"/>
                </w:tcPr>
                <w:p w14:paraId="49943DEB">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声源源强</w:t>
                  </w:r>
                </w:p>
              </w:tc>
              <w:tc>
                <w:tcPr>
                  <w:tcW w:w="1663" w:type="dxa"/>
                  <w:vMerge w:val="restart"/>
                  <w:noWrap w:val="0"/>
                  <w:vAlign w:val="center"/>
                </w:tcPr>
                <w:p w14:paraId="2FA90B49">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声源控制</w:t>
                  </w:r>
                </w:p>
                <w:p w14:paraId="0BF7D3D4">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措施</w:t>
                  </w:r>
                </w:p>
              </w:tc>
            </w:tr>
            <w:tr w14:paraId="425A74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05" w:type="dxa"/>
                  <w:vMerge w:val="continue"/>
                  <w:noWrap w:val="0"/>
                  <w:vAlign w:val="center"/>
                </w:tcPr>
                <w:p w14:paraId="780D85AD">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p>
              </w:tc>
              <w:tc>
                <w:tcPr>
                  <w:tcW w:w="2281" w:type="dxa"/>
                  <w:vMerge w:val="continue"/>
                  <w:noWrap w:val="0"/>
                  <w:vAlign w:val="center"/>
                </w:tcPr>
                <w:p w14:paraId="301E6357">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p>
              </w:tc>
              <w:tc>
                <w:tcPr>
                  <w:tcW w:w="2118" w:type="dxa"/>
                  <w:noWrap w:val="0"/>
                  <w:vAlign w:val="center"/>
                </w:tcPr>
                <w:p w14:paraId="630616D8">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声功率级/dB（A）</w:t>
                  </w:r>
                </w:p>
              </w:tc>
              <w:tc>
                <w:tcPr>
                  <w:tcW w:w="1663" w:type="dxa"/>
                  <w:vMerge w:val="continue"/>
                  <w:noWrap w:val="0"/>
                  <w:vAlign w:val="center"/>
                </w:tcPr>
                <w:p w14:paraId="316DC3A3">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p>
              </w:tc>
            </w:tr>
            <w:tr w14:paraId="5C16F4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05" w:type="dxa"/>
                  <w:noWrap w:val="0"/>
                  <w:vAlign w:val="center"/>
                </w:tcPr>
                <w:p w14:paraId="61E860ED">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推土机</w:t>
                  </w:r>
                </w:p>
              </w:tc>
              <w:tc>
                <w:tcPr>
                  <w:tcW w:w="2281" w:type="dxa"/>
                  <w:noWrap w:val="0"/>
                  <w:vAlign w:val="center"/>
                </w:tcPr>
                <w:p w14:paraId="3C0C331F">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eastAsia="仿宋" w:cs="Times New Roman"/>
                      <w:color w:val="000000" w:themeColor="text1"/>
                      <w:szCs w:val="21"/>
                      <w:highlight w:val="none"/>
                      <w:lang w:val="en-US" w:eastAsia="zh-CN"/>
                      <w14:textFill>
                        <w14:solidFill>
                          <w14:schemeClr w14:val="tx1"/>
                        </w14:solidFill>
                      </w14:textFill>
                    </w:rPr>
                    <w:t>5m</w:t>
                  </w:r>
                </w:p>
              </w:tc>
              <w:tc>
                <w:tcPr>
                  <w:tcW w:w="2118" w:type="dxa"/>
                  <w:noWrap w:val="0"/>
                  <w:vAlign w:val="center"/>
                </w:tcPr>
                <w:p w14:paraId="76F6CAFA">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83~88</w:t>
                  </w:r>
                </w:p>
              </w:tc>
              <w:tc>
                <w:tcPr>
                  <w:tcW w:w="1663" w:type="dxa"/>
                  <w:noWrap w:val="0"/>
                  <w:vAlign w:val="center"/>
                </w:tcPr>
                <w:p w14:paraId="057CA720">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设备检修</w:t>
                  </w:r>
                </w:p>
              </w:tc>
            </w:tr>
            <w:tr w14:paraId="41E8A4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05" w:type="dxa"/>
                  <w:noWrap w:val="0"/>
                  <w:vAlign w:val="center"/>
                </w:tcPr>
                <w:p w14:paraId="398F35A0">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装载机</w:t>
                  </w:r>
                </w:p>
              </w:tc>
              <w:tc>
                <w:tcPr>
                  <w:tcW w:w="2281" w:type="dxa"/>
                  <w:noWrap w:val="0"/>
                  <w:vAlign w:val="center"/>
                </w:tcPr>
                <w:p w14:paraId="7A5CF49C">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eastAsia="仿宋" w:cs="Times New Roman"/>
                      <w:color w:val="000000" w:themeColor="text1"/>
                      <w:szCs w:val="21"/>
                      <w:highlight w:val="none"/>
                      <w:lang w:val="en-US" w:eastAsia="zh-CN"/>
                      <w14:textFill>
                        <w14:solidFill>
                          <w14:schemeClr w14:val="tx1"/>
                        </w14:solidFill>
                      </w14:textFill>
                    </w:rPr>
                    <w:t>5m</w:t>
                  </w:r>
                </w:p>
              </w:tc>
              <w:tc>
                <w:tcPr>
                  <w:tcW w:w="2118" w:type="dxa"/>
                  <w:noWrap w:val="0"/>
                  <w:vAlign w:val="center"/>
                </w:tcPr>
                <w:p w14:paraId="517532D2">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90~95</w:t>
                  </w:r>
                </w:p>
              </w:tc>
              <w:tc>
                <w:tcPr>
                  <w:tcW w:w="1663" w:type="dxa"/>
                  <w:noWrap w:val="0"/>
                  <w:vAlign w:val="top"/>
                </w:tcPr>
                <w:p w14:paraId="4C350482">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设备检修</w:t>
                  </w:r>
                </w:p>
              </w:tc>
            </w:tr>
            <w:tr w14:paraId="38D32B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05" w:type="dxa"/>
                  <w:noWrap w:val="0"/>
                  <w:vAlign w:val="center"/>
                </w:tcPr>
                <w:p w14:paraId="265789B7">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运输车</w:t>
                  </w:r>
                </w:p>
              </w:tc>
              <w:tc>
                <w:tcPr>
                  <w:tcW w:w="2281" w:type="dxa"/>
                  <w:noWrap w:val="0"/>
                  <w:vAlign w:val="center"/>
                </w:tcPr>
                <w:p w14:paraId="071AFEB0">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eastAsia="仿宋" w:cs="Times New Roman"/>
                      <w:color w:val="000000" w:themeColor="text1"/>
                      <w:szCs w:val="21"/>
                      <w:highlight w:val="none"/>
                      <w:lang w:val="en-US" w:eastAsia="zh-CN"/>
                      <w14:textFill>
                        <w14:solidFill>
                          <w14:schemeClr w14:val="tx1"/>
                        </w14:solidFill>
                      </w14:textFill>
                    </w:rPr>
                    <w:t>5m</w:t>
                  </w:r>
                </w:p>
              </w:tc>
              <w:tc>
                <w:tcPr>
                  <w:tcW w:w="2118" w:type="dxa"/>
                  <w:noWrap w:val="0"/>
                  <w:vAlign w:val="center"/>
                </w:tcPr>
                <w:p w14:paraId="56B6D0E4">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82~90</w:t>
                  </w:r>
                </w:p>
              </w:tc>
              <w:tc>
                <w:tcPr>
                  <w:tcW w:w="1663" w:type="dxa"/>
                  <w:noWrap w:val="0"/>
                  <w:vAlign w:val="top"/>
                </w:tcPr>
                <w:p w14:paraId="3A5F6C75">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设备检修</w:t>
                  </w:r>
                </w:p>
              </w:tc>
            </w:tr>
            <w:tr w14:paraId="39D3EE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05" w:type="dxa"/>
                  <w:noWrap w:val="0"/>
                  <w:vAlign w:val="center"/>
                </w:tcPr>
                <w:p w14:paraId="7583ED2B">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挖掘机</w:t>
                  </w:r>
                </w:p>
              </w:tc>
              <w:tc>
                <w:tcPr>
                  <w:tcW w:w="2281" w:type="dxa"/>
                  <w:noWrap w:val="0"/>
                  <w:vAlign w:val="center"/>
                </w:tcPr>
                <w:p w14:paraId="71283511">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eastAsia="仿宋" w:cs="Times New Roman"/>
                      <w:color w:val="000000" w:themeColor="text1"/>
                      <w:szCs w:val="21"/>
                      <w:highlight w:val="none"/>
                      <w:lang w:val="en-US" w:eastAsia="zh-CN"/>
                      <w14:textFill>
                        <w14:solidFill>
                          <w14:schemeClr w14:val="tx1"/>
                        </w14:solidFill>
                      </w14:textFill>
                    </w:rPr>
                    <w:t>5m</w:t>
                  </w:r>
                </w:p>
              </w:tc>
              <w:tc>
                <w:tcPr>
                  <w:tcW w:w="2118" w:type="dxa"/>
                  <w:noWrap w:val="0"/>
                  <w:vAlign w:val="center"/>
                </w:tcPr>
                <w:p w14:paraId="072776BB">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82~90</w:t>
                  </w:r>
                </w:p>
              </w:tc>
              <w:tc>
                <w:tcPr>
                  <w:tcW w:w="1663" w:type="dxa"/>
                  <w:noWrap w:val="0"/>
                  <w:vAlign w:val="top"/>
                </w:tcPr>
                <w:p w14:paraId="7372DDB4">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设备检修</w:t>
                  </w:r>
                </w:p>
              </w:tc>
            </w:tr>
          </w:tbl>
          <w:p w14:paraId="4C1106C0">
            <w:pPr>
              <w:adjustRightInd w:val="0"/>
              <w:snapToGrid w:val="0"/>
              <w:spacing w:before="120" w:beforeLines="50" w:line="360" w:lineRule="auto"/>
              <w:ind w:firstLine="482"/>
              <w:rPr>
                <w:rFonts w:eastAsia="仿宋"/>
                <w:color w:val="000000"/>
                <w:sz w:val="24"/>
              </w:rPr>
            </w:pPr>
            <w:r>
              <w:rPr>
                <w:rFonts w:eastAsia="仿宋"/>
                <w:color w:val="000000"/>
                <w:sz w:val="24"/>
              </w:rPr>
              <w:t>在露天施工时噪声值随距离的衰减按下式计算：</w:t>
            </w:r>
          </w:p>
          <w:p w14:paraId="620168DE">
            <w:pPr>
              <w:adjustRightInd w:val="0"/>
              <w:snapToGrid w:val="0"/>
              <w:spacing w:line="360" w:lineRule="auto"/>
              <w:ind w:firstLine="480"/>
              <w:rPr>
                <w:rFonts w:eastAsia="仿宋"/>
                <w:color w:val="000000"/>
                <w:sz w:val="24"/>
              </w:rPr>
            </w:pPr>
            <w:r>
              <w:rPr>
                <w:rFonts w:eastAsia="仿宋"/>
                <w:color w:val="000000"/>
                <w:sz w:val="24"/>
              </w:rPr>
              <w:t>L2=L1</w:t>
            </w:r>
            <w:r>
              <w:rPr>
                <w:rFonts w:hint="eastAsia" w:eastAsia="仿宋"/>
                <w:color w:val="000000"/>
                <w:sz w:val="24"/>
                <w:lang w:eastAsia="zh-CN"/>
              </w:rPr>
              <w:t>-</w:t>
            </w:r>
            <w:r>
              <w:rPr>
                <w:rFonts w:eastAsia="仿宋"/>
                <w:color w:val="000000"/>
                <w:sz w:val="24"/>
              </w:rPr>
              <w:t xml:space="preserve">20log </w:t>
            </w:r>
            <w:r>
              <w:rPr>
                <w:rFonts w:hint="eastAsia" w:eastAsia="仿宋"/>
                <w:color w:val="000000"/>
                <w:sz w:val="24"/>
                <w:lang w:eastAsia="zh-CN"/>
              </w:rPr>
              <w:t>(</w:t>
            </w:r>
            <w:r>
              <w:rPr>
                <w:rFonts w:eastAsia="仿宋"/>
                <w:color w:val="000000"/>
                <w:sz w:val="24"/>
              </w:rPr>
              <w:t>r2/r1</w:t>
            </w:r>
            <w:r>
              <w:rPr>
                <w:rFonts w:hint="eastAsia" w:eastAsia="仿宋"/>
                <w:color w:val="000000"/>
                <w:sz w:val="24"/>
                <w:lang w:eastAsia="zh-CN"/>
              </w:rPr>
              <w:t>)</w:t>
            </w:r>
            <w:r>
              <w:rPr>
                <w:rFonts w:eastAsia="仿宋"/>
                <w:color w:val="000000"/>
                <w:sz w:val="24"/>
              </w:rPr>
              <w:t xml:space="preserve">  </w:t>
            </w:r>
            <w:r>
              <w:rPr>
                <w:rFonts w:hint="eastAsia" w:eastAsia="仿宋"/>
                <w:color w:val="000000"/>
                <w:sz w:val="24"/>
                <w:lang w:eastAsia="zh-CN"/>
              </w:rPr>
              <w:t>(</w:t>
            </w:r>
            <w:r>
              <w:rPr>
                <w:rFonts w:eastAsia="仿宋"/>
                <w:color w:val="000000"/>
                <w:sz w:val="24"/>
              </w:rPr>
              <w:t>r2</w:t>
            </w:r>
            <w:r>
              <w:rPr>
                <w:rFonts w:hint="eastAsia" w:eastAsia="仿宋"/>
                <w:color w:val="000000"/>
                <w:sz w:val="24"/>
                <w:lang w:eastAsia="zh-CN"/>
              </w:rPr>
              <w:t>&gt;</w:t>
            </w:r>
            <w:r>
              <w:rPr>
                <w:rFonts w:eastAsia="仿宋"/>
                <w:color w:val="000000"/>
                <w:sz w:val="24"/>
              </w:rPr>
              <w:t>r1</w:t>
            </w:r>
            <w:r>
              <w:rPr>
                <w:rFonts w:hint="eastAsia" w:eastAsia="仿宋"/>
                <w:color w:val="000000"/>
                <w:sz w:val="24"/>
                <w:lang w:eastAsia="zh-CN"/>
              </w:rPr>
              <w:t>)</w:t>
            </w:r>
          </w:p>
          <w:p w14:paraId="13128D93">
            <w:pPr>
              <w:adjustRightInd w:val="0"/>
              <w:snapToGrid w:val="0"/>
              <w:spacing w:line="360" w:lineRule="auto"/>
              <w:ind w:firstLine="480"/>
              <w:rPr>
                <w:rFonts w:eastAsia="仿宋"/>
                <w:color w:val="000000"/>
                <w:sz w:val="24"/>
              </w:rPr>
            </w:pPr>
            <w:r>
              <w:rPr>
                <w:rFonts w:eastAsia="仿宋"/>
                <w:color w:val="000000"/>
                <w:sz w:val="24"/>
              </w:rPr>
              <w:t>式中：L2、L1——距离声源r2、r1处的噪声声级；</w:t>
            </w:r>
          </w:p>
          <w:p w14:paraId="6886EC9B">
            <w:pPr>
              <w:adjustRightInd w:val="0"/>
              <w:snapToGrid w:val="0"/>
              <w:spacing w:line="360" w:lineRule="auto"/>
              <w:ind w:firstLine="1200" w:firstLineChars="500"/>
              <w:rPr>
                <w:rFonts w:eastAsia="仿宋"/>
                <w:color w:val="000000"/>
                <w:sz w:val="24"/>
              </w:rPr>
            </w:pPr>
            <w:r>
              <w:rPr>
                <w:rFonts w:eastAsia="仿宋"/>
                <w:color w:val="000000"/>
                <w:sz w:val="24"/>
              </w:rPr>
              <w:t>r2、r1——距离声源的距离。</w:t>
            </w:r>
          </w:p>
          <w:p w14:paraId="3382558E">
            <w:pPr>
              <w:adjustRightInd w:val="0"/>
              <w:snapToGrid w:val="0"/>
              <w:spacing w:line="360" w:lineRule="auto"/>
              <w:ind w:firstLine="480"/>
              <w:jc w:val="left"/>
              <w:rPr>
                <w:rFonts w:eastAsia="仿宋"/>
                <w:color w:val="000000"/>
                <w:sz w:val="24"/>
              </w:rPr>
            </w:pPr>
            <w:r>
              <w:rPr>
                <w:rFonts w:eastAsia="仿宋"/>
                <w:color w:val="000000"/>
                <w:sz w:val="24"/>
              </w:rPr>
              <w:t>经计算可得到施工期各施工机械在不同距离处的噪声贡献值，</w:t>
            </w:r>
            <w:r>
              <w:rPr>
                <w:rFonts w:hint="eastAsia" w:eastAsia="仿宋"/>
                <w:color w:val="000000"/>
                <w:sz w:val="24"/>
              </w:rPr>
              <w:t>见表</w:t>
            </w:r>
            <w:r>
              <w:rPr>
                <w:rFonts w:hint="eastAsia" w:eastAsia="仿宋"/>
                <w:color w:val="000000"/>
                <w:sz w:val="24"/>
                <w:lang w:val="en-US" w:eastAsia="zh-CN"/>
              </w:rPr>
              <w:t>35</w:t>
            </w:r>
            <w:r>
              <w:rPr>
                <w:rFonts w:hint="eastAsia" w:eastAsia="仿宋"/>
                <w:color w:val="000000"/>
                <w:sz w:val="24"/>
              </w:rPr>
              <w:t>。</w:t>
            </w:r>
          </w:p>
          <w:p w14:paraId="18CE284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hAnsi="Times New Roman" w:eastAsia="仿宋" w:cs="Times New Roman"/>
                <w:b/>
                <w:color w:val="FF0000"/>
                <w:kern w:val="0"/>
                <w:szCs w:val="21"/>
              </w:rPr>
            </w:pPr>
            <w:r>
              <w:rPr>
                <w:rFonts w:ascii="Times New Roman" w:hAnsi="Times New Roman" w:eastAsia="仿宋" w:cs="Times New Roman"/>
                <w:b/>
                <w:color w:val="FF0000"/>
                <w:kern w:val="0"/>
                <w:szCs w:val="21"/>
              </w:rPr>
              <w:t>表</w:t>
            </w:r>
            <w:r>
              <w:rPr>
                <w:rFonts w:hint="eastAsia" w:eastAsia="仿宋" w:cs="Times New Roman"/>
                <w:b/>
                <w:color w:val="FF0000"/>
                <w:kern w:val="0"/>
                <w:szCs w:val="21"/>
                <w:lang w:val="en-US" w:eastAsia="zh-CN"/>
              </w:rPr>
              <w:t>35</w:t>
            </w:r>
            <w:r>
              <w:rPr>
                <w:rFonts w:ascii="Times New Roman" w:hAnsi="Times New Roman" w:eastAsia="仿宋" w:cs="Times New Roman"/>
                <w:b/>
                <w:color w:val="FF0000"/>
                <w:kern w:val="0"/>
                <w:szCs w:val="21"/>
              </w:rPr>
              <w:t xml:space="preserve">   距声源不同距离处的噪声值  单位：dB（A）</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695"/>
              <w:gridCol w:w="695"/>
              <w:gridCol w:w="696"/>
              <w:gridCol w:w="695"/>
              <w:gridCol w:w="696"/>
              <w:gridCol w:w="696"/>
              <w:gridCol w:w="696"/>
              <w:gridCol w:w="696"/>
              <w:gridCol w:w="696"/>
            </w:tblGrid>
            <w:tr w14:paraId="66F3ED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320" w:type="dxa"/>
                  <w:noWrap w:val="0"/>
                  <w:vAlign w:val="center"/>
                </w:tcPr>
                <w:p w14:paraId="12AADFD1">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设备</w:t>
                  </w:r>
                </w:p>
                <w:p w14:paraId="7C6AC7DD">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名称</w:t>
                  </w:r>
                </w:p>
              </w:tc>
              <w:tc>
                <w:tcPr>
                  <w:tcW w:w="884" w:type="dxa"/>
                  <w:noWrap w:val="0"/>
                  <w:vAlign w:val="center"/>
                </w:tcPr>
                <w:p w14:paraId="045067A6">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5m</w:t>
                  </w:r>
                </w:p>
              </w:tc>
              <w:tc>
                <w:tcPr>
                  <w:tcW w:w="885" w:type="dxa"/>
                  <w:noWrap w:val="0"/>
                  <w:vAlign w:val="center"/>
                </w:tcPr>
                <w:p w14:paraId="2EB4256D">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10m</w:t>
                  </w:r>
                </w:p>
              </w:tc>
              <w:tc>
                <w:tcPr>
                  <w:tcW w:w="886" w:type="dxa"/>
                  <w:noWrap w:val="0"/>
                  <w:vAlign w:val="center"/>
                </w:tcPr>
                <w:p w14:paraId="77EAD864">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20m</w:t>
                  </w:r>
                </w:p>
              </w:tc>
              <w:tc>
                <w:tcPr>
                  <w:tcW w:w="885" w:type="dxa"/>
                  <w:noWrap w:val="0"/>
                  <w:vAlign w:val="center"/>
                </w:tcPr>
                <w:p w14:paraId="60965AE2">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50m</w:t>
                  </w:r>
                </w:p>
              </w:tc>
              <w:tc>
                <w:tcPr>
                  <w:tcW w:w="886" w:type="dxa"/>
                  <w:noWrap w:val="0"/>
                  <w:vAlign w:val="center"/>
                </w:tcPr>
                <w:p w14:paraId="39EF4482">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100m</w:t>
                  </w:r>
                </w:p>
              </w:tc>
              <w:tc>
                <w:tcPr>
                  <w:tcW w:w="886" w:type="dxa"/>
                  <w:noWrap w:val="0"/>
                  <w:vAlign w:val="center"/>
                </w:tcPr>
                <w:p w14:paraId="66694F32">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200m</w:t>
                  </w:r>
                </w:p>
              </w:tc>
              <w:tc>
                <w:tcPr>
                  <w:tcW w:w="886" w:type="dxa"/>
                  <w:noWrap w:val="0"/>
                  <w:vAlign w:val="center"/>
                </w:tcPr>
                <w:p w14:paraId="126D9327">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300m</w:t>
                  </w:r>
                </w:p>
              </w:tc>
              <w:tc>
                <w:tcPr>
                  <w:tcW w:w="885" w:type="dxa"/>
                  <w:noWrap w:val="0"/>
                  <w:vAlign w:val="center"/>
                </w:tcPr>
                <w:p w14:paraId="1C276A9B">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400m</w:t>
                  </w:r>
                </w:p>
              </w:tc>
              <w:tc>
                <w:tcPr>
                  <w:tcW w:w="885" w:type="dxa"/>
                  <w:noWrap w:val="0"/>
                  <w:vAlign w:val="center"/>
                </w:tcPr>
                <w:p w14:paraId="56CED964">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500m</w:t>
                  </w:r>
                </w:p>
              </w:tc>
            </w:tr>
            <w:tr w14:paraId="1C4E8D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320" w:type="dxa"/>
                  <w:noWrap w:val="0"/>
                  <w:vAlign w:val="center"/>
                </w:tcPr>
                <w:p w14:paraId="60704024">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推土机</w:t>
                  </w:r>
                </w:p>
              </w:tc>
              <w:tc>
                <w:tcPr>
                  <w:tcW w:w="884" w:type="dxa"/>
                  <w:noWrap w:val="0"/>
                  <w:vAlign w:val="center"/>
                </w:tcPr>
                <w:p w14:paraId="678F6305">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88</w:t>
                  </w:r>
                </w:p>
              </w:tc>
              <w:tc>
                <w:tcPr>
                  <w:tcW w:w="885" w:type="dxa"/>
                  <w:noWrap w:val="0"/>
                  <w:vAlign w:val="center"/>
                </w:tcPr>
                <w:p w14:paraId="7BAE7F45">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82</w:t>
                  </w:r>
                </w:p>
              </w:tc>
              <w:tc>
                <w:tcPr>
                  <w:tcW w:w="886" w:type="dxa"/>
                  <w:noWrap w:val="0"/>
                  <w:vAlign w:val="center"/>
                </w:tcPr>
                <w:p w14:paraId="637C7557">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76</w:t>
                  </w:r>
                </w:p>
              </w:tc>
              <w:tc>
                <w:tcPr>
                  <w:tcW w:w="885" w:type="dxa"/>
                  <w:noWrap w:val="0"/>
                  <w:vAlign w:val="center"/>
                </w:tcPr>
                <w:p w14:paraId="073BACB3">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68</w:t>
                  </w:r>
                </w:p>
              </w:tc>
              <w:tc>
                <w:tcPr>
                  <w:tcW w:w="886" w:type="dxa"/>
                  <w:noWrap w:val="0"/>
                  <w:vAlign w:val="center"/>
                </w:tcPr>
                <w:p w14:paraId="11180CBB">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62</w:t>
                  </w:r>
                </w:p>
              </w:tc>
              <w:tc>
                <w:tcPr>
                  <w:tcW w:w="886" w:type="dxa"/>
                  <w:noWrap w:val="0"/>
                  <w:vAlign w:val="center"/>
                </w:tcPr>
                <w:p w14:paraId="4AFDD017">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56</w:t>
                  </w:r>
                </w:p>
              </w:tc>
              <w:tc>
                <w:tcPr>
                  <w:tcW w:w="886" w:type="dxa"/>
                  <w:noWrap w:val="0"/>
                  <w:vAlign w:val="center"/>
                </w:tcPr>
                <w:p w14:paraId="05526486">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52</w:t>
                  </w:r>
                </w:p>
              </w:tc>
              <w:tc>
                <w:tcPr>
                  <w:tcW w:w="885" w:type="dxa"/>
                  <w:noWrap w:val="0"/>
                  <w:vAlign w:val="center"/>
                </w:tcPr>
                <w:p w14:paraId="71F171C3">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50</w:t>
                  </w:r>
                </w:p>
              </w:tc>
              <w:tc>
                <w:tcPr>
                  <w:tcW w:w="885" w:type="dxa"/>
                  <w:noWrap w:val="0"/>
                  <w:vAlign w:val="center"/>
                </w:tcPr>
                <w:p w14:paraId="02CAE4B1">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48</w:t>
                  </w:r>
                </w:p>
              </w:tc>
            </w:tr>
            <w:tr w14:paraId="1405D1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320" w:type="dxa"/>
                  <w:noWrap w:val="0"/>
                  <w:vAlign w:val="center"/>
                </w:tcPr>
                <w:p w14:paraId="3652BF80">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装载机</w:t>
                  </w:r>
                </w:p>
              </w:tc>
              <w:tc>
                <w:tcPr>
                  <w:tcW w:w="884" w:type="dxa"/>
                  <w:noWrap w:val="0"/>
                  <w:vAlign w:val="center"/>
                </w:tcPr>
                <w:p w14:paraId="6079A3C2">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95</w:t>
                  </w:r>
                </w:p>
              </w:tc>
              <w:tc>
                <w:tcPr>
                  <w:tcW w:w="885" w:type="dxa"/>
                  <w:noWrap w:val="0"/>
                  <w:vAlign w:val="center"/>
                </w:tcPr>
                <w:p w14:paraId="6985172F">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89</w:t>
                  </w:r>
                </w:p>
              </w:tc>
              <w:tc>
                <w:tcPr>
                  <w:tcW w:w="886" w:type="dxa"/>
                  <w:noWrap w:val="0"/>
                  <w:vAlign w:val="center"/>
                </w:tcPr>
                <w:p w14:paraId="2963D2C8">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83</w:t>
                  </w:r>
                </w:p>
              </w:tc>
              <w:tc>
                <w:tcPr>
                  <w:tcW w:w="885" w:type="dxa"/>
                  <w:noWrap w:val="0"/>
                  <w:vAlign w:val="center"/>
                </w:tcPr>
                <w:p w14:paraId="01547EE4">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75</w:t>
                  </w:r>
                </w:p>
              </w:tc>
              <w:tc>
                <w:tcPr>
                  <w:tcW w:w="886" w:type="dxa"/>
                  <w:noWrap w:val="0"/>
                  <w:vAlign w:val="center"/>
                </w:tcPr>
                <w:p w14:paraId="2A81626C">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69</w:t>
                  </w:r>
                </w:p>
              </w:tc>
              <w:tc>
                <w:tcPr>
                  <w:tcW w:w="886" w:type="dxa"/>
                  <w:noWrap w:val="0"/>
                  <w:vAlign w:val="center"/>
                </w:tcPr>
                <w:p w14:paraId="70E56911">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63</w:t>
                  </w:r>
                </w:p>
              </w:tc>
              <w:tc>
                <w:tcPr>
                  <w:tcW w:w="886" w:type="dxa"/>
                  <w:noWrap w:val="0"/>
                  <w:vAlign w:val="center"/>
                </w:tcPr>
                <w:p w14:paraId="6DC68F5B">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59</w:t>
                  </w:r>
                </w:p>
              </w:tc>
              <w:tc>
                <w:tcPr>
                  <w:tcW w:w="885" w:type="dxa"/>
                  <w:noWrap w:val="0"/>
                  <w:vAlign w:val="center"/>
                </w:tcPr>
                <w:p w14:paraId="2A5E4C17">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57</w:t>
                  </w:r>
                </w:p>
              </w:tc>
              <w:tc>
                <w:tcPr>
                  <w:tcW w:w="885" w:type="dxa"/>
                  <w:noWrap w:val="0"/>
                  <w:vAlign w:val="center"/>
                </w:tcPr>
                <w:p w14:paraId="13D65C79">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55</w:t>
                  </w:r>
                </w:p>
              </w:tc>
            </w:tr>
            <w:tr w14:paraId="31EDAA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320" w:type="dxa"/>
                  <w:noWrap w:val="0"/>
                  <w:vAlign w:val="center"/>
                </w:tcPr>
                <w:p w14:paraId="772C1419">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运输车</w:t>
                  </w:r>
                </w:p>
              </w:tc>
              <w:tc>
                <w:tcPr>
                  <w:tcW w:w="884" w:type="dxa"/>
                  <w:noWrap w:val="0"/>
                  <w:vAlign w:val="center"/>
                </w:tcPr>
                <w:p w14:paraId="0DE55AB1">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90</w:t>
                  </w:r>
                </w:p>
              </w:tc>
              <w:tc>
                <w:tcPr>
                  <w:tcW w:w="885" w:type="dxa"/>
                  <w:noWrap w:val="0"/>
                  <w:vAlign w:val="center"/>
                </w:tcPr>
                <w:p w14:paraId="5D12BEE5">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84</w:t>
                  </w:r>
                </w:p>
              </w:tc>
              <w:tc>
                <w:tcPr>
                  <w:tcW w:w="886" w:type="dxa"/>
                  <w:noWrap w:val="0"/>
                  <w:vAlign w:val="center"/>
                </w:tcPr>
                <w:p w14:paraId="2260A7D3">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78</w:t>
                  </w:r>
                </w:p>
              </w:tc>
              <w:tc>
                <w:tcPr>
                  <w:tcW w:w="885" w:type="dxa"/>
                  <w:noWrap w:val="0"/>
                  <w:vAlign w:val="center"/>
                </w:tcPr>
                <w:p w14:paraId="61980AB1">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70</w:t>
                  </w:r>
                </w:p>
              </w:tc>
              <w:tc>
                <w:tcPr>
                  <w:tcW w:w="886" w:type="dxa"/>
                  <w:noWrap w:val="0"/>
                  <w:vAlign w:val="center"/>
                </w:tcPr>
                <w:p w14:paraId="1F0C11F8">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65</w:t>
                  </w:r>
                </w:p>
              </w:tc>
              <w:tc>
                <w:tcPr>
                  <w:tcW w:w="886" w:type="dxa"/>
                  <w:noWrap w:val="0"/>
                  <w:vAlign w:val="center"/>
                </w:tcPr>
                <w:p w14:paraId="5BCD1FE3">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58</w:t>
                  </w:r>
                </w:p>
              </w:tc>
              <w:tc>
                <w:tcPr>
                  <w:tcW w:w="886" w:type="dxa"/>
                  <w:noWrap w:val="0"/>
                  <w:vAlign w:val="center"/>
                </w:tcPr>
                <w:p w14:paraId="57508ABF">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54</w:t>
                  </w:r>
                </w:p>
              </w:tc>
              <w:tc>
                <w:tcPr>
                  <w:tcW w:w="885" w:type="dxa"/>
                  <w:noWrap w:val="0"/>
                  <w:vAlign w:val="center"/>
                </w:tcPr>
                <w:p w14:paraId="40F799C1">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52</w:t>
                  </w:r>
                </w:p>
              </w:tc>
              <w:tc>
                <w:tcPr>
                  <w:tcW w:w="885" w:type="dxa"/>
                  <w:noWrap w:val="0"/>
                  <w:vAlign w:val="center"/>
                </w:tcPr>
                <w:p w14:paraId="345AFFCF">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50</w:t>
                  </w:r>
                </w:p>
              </w:tc>
            </w:tr>
            <w:tr w14:paraId="576DD8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320" w:type="dxa"/>
                  <w:noWrap w:val="0"/>
                  <w:vAlign w:val="center"/>
                </w:tcPr>
                <w:p w14:paraId="4F277F4D">
                  <w:pPr>
                    <w:widowControl/>
                    <w:tabs>
                      <w:tab w:val="left" w:pos="900"/>
                    </w:tabs>
                    <w:adjustRightInd w:val="0"/>
                    <w:snapToGrid w:val="0"/>
                    <w:jc w:val="center"/>
                    <w:rPr>
                      <w:rFonts w:hint="eastAsia" w:ascii="Times New Roman" w:hAnsi="Times New Roman" w:eastAsia="仿宋" w:cs="Times New Roman"/>
                      <w:color w:val="FF0000"/>
                      <w:szCs w:val="21"/>
                      <w:highlight w:val="none"/>
                      <w:lang w:val="en-US" w:eastAsia="zh-CN"/>
                    </w:rPr>
                  </w:pPr>
                  <w:r>
                    <w:rPr>
                      <w:rFonts w:hint="eastAsia" w:ascii="Times New Roman" w:hAnsi="Times New Roman" w:eastAsia="仿宋" w:cs="Times New Roman"/>
                      <w:color w:val="FF0000"/>
                      <w:szCs w:val="21"/>
                      <w:highlight w:val="none"/>
                      <w:lang w:val="en-US" w:eastAsia="zh-CN"/>
                    </w:rPr>
                    <w:t>挖掘机</w:t>
                  </w:r>
                </w:p>
              </w:tc>
              <w:tc>
                <w:tcPr>
                  <w:tcW w:w="884" w:type="dxa"/>
                  <w:noWrap w:val="0"/>
                  <w:vAlign w:val="center"/>
                </w:tcPr>
                <w:p w14:paraId="33988452">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90</w:t>
                  </w:r>
                </w:p>
              </w:tc>
              <w:tc>
                <w:tcPr>
                  <w:tcW w:w="885" w:type="dxa"/>
                  <w:noWrap w:val="0"/>
                  <w:vAlign w:val="center"/>
                </w:tcPr>
                <w:p w14:paraId="43794623">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84</w:t>
                  </w:r>
                </w:p>
              </w:tc>
              <w:tc>
                <w:tcPr>
                  <w:tcW w:w="886" w:type="dxa"/>
                  <w:noWrap w:val="0"/>
                  <w:vAlign w:val="center"/>
                </w:tcPr>
                <w:p w14:paraId="124D3214">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78</w:t>
                  </w:r>
                </w:p>
              </w:tc>
              <w:tc>
                <w:tcPr>
                  <w:tcW w:w="885" w:type="dxa"/>
                  <w:noWrap w:val="0"/>
                  <w:vAlign w:val="center"/>
                </w:tcPr>
                <w:p w14:paraId="02996934">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70</w:t>
                  </w:r>
                </w:p>
              </w:tc>
              <w:tc>
                <w:tcPr>
                  <w:tcW w:w="886" w:type="dxa"/>
                  <w:noWrap w:val="0"/>
                  <w:vAlign w:val="center"/>
                </w:tcPr>
                <w:p w14:paraId="6A5E8091">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64</w:t>
                  </w:r>
                </w:p>
              </w:tc>
              <w:tc>
                <w:tcPr>
                  <w:tcW w:w="886" w:type="dxa"/>
                  <w:noWrap w:val="0"/>
                  <w:vAlign w:val="center"/>
                </w:tcPr>
                <w:p w14:paraId="7AC0FD49">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58</w:t>
                  </w:r>
                </w:p>
              </w:tc>
              <w:tc>
                <w:tcPr>
                  <w:tcW w:w="886" w:type="dxa"/>
                  <w:noWrap w:val="0"/>
                  <w:vAlign w:val="center"/>
                </w:tcPr>
                <w:p w14:paraId="11730809">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54</w:t>
                  </w:r>
                </w:p>
              </w:tc>
              <w:tc>
                <w:tcPr>
                  <w:tcW w:w="885" w:type="dxa"/>
                  <w:noWrap w:val="0"/>
                  <w:vAlign w:val="center"/>
                </w:tcPr>
                <w:p w14:paraId="06E10198">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52</w:t>
                  </w:r>
                </w:p>
              </w:tc>
              <w:tc>
                <w:tcPr>
                  <w:tcW w:w="885" w:type="dxa"/>
                  <w:noWrap w:val="0"/>
                  <w:vAlign w:val="center"/>
                </w:tcPr>
                <w:p w14:paraId="2D251A22">
                  <w:pPr>
                    <w:widowControl/>
                    <w:tabs>
                      <w:tab w:val="left" w:pos="900"/>
                    </w:tabs>
                    <w:adjustRightInd w:val="0"/>
                    <w:snapToGrid w:val="0"/>
                    <w:jc w:val="center"/>
                    <w:rPr>
                      <w:rFonts w:hint="default" w:ascii="Times New Roman" w:hAnsi="Times New Roman" w:eastAsia="仿宋" w:cs="Times New Roman"/>
                      <w:color w:val="FF0000"/>
                      <w:szCs w:val="21"/>
                      <w:highlight w:val="none"/>
                      <w:lang w:val="en-US" w:eastAsia="zh-CN"/>
                    </w:rPr>
                  </w:pPr>
                  <w:r>
                    <w:rPr>
                      <w:rFonts w:hint="eastAsia" w:eastAsia="仿宋" w:cs="Times New Roman"/>
                      <w:color w:val="FF0000"/>
                      <w:szCs w:val="21"/>
                      <w:highlight w:val="none"/>
                      <w:lang w:val="en-US" w:eastAsia="zh-CN"/>
                    </w:rPr>
                    <w:t>50</w:t>
                  </w:r>
                </w:p>
              </w:tc>
            </w:tr>
          </w:tbl>
          <w:p w14:paraId="06BA846D">
            <w:pPr>
              <w:pStyle w:val="5"/>
              <w:keepNext w:val="0"/>
              <w:keepLines w:val="0"/>
              <w:pageBreakBefore w:val="0"/>
              <w:widowControl w:val="0"/>
              <w:kinsoku/>
              <w:wordWrap/>
              <w:overflowPunct/>
              <w:topLinePunct w:val="0"/>
              <w:autoSpaceDE/>
              <w:autoSpaceDN/>
              <w:bidi w:val="0"/>
              <w:adjustRightInd w:val="0"/>
              <w:snapToGrid w:val="0"/>
              <w:spacing w:before="120" w:beforeLines="50" w:line="360" w:lineRule="auto"/>
              <w:ind w:firstLine="480"/>
              <w:jc w:val="both"/>
              <w:textAlignment w:val="auto"/>
              <w:rPr>
                <w:rFonts w:eastAsia="仿宋"/>
                <w:color w:val="000000"/>
                <w:sz w:val="24"/>
              </w:rPr>
            </w:pPr>
            <w:r>
              <w:rPr>
                <w:rFonts w:eastAsia="仿宋"/>
                <w:color w:val="000000"/>
                <w:sz w:val="24"/>
              </w:rPr>
              <w:t>由于本项目施工期较短，噪声源为间歇式排放，同时采取禁止夜间进行施工，并加强施工管理，严格控制施工时间段，检修施工机械设备等措施，因此对附近的居民影响较小，且随着施工期的结束而随之消失，不会对周围</w:t>
            </w:r>
            <w:r>
              <w:rPr>
                <w:rFonts w:hint="eastAsia" w:eastAsia="仿宋"/>
                <w:color w:val="000000"/>
                <w:sz w:val="24"/>
                <w:lang w:val="en-US" w:eastAsia="zh-CN"/>
              </w:rPr>
              <w:t>环境</w:t>
            </w:r>
            <w:r>
              <w:rPr>
                <w:rFonts w:eastAsia="仿宋"/>
                <w:color w:val="000000"/>
                <w:sz w:val="24"/>
              </w:rPr>
              <w:t>造成长期的不利影响。</w:t>
            </w:r>
          </w:p>
          <w:p w14:paraId="286516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eastAsia="仿宋"/>
                <w:b w:val="0"/>
                <w:bCs/>
                <w:color w:val="000000"/>
                <w:sz w:val="24"/>
                <w:lang w:val="en-US" w:eastAsia="zh-CN"/>
              </w:rPr>
            </w:pPr>
            <w:r>
              <w:rPr>
                <w:rFonts w:hint="eastAsia" w:eastAsia="仿宋"/>
                <w:b w:val="0"/>
                <w:bCs/>
                <w:color w:val="000000"/>
                <w:sz w:val="24"/>
                <w:lang w:val="en-US" w:eastAsia="zh-CN"/>
              </w:rPr>
              <w:t>根据现场调查，本项目200m范围内无声环境敏感点，因此，本项目施工期噪声对周围环境影响较小。</w:t>
            </w:r>
          </w:p>
          <w:p w14:paraId="1FF7655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eastAsia="仿宋"/>
                <w:b/>
                <w:color w:val="000000"/>
                <w:sz w:val="24"/>
              </w:rPr>
            </w:pPr>
            <w:r>
              <w:rPr>
                <w:rFonts w:hint="eastAsia" w:eastAsia="仿宋"/>
                <w:b/>
                <w:color w:val="000000"/>
                <w:sz w:val="24"/>
                <w:lang w:eastAsia="zh-CN"/>
              </w:rPr>
              <w:t>5.</w:t>
            </w:r>
            <w:r>
              <w:rPr>
                <w:rFonts w:eastAsia="仿宋"/>
                <w:b/>
                <w:color w:val="000000"/>
                <w:sz w:val="24"/>
              </w:rPr>
              <w:t>施工期固废环境影响分析</w:t>
            </w:r>
          </w:p>
          <w:p w14:paraId="5E25C61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仿宋"/>
                <w:color w:val="000000"/>
                <w:sz w:val="24"/>
              </w:rPr>
            </w:pPr>
            <w:r>
              <w:rPr>
                <w:rFonts w:eastAsia="仿宋"/>
                <w:color w:val="000000"/>
                <w:sz w:val="24"/>
              </w:rPr>
              <w:t>施工期固体废物主要是施工过程中产生的弃土弃渣、建筑垃圾及施工人员产生的生活垃圾。</w:t>
            </w:r>
          </w:p>
          <w:p w14:paraId="7F2D0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仿宋"/>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⑴</w:t>
            </w:r>
            <w:r>
              <w:rPr>
                <w:rFonts w:eastAsia="仿宋"/>
                <w:color w:val="000000" w:themeColor="text1"/>
                <w:sz w:val="24"/>
                <w14:textFill>
                  <w14:solidFill>
                    <w14:schemeClr w14:val="tx1"/>
                  </w14:solidFill>
                </w14:textFill>
              </w:rPr>
              <w:t>土石方</w:t>
            </w:r>
          </w:p>
          <w:p w14:paraId="4D652A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仿宋_GB2312"/>
                <w:color w:val="000000" w:themeColor="text1"/>
                <w:kern w:val="0"/>
                <w:sz w:val="24"/>
                <w14:textFill>
                  <w14:solidFill>
                    <w14:schemeClr w14:val="tx1"/>
                  </w14:solidFill>
                </w14:textFill>
              </w:rPr>
            </w:pPr>
            <w:r>
              <w:rPr>
                <w:rFonts w:eastAsia="仿宋_GB2312"/>
                <w:color w:val="000000" w:themeColor="text1"/>
                <w:kern w:val="0"/>
                <w:sz w:val="24"/>
                <w14:textFill>
                  <w14:solidFill>
                    <w14:schemeClr w14:val="tx1"/>
                  </w14:solidFill>
                </w14:textFill>
              </w:rPr>
              <w:t>本项目</w:t>
            </w:r>
            <w:r>
              <w:rPr>
                <w:rFonts w:hint="eastAsia" w:eastAsia="仿宋_GB2312"/>
                <w:color w:val="000000" w:themeColor="text1"/>
                <w:kern w:val="0"/>
                <w:sz w:val="24"/>
                <w:lang w:val="en-US" w:eastAsia="zh-CN"/>
                <w14:textFill>
                  <w14:solidFill>
                    <w14:schemeClr w14:val="tx1"/>
                  </w14:solidFill>
                </w14:textFill>
              </w:rPr>
              <w:t>施工期</w:t>
            </w:r>
            <w:r>
              <w:rPr>
                <w:rFonts w:eastAsia="仿宋_GB2312"/>
                <w:color w:val="000000" w:themeColor="text1"/>
                <w:kern w:val="0"/>
                <w:sz w:val="24"/>
                <w14:textFill>
                  <w14:solidFill>
                    <w14:schemeClr w14:val="tx1"/>
                  </w14:solidFill>
                </w14:textFill>
              </w:rPr>
              <w:t>土石方挖方总量</w:t>
            </w:r>
            <w:r>
              <w:rPr>
                <w:rFonts w:hint="eastAsia" w:eastAsia="仿宋_GB2312"/>
                <w:color w:val="000000" w:themeColor="text1"/>
                <w:kern w:val="0"/>
                <w:sz w:val="24"/>
                <w:lang w:val="en-US" w:eastAsia="zh-CN"/>
                <w14:textFill>
                  <w14:solidFill>
                    <w14:schemeClr w14:val="tx1"/>
                  </w14:solidFill>
                </w14:textFill>
              </w:rPr>
              <w:t>721</w:t>
            </w:r>
            <w:r>
              <w:rPr>
                <w:color w:val="000000" w:themeColor="text1"/>
                <w:kern w:val="0"/>
                <w:sz w:val="24"/>
                <w14:textFill>
                  <w14:solidFill>
                    <w14:schemeClr w14:val="tx1"/>
                  </w14:solidFill>
                </w14:textFill>
              </w:rPr>
              <w:t>m</w:t>
            </w:r>
            <w:r>
              <w:rPr>
                <w:color w:val="000000" w:themeColor="text1"/>
                <w:kern w:val="0"/>
                <w:sz w:val="24"/>
                <w:vertAlign w:val="superscript"/>
                <w14:textFill>
                  <w14:solidFill>
                    <w14:schemeClr w14:val="tx1"/>
                  </w14:solidFill>
                </w14:textFill>
              </w:rPr>
              <w:t>3</w:t>
            </w:r>
            <w:r>
              <w:rPr>
                <w:rFonts w:eastAsia="仿宋_GB2312"/>
                <w:color w:val="000000" w:themeColor="text1"/>
                <w:kern w:val="0"/>
                <w:sz w:val="24"/>
                <w14:textFill>
                  <w14:solidFill>
                    <w14:schemeClr w14:val="tx1"/>
                  </w14:solidFill>
                </w14:textFill>
              </w:rPr>
              <w:t>，填方总量</w:t>
            </w:r>
            <w:r>
              <w:rPr>
                <w:rFonts w:hint="eastAsia" w:eastAsia="仿宋_GB2312"/>
                <w:color w:val="000000" w:themeColor="text1"/>
                <w:kern w:val="0"/>
                <w:sz w:val="24"/>
                <w:lang w:val="en-US" w:eastAsia="zh-CN"/>
                <w14:textFill>
                  <w14:solidFill>
                    <w14:schemeClr w14:val="tx1"/>
                  </w14:solidFill>
                </w14:textFill>
              </w:rPr>
              <w:t>721</w:t>
            </w:r>
            <w:r>
              <w:rPr>
                <w:color w:val="000000" w:themeColor="text1"/>
                <w:kern w:val="0"/>
                <w:sz w:val="24"/>
                <w14:textFill>
                  <w14:solidFill>
                    <w14:schemeClr w14:val="tx1"/>
                  </w14:solidFill>
                </w14:textFill>
              </w:rPr>
              <w:t>m</w:t>
            </w:r>
            <w:r>
              <w:rPr>
                <w:color w:val="000000" w:themeColor="text1"/>
                <w:kern w:val="0"/>
                <w:sz w:val="24"/>
                <w:vertAlign w:val="superscript"/>
                <w14:textFill>
                  <w14:solidFill>
                    <w14:schemeClr w14:val="tx1"/>
                  </w14:solidFill>
                </w14:textFill>
              </w:rPr>
              <w:t>3</w:t>
            </w:r>
            <w:r>
              <w:rPr>
                <w:rFonts w:eastAsia="仿宋_GB2312"/>
                <w:color w:val="000000" w:themeColor="text1"/>
                <w:kern w:val="0"/>
                <w:sz w:val="24"/>
                <w14:textFill>
                  <w14:solidFill>
                    <w14:schemeClr w14:val="tx1"/>
                  </w14:solidFill>
                </w14:textFill>
              </w:rPr>
              <w:t>，弃方总量</w:t>
            </w:r>
            <w:r>
              <w:rPr>
                <w:rFonts w:hint="eastAsia" w:eastAsia="仿宋_GB2312"/>
                <w:color w:val="000000" w:themeColor="text1"/>
                <w:kern w:val="0"/>
                <w:sz w:val="24"/>
                <w:lang w:val="en-US" w:eastAsia="zh-CN"/>
                <w14:textFill>
                  <w14:solidFill>
                    <w14:schemeClr w14:val="tx1"/>
                  </w14:solidFill>
                </w14:textFill>
              </w:rPr>
              <w:t>0</w:t>
            </w:r>
            <w:r>
              <w:rPr>
                <w:color w:val="000000" w:themeColor="text1"/>
                <w:kern w:val="0"/>
                <w:sz w:val="24"/>
                <w14:textFill>
                  <w14:solidFill>
                    <w14:schemeClr w14:val="tx1"/>
                  </w14:solidFill>
                </w14:textFill>
              </w:rPr>
              <w:t>m</w:t>
            </w:r>
            <w:r>
              <w:rPr>
                <w:color w:val="000000" w:themeColor="text1"/>
                <w:kern w:val="0"/>
                <w:sz w:val="24"/>
                <w:vertAlign w:val="superscript"/>
                <w14:textFill>
                  <w14:solidFill>
                    <w14:schemeClr w14:val="tx1"/>
                  </w14:solidFill>
                </w14:textFill>
              </w:rPr>
              <w:t>3</w:t>
            </w:r>
            <w:r>
              <w:rPr>
                <w:rFonts w:eastAsia="仿宋_GB2312"/>
                <w:color w:val="000000" w:themeColor="text1"/>
                <w:kern w:val="0"/>
                <w:sz w:val="24"/>
                <w14:textFill>
                  <w14:solidFill>
                    <w14:schemeClr w14:val="tx1"/>
                  </w14:solidFill>
                </w14:textFill>
              </w:rPr>
              <w:t>。</w:t>
            </w:r>
          </w:p>
          <w:p w14:paraId="2ED80D9E">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仿宋" w:cs="Times New Roman"/>
                <w:b/>
                <w:color w:val="000000" w:themeColor="text1"/>
                <w:kern w:val="0"/>
                <w:szCs w:val="21"/>
                <w:lang w:val="en-US" w:eastAsia="zh-CN"/>
                <w14:textFill>
                  <w14:solidFill>
                    <w14:schemeClr w14:val="tx1"/>
                  </w14:solidFill>
                </w14:textFill>
              </w:rPr>
            </w:pPr>
            <w:r>
              <w:rPr>
                <w:rFonts w:ascii="Times New Roman" w:hAnsi="Times New Roman" w:eastAsia="仿宋" w:cs="Times New Roman"/>
                <w:b/>
                <w:color w:val="000000" w:themeColor="text1"/>
                <w:kern w:val="0"/>
                <w:szCs w:val="21"/>
                <w14:textFill>
                  <w14:solidFill>
                    <w14:schemeClr w14:val="tx1"/>
                  </w14:solidFill>
                </w14:textFill>
              </w:rPr>
              <w:t>表</w:t>
            </w:r>
            <w:r>
              <w:rPr>
                <w:rFonts w:hint="eastAsia" w:eastAsia="仿宋" w:cs="Times New Roman"/>
                <w:b/>
                <w:color w:val="000000" w:themeColor="text1"/>
                <w:kern w:val="0"/>
                <w:szCs w:val="21"/>
                <w:lang w:val="en-US" w:eastAsia="zh-CN"/>
                <w14:textFill>
                  <w14:solidFill>
                    <w14:schemeClr w14:val="tx1"/>
                  </w14:solidFill>
                </w14:textFill>
              </w:rPr>
              <w:t>36</w:t>
            </w:r>
            <w:r>
              <w:rPr>
                <w:rFonts w:ascii="Times New Roman" w:hAnsi="Times New Roman" w:eastAsia="仿宋" w:cs="Times New Roman"/>
                <w:b/>
                <w:color w:val="000000" w:themeColor="text1"/>
                <w:kern w:val="0"/>
                <w:szCs w:val="21"/>
                <w14:textFill>
                  <w14:solidFill>
                    <w14:schemeClr w14:val="tx1"/>
                  </w14:solidFill>
                </w14:textFill>
              </w:rPr>
              <w:t xml:space="preserve">   </w:t>
            </w:r>
            <w:r>
              <w:rPr>
                <w:rFonts w:hint="eastAsia" w:ascii="Times New Roman" w:hAnsi="Times New Roman" w:eastAsia="仿宋" w:cs="Times New Roman"/>
                <w:b/>
                <w:color w:val="000000" w:themeColor="text1"/>
                <w:kern w:val="0"/>
                <w:szCs w:val="21"/>
                <w:lang w:val="en-US" w:eastAsia="zh-CN"/>
                <w14:textFill>
                  <w14:solidFill>
                    <w14:schemeClr w14:val="tx1"/>
                  </w14:solidFill>
                </w14:textFill>
              </w:rPr>
              <w:t>本项目土石方平衡一览表  单位：m</w:t>
            </w:r>
            <w:r>
              <w:rPr>
                <w:rFonts w:hint="eastAsia" w:ascii="Times New Roman" w:hAnsi="Times New Roman" w:eastAsia="仿宋" w:cs="Times New Roman"/>
                <w:b/>
                <w:color w:val="000000" w:themeColor="text1"/>
                <w:kern w:val="0"/>
                <w:szCs w:val="21"/>
                <w:vertAlign w:val="superscript"/>
                <w:lang w:val="en-US" w:eastAsia="zh-CN"/>
                <w14:textFill>
                  <w14:solidFill>
                    <w14:schemeClr w14:val="tx1"/>
                  </w14:solidFill>
                </w14:textFill>
              </w:rPr>
              <w:t>3</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5"/>
              <w:gridCol w:w="1907"/>
              <w:gridCol w:w="1453"/>
              <w:gridCol w:w="1455"/>
              <w:gridCol w:w="1457"/>
            </w:tblGrid>
            <w:tr w14:paraId="139AD2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98" w:type="dxa"/>
                  <w:vMerge w:val="restart"/>
                  <w:noWrap w:val="0"/>
                  <w:vAlign w:val="center"/>
                </w:tcPr>
                <w:p w14:paraId="18076F7B">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序号</w:t>
                  </w:r>
                </w:p>
              </w:tc>
              <w:tc>
                <w:tcPr>
                  <w:tcW w:w="953" w:type="dxa"/>
                  <w:vMerge w:val="restart"/>
                  <w:noWrap w:val="0"/>
                  <w:vAlign w:val="center"/>
                </w:tcPr>
                <w:p w14:paraId="51347CC0">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区域</w:t>
                  </w:r>
                </w:p>
              </w:tc>
              <w:tc>
                <w:tcPr>
                  <w:tcW w:w="726" w:type="dxa"/>
                  <w:vMerge w:val="restart"/>
                  <w:noWrap w:val="0"/>
                  <w:vAlign w:val="center"/>
                </w:tcPr>
                <w:p w14:paraId="48BD4AB7">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挖方</w:t>
                  </w:r>
                </w:p>
              </w:tc>
              <w:tc>
                <w:tcPr>
                  <w:tcW w:w="727" w:type="dxa"/>
                  <w:vMerge w:val="restart"/>
                  <w:noWrap w:val="0"/>
                  <w:vAlign w:val="center"/>
                </w:tcPr>
                <w:p w14:paraId="179BFF9E">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填方</w:t>
                  </w:r>
                </w:p>
              </w:tc>
              <w:tc>
                <w:tcPr>
                  <w:tcW w:w="728" w:type="dxa"/>
                  <w:vMerge w:val="restart"/>
                  <w:noWrap w:val="0"/>
                  <w:vAlign w:val="center"/>
                </w:tcPr>
                <w:p w14:paraId="69E94CBE">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弃方</w:t>
                  </w:r>
                </w:p>
              </w:tc>
            </w:tr>
            <w:tr w14:paraId="14B287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98" w:type="dxa"/>
                  <w:vMerge w:val="continue"/>
                  <w:noWrap w:val="0"/>
                  <w:vAlign w:val="center"/>
                </w:tcPr>
                <w:p w14:paraId="4A6BB1F6">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14:textFill>
                        <w14:solidFill>
                          <w14:schemeClr w14:val="tx1"/>
                        </w14:solidFill>
                      </w14:textFill>
                    </w:rPr>
                  </w:pPr>
                </w:p>
              </w:tc>
              <w:tc>
                <w:tcPr>
                  <w:tcW w:w="953" w:type="dxa"/>
                  <w:vMerge w:val="continue"/>
                  <w:noWrap w:val="0"/>
                  <w:vAlign w:val="center"/>
                </w:tcPr>
                <w:p w14:paraId="0B17D376">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14:textFill>
                        <w14:solidFill>
                          <w14:schemeClr w14:val="tx1"/>
                        </w14:solidFill>
                      </w14:textFill>
                    </w:rPr>
                  </w:pPr>
                </w:p>
              </w:tc>
              <w:tc>
                <w:tcPr>
                  <w:tcW w:w="726" w:type="dxa"/>
                  <w:vMerge w:val="continue"/>
                  <w:noWrap w:val="0"/>
                  <w:vAlign w:val="center"/>
                </w:tcPr>
                <w:p w14:paraId="32828EBC">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14:textFill>
                        <w14:solidFill>
                          <w14:schemeClr w14:val="tx1"/>
                        </w14:solidFill>
                      </w14:textFill>
                    </w:rPr>
                  </w:pPr>
                </w:p>
              </w:tc>
              <w:tc>
                <w:tcPr>
                  <w:tcW w:w="727" w:type="dxa"/>
                  <w:vMerge w:val="continue"/>
                  <w:noWrap w:val="0"/>
                  <w:vAlign w:val="center"/>
                </w:tcPr>
                <w:p w14:paraId="552E0B1A">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14:textFill>
                        <w14:solidFill>
                          <w14:schemeClr w14:val="tx1"/>
                        </w14:solidFill>
                      </w14:textFill>
                    </w:rPr>
                  </w:pPr>
                </w:p>
              </w:tc>
              <w:tc>
                <w:tcPr>
                  <w:tcW w:w="728" w:type="dxa"/>
                  <w:vMerge w:val="continue"/>
                  <w:noWrap w:val="0"/>
                  <w:vAlign w:val="center"/>
                </w:tcPr>
                <w:p w14:paraId="725282EF">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14:textFill>
                        <w14:solidFill>
                          <w14:schemeClr w14:val="tx1"/>
                        </w14:solidFill>
                      </w14:textFill>
                    </w:rPr>
                  </w:pPr>
                </w:p>
              </w:tc>
            </w:tr>
            <w:tr w14:paraId="2465D3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98" w:type="dxa"/>
                  <w:noWrap w:val="0"/>
                  <w:vAlign w:val="center"/>
                </w:tcPr>
                <w:p w14:paraId="42F7EE9C">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1</w:t>
                  </w:r>
                </w:p>
              </w:tc>
              <w:tc>
                <w:tcPr>
                  <w:tcW w:w="953" w:type="dxa"/>
                  <w:noWrap w:val="0"/>
                  <w:vAlign w:val="center"/>
                </w:tcPr>
                <w:p w14:paraId="0A0475C9">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排土场挡土墙及截排水设施</w:t>
                  </w:r>
                </w:p>
              </w:tc>
              <w:tc>
                <w:tcPr>
                  <w:tcW w:w="726" w:type="dxa"/>
                  <w:noWrap w:val="0"/>
                  <w:vAlign w:val="center"/>
                </w:tcPr>
                <w:p w14:paraId="7DE6E9ED">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501</w:t>
                  </w:r>
                </w:p>
              </w:tc>
              <w:tc>
                <w:tcPr>
                  <w:tcW w:w="727" w:type="dxa"/>
                  <w:noWrap w:val="0"/>
                  <w:vAlign w:val="center"/>
                </w:tcPr>
                <w:p w14:paraId="399E42B4">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501</w:t>
                  </w:r>
                </w:p>
              </w:tc>
              <w:tc>
                <w:tcPr>
                  <w:tcW w:w="728" w:type="dxa"/>
                  <w:noWrap w:val="0"/>
                  <w:vAlign w:val="center"/>
                </w:tcPr>
                <w:p w14:paraId="32DEF87E">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0</w:t>
                  </w:r>
                </w:p>
              </w:tc>
            </w:tr>
            <w:tr w14:paraId="4A6F85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98" w:type="dxa"/>
                  <w:noWrap w:val="0"/>
                  <w:vAlign w:val="center"/>
                </w:tcPr>
                <w:p w14:paraId="26228EAE">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2</w:t>
                  </w:r>
                </w:p>
              </w:tc>
              <w:tc>
                <w:tcPr>
                  <w:tcW w:w="953" w:type="dxa"/>
                  <w:noWrap w:val="0"/>
                  <w:vAlign w:val="center"/>
                </w:tcPr>
                <w:p w14:paraId="41C520F4">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破碎场建筑物</w:t>
                  </w:r>
                </w:p>
              </w:tc>
              <w:tc>
                <w:tcPr>
                  <w:tcW w:w="726" w:type="dxa"/>
                  <w:noWrap w:val="0"/>
                  <w:vAlign w:val="center"/>
                </w:tcPr>
                <w:p w14:paraId="56BD4933">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220</w:t>
                  </w:r>
                </w:p>
              </w:tc>
              <w:tc>
                <w:tcPr>
                  <w:tcW w:w="727" w:type="dxa"/>
                  <w:noWrap w:val="0"/>
                  <w:vAlign w:val="center"/>
                </w:tcPr>
                <w:p w14:paraId="20670973">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220</w:t>
                  </w:r>
                </w:p>
              </w:tc>
              <w:tc>
                <w:tcPr>
                  <w:tcW w:w="728" w:type="dxa"/>
                  <w:noWrap w:val="0"/>
                  <w:vAlign w:val="center"/>
                </w:tcPr>
                <w:p w14:paraId="17A36EC6">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0</w:t>
                  </w:r>
                </w:p>
              </w:tc>
            </w:tr>
            <w:tr w14:paraId="391B7B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51" w:type="dxa"/>
                  <w:gridSpan w:val="2"/>
                  <w:noWrap w:val="0"/>
                  <w:vAlign w:val="center"/>
                </w:tcPr>
                <w:p w14:paraId="16D7C78C">
                  <w:pPr>
                    <w:widowControl/>
                    <w:tabs>
                      <w:tab w:val="left" w:pos="900"/>
                    </w:tabs>
                    <w:adjustRightInd w:val="0"/>
                    <w:snapToGrid w:val="0"/>
                    <w:jc w:val="cente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合计</w:t>
                  </w:r>
                </w:p>
              </w:tc>
              <w:tc>
                <w:tcPr>
                  <w:tcW w:w="726" w:type="dxa"/>
                  <w:noWrap w:val="0"/>
                  <w:vAlign w:val="center"/>
                </w:tcPr>
                <w:p w14:paraId="772BDC0C">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721</w:t>
                  </w:r>
                </w:p>
              </w:tc>
              <w:tc>
                <w:tcPr>
                  <w:tcW w:w="727" w:type="dxa"/>
                  <w:noWrap w:val="0"/>
                  <w:vAlign w:val="center"/>
                </w:tcPr>
                <w:p w14:paraId="5E22CA08">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721</w:t>
                  </w:r>
                </w:p>
              </w:tc>
              <w:tc>
                <w:tcPr>
                  <w:tcW w:w="728" w:type="dxa"/>
                  <w:noWrap w:val="0"/>
                  <w:vAlign w:val="center"/>
                </w:tcPr>
                <w:p w14:paraId="23EAFEB8">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Cs w:val="21"/>
                      <w:highlight w:val="none"/>
                      <w:lang w:val="en-US" w:eastAsia="zh-CN"/>
                      <w14:textFill>
                        <w14:solidFill>
                          <w14:schemeClr w14:val="tx1"/>
                        </w14:solidFill>
                      </w14:textFill>
                    </w:rPr>
                    <w:t>0</w:t>
                  </w:r>
                </w:p>
              </w:tc>
            </w:tr>
          </w:tbl>
          <w:p w14:paraId="70EA4B72">
            <w:pPr>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hAnsi="Times New Roman" w:eastAsia="仿宋" w:cs="Times New Roman"/>
                <w:b/>
                <w:color w:val="000000" w:themeColor="text1"/>
                <w:kern w:val="0"/>
                <w:szCs w:val="21"/>
                <w14:textFill>
                  <w14:solidFill>
                    <w14:schemeClr w14:val="tx1"/>
                  </w14:solidFill>
                </w14:textFill>
              </w:rPr>
            </w:pPr>
            <w:r>
              <w:rPr>
                <w:rFonts w:ascii="Times New Roman" w:hAnsi="Times New Roman" w:eastAsia="仿宋" w:cs="Times New Roman"/>
                <w:b/>
                <w:color w:val="000000" w:themeColor="text1"/>
                <w:kern w:val="0"/>
                <w:szCs w:val="21"/>
                <w14:textFill>
                  <w14:solidFill>
                    <w14:schemeClr w14:val="tx1"/>
                  </w14:solidFill>
                </w14:textFill>
              </w:rPr>
              <w:object>
                <v:shape id="_x0000_i1029" o:spt="75" type="#_x0000_t75" style="height:129.55pt;width:363.25pt;" o:ole="t" filled="f" o:preferrelative="t" stroked="f" coordsize="21600,21600">
                  <v:path/>
                  <v:fill on="f" focussize="0,0"/>
                  <v:stroke on="f"/>
                  <v:imagedata r:id="rId16" o:title=""/>
                  <o:lock v:ext="edit" aspectratio="f"/>
                  <w10:wrap type="none"/>
                  <w10:anchorlock/>
                </v:shape>
                <o:OLEObject Type="Embed" ProgID="Visio.Drawing.11" ShapeID="_x0000_i1029" DrawAspect="Content" ObjectID="_1468075729" r:id="rId15">
                  <o:LockedField>false</o:LockedField>
                </o:OLEObject>
              </w:object>
            </w:r>
          </w:p>
          <w:p w14:paraId="259235A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仿宋"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仿宋" w:cs="Times New Roman"/>
                <w:b/>
                <w:bCs/>
                <w:color w:val="000000" w:themeColor="text1"/>
                <w:sz w:val="24"/>
                <w:szCs w:val="24"/>
                <w:lang w:val="en-US" w:eastAsia="zh-CN"/>
                <w14:textFill>
                  <w14:solidFill>
                    <w14:schemeClr w14:val="tx1"/>
                  </w14:solidFill>
                </w14:textFill>
              </w:rPr>
              <w:t>图</w:t>
            </w:r>
            <w:r>
              <w:rPr>
                <w:rFonts w:hint="eastAsia" w:eastAsia="仿宋" w:cs="Times New Roman"/>
                <w:b/>
                <w:bCs/>
                <w:color w:val="000000" w:themeColor="text1"/>
                <w:sz w:val="24"/>
                <w:szCs w:val="24"/>
                <w:lang w:val="en-US" w:eastAsia="zh-CN"/>
                <w14:textFill>
                  <w14:solidFill>
                    <w14:schemeClr w14:val="tx1"/>
                  </w14:solidFill>
                </w14:textFill>
              </w:rPr>
              <w:t>5</w:t>
            </w:r>
            <w:r>
              <w:rPr>
                <w:rFonts w:hint="default" w:ascii="Times New Roman" w:hAnsi="Times New Roman" w:eastAsia="仿宋" w:cs="Times New Roman"/>
                <w:b/>
                <w:bCs/>
                <w:color w:val="000000" w:themeColor="text1"/>
                <w:sz w:val="24"/>
                <w:szCs w:val="24"/>
                <w:lang w:val="en-US" w:eastAsia="zh-CN"/>
                <w14:textFill>
                  <w14:solidFill>
                    <w14:schemeClr w14:val="tx1"/>
                  </w14:solidFill>
                </w14:textFill>
              </w:rPr>
              <w:t xml:space="preserve"> 土石方平衡图</w:t>
            </w:r>
            <w:r>
              <w:rPr>
                <w:rFonts w:hint="eastAsia" w:eastAsia="仿宋" w:cs="Times New Roman"/>
                <w:b/>
                <w:bCs/>
                <w:color w:val="000000" w:themeColor="text1"/>
                <w:sz w:val="24"/>
                <w:szCs w:val="24"/>
                <w:lang w:val="en-US" w:eastAsia="zh-CN"/>
                <w14:textFill>
                  <w14:solidFill>
                    <w14:schemeClr w14:val="tx1"/>
                  </w14:solidFill>
                </w14:textFill>
              </w:rPr>
              <w:t xml:space="preserve">  单位：m</w:t>
            </w:r>
            <w:r>
              <w:rPr>
                <w:rFonts w:hint="eastAsia" w:eastAsia="仿宋" w:cs="Times New Roman"/>
                <w:b/>
                <w:bCs/>
                <w:color w:val="000000" w:themeColor="text1"/>
                <w:sz w:val="24"/>
                <w:szCs w:val="24"/>
                <w:vertAlign w:val="superscript"/>
                <w:lang w:val="en-US" w:eastAsia="zh-CN"/>
                <w14:textFill>
                  <w14:solidFill>
                    <w14:schemeClr w14:val="tx1"/>
                  </w14:solidFill>
                </w14:textFill>
              </w:rPr>
              <w:t>3</w:t>
            </w:r>
          </w:p>
          <w:p w14:paraId="35CB13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仿宋"/>
                <w:color w:val="000000"/>
                <w:sz w:val="24"/>
              </w:rPr>
            </w:pPr>
            <w:r>
              <w:rPr>
                <w:rFonts w:hint="eastAsia" w:ascii="宋体" w:hAnsi="宋体" w:cs="宋体"/>
                <w:color w:val="000000"/>
                <w:sz w:val="24"/>
              </w:rPr>
              <w:t>⑵</w:t>
            </w:r>
            <w:r>
              <w:rPr>
                <w:rFonts w:eastAsia="仿宋"/>
                <w:color w:val="000000"/>
                <w:sz w:val="24"/>
              </w:rPr>
              <w:t>建筑垃圾</w:t>
            </w:r>
          </w:p>
          <w:p w14:paraId="6B81F5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仿宋"/>
                <w:color w:val="FF0000"/>
                <w:sz w:val="24"/>
              </w:rPr>
            </w:pPr>
            <w:r>
              <w:rPr>
                <w:rFonts w:eastAsia="仿宋"/>
                <w:color w:val="FF0000"/>
                <w:sz w:val="24"/>
              </w:rPr>
              <w:t>本项目施工过程中产生碎砖、废钢筋</w:t>
            </w:r>
            <w:r>
              <w:rPr>
                <w:rFonts w:hint="eastAsia" w:eastAsia="仿宋"/>
                <w:color w:val="FF0000"/>
                <w:sz w:val="24"/>
                <w:lang w:val="en-US" w:eastAsia="zh-CN"/>
              </w:rPr>
              <w:t>及其他建筑垃圾</w:t>
            </w:r>
            <w:r>
              <w:rPr>
                <w:rFonts w:eastAsia="仿宋"/>
                <w:color w:val="FF0000"/>
                <w:sz w:val="24"/>
              </w:rPr>
              <w:t>等，</w:t>
            </w:r>
            <w:r>
              <w:rPr>
                <w:rFonts w:hint="eastAsia" w:eastAsia="仿宋"/>
                <w:color w:val="FF0000"/>
                <w:sz w:val="24"/>
                <w:lang w:val="en-US" w:eastAsia="zh-CN"/>
              </w:rPr>
              <w:t>建筑物拆除产生的建筑垃圾720m</w:t>
            </w:r>
            <w:r>
              <w:rPr>
                <w:rFonts w:hint="eastAsia" w:eastAsia="仿宋"/>
                <w:color w:val="FF0000"/>
                <w:sz w:val="24"/>
                <w:vertAlign w:val="superscript"/>
                <w:lang w:val="en-US" w:eastAsia="zh-CN"/>
              </w:rPr>
              <w:t>3</w:t>
            </w:r>
            <w:r>
              <w:rPr>
                <w:rFonts w:hint="eastAsia" w:eastAsia="仿宋"/>
                <w:color w:val="FF0000"/>
                <w:sz w:val="24"/>
                <w:lang w:val="en-US" w:eastAsia="zh-CN"/>
              </w:rPr>
              <w:t>，破碎场和生活办公区修建产生的</w:t>
            </w:r>
            <w:r>
              <w:rPr>
                <w:rFonts w:eastAsia="仿宋"/>
                <w:color w:val="FF0000"/>
                <w:sz w:val="24"/>
              </w:rPr>
              <w:t>建筑垃圾产生量约为</w:t>
            </w:r>
            <w:r>
              <w:rPr>
                <w:rFonts w:hint="eastAsia" w:eastAsia="仿宋"/>
                <w:color w:val="FF0000"/>
                <w:sz w:val="24"/>
                <w:lang w:val="en-US" w:eastAsia="zh-CN"/>
              </w:rPr>
              <w:t>80m</w:t>
            </w:r>
            <w:r>
              <w:rPr>
                <w:rFonts w:hint="eastAsia" w:eastAsia="仿宋"/>
                <w:color w:val="FF0000"/>
                <w:sz w:val="24"/>
                <w:vertAlign w:val="superscript"/>
                <w:lang w:val="en-US" w:eastAsia="zh-CN"/>
              </w:rPr>
              <w:t>3</w:t>
            </w:r>
            <w:r>
              <w:rPr>
                <w:rFonts w:hint="eastAsia" w:eastAsia="仿宋"/>
                <w:color w:val="FF0000"/>
                <w:sz w:val="24"/>
                <w:lang w:eastAsia="zh-CN"/>
              </w:rPr>
              <w:t>，</w:t>
            </w:r>
            <w:r>
              <w:rPr>
                <w:rFonts w:eastAsia="仿宋"/>
                <w:color w:val="FF0000"/>
                <w:sz w:val="24"/>
              </w:rPr>
              <w:t>经集中收集后运至当地建筑垃圾收集点进行处理。</w:t>
            </w:r>
          </w:p>
          <w:p w14:paraId="1753955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仿宋"/>
                <w:color w:val="000000"/>
                <w:sz w:val="24"/>
              </w:rPr>
            </w:pPr>
            <w:r>
              <w:rPr>
                <w:rFonts w:hint="eastAsia" w:ascii="宋体" w:hAnsi="宋体" w:cs="宋体"/>
                <w:color w:val="000000"/>
                <w:sz w:val="24"/>
              </w:rPr>
              <w:t>⑶</w:t>
            </w:r>
            <w:r>
              <w:rPr>
                <w:rFonts w:eastAsia="仿宋"/>
                <w:color w:val="000000"/>
                <w:sz w:val="24"/>
              </w:rPr>
              <w:t>生活垃圾</w:t>
            </w:r>
          </w:p>
          <w:p w14:paraId="7DDE89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eastAsia="仿宋"/>
                <w:color w:val="000000"/>
                <w:sz w:val="24"/>
                <w:lang w:val="en-US" w:eastAsia="zh-CN"/>
              </w:rPr>
            </w:pPr>
            <w:r>
              <w:rPr>
                <w:rFonts w:eastAsia="仿宋"/>
                <w:color w:val="000000"/>
                <w:sz w:val="24"/>
              </w:rPr>
              <w:t>施工期人员数约为</w:t>
            </w:r>
            <w:r>
              <w:rPr>
                <w:rFonts w:hint="eastAsia" w:eastAsia="仿宋"/>
                <w:color w:val="000000"/>
                <w:sz w:val="24"/>
                <w:lang w:val="en-US" w:eastAsia="zh-CN"/>
              </w:rPr>
              <w:t>20</w:t>
            </w:r>
            <w:r>
              <w:rPr>
                <w:rFonts w:eastAsia="仿宋"/>
                <w:color w:val="000000"/>
                <w:sz w:val="24"/>
              </w:rPr>
              <w:t>人，垃圾产生量按每人每天0.5kg计，则项目施工期生活垃圾产生量约</w:t>
            </w:r>
            <w:r>
              <w:rPr>
                <w:rFonts w:hint="eastAsia" w:eastAsia="仿宋"/>
                <w:color w:val="000000"/>
                <w:sz w:val="24"/>
                <w:lang w:val="en-US" w:eastAsia="zh-CN"/>
              </w:rPr>
              <w:t>0.01</w:t>
            </w:r>
            <w:r>
              <w:rPr>
                <w:rFonts w:eastAsia="仿宋"/>
                <w:color w:val="000000"/>
                <w:sz w:val="24"/>
              </w:rPr>
              <w:t>t/d，垃圾桶收集后定期运至当地垃圾收集点进行处理。</w:t>
            </w:r>
          </w:p>
        </w:tc>
      </w:tr>
      <w:tr w14:paraId="2B12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0CC7B78C">
            <w:pPr>
              <w:bidi w:val="0"/>
              <w:spacing w:line="240" w:lineRule="auto"/>
              <w:jc w:val="center"/>
              <w:rPr>
                <w:rFonts w:hint="default" w:ascii="Times New Roman" w:hAnsi="Times New Roman" w:eastAsia="仿宋" w:cs="Times New Roman"/>
                <w:color w:val="auto"/>
                <w:spacing w:val="0"/>
                <w:sz w:val="24"/>
                <w:highlight w:val="none"/>
                <w:lang w:val="en-US" w:eastAsia="zh-CN"/>
              </w:rPr>
            </w:pPr>
            <w:r>
              <w:rPr>
                <w:rFonts w:hint="default" w:ascii="Times New Roman" w:hAnsi="Times New Roman" w:eastAsia="仿宋" w:cs="Times New Roman"/>
                <w:color w:val="auto"/>
                <w:spacing w:val="0"/>
                <w:sz w:val="24"/>
                <w:highlight w:val="none"/>
                <w:lang w:val="en-US" w:eastAsia="zh-CN"/>
              </w:rPr>
              <w:t>运营期生态环境影响分析</w:t>
            </w:r>
          </w:p>
        </w:tc>
        <w:tc>
          <w:tcPr>
            <w:tcW w:w="7483" w:type="dxa"/>
          </w:tcPr>
          <w:p w14:paraId="3E6DB072">
            <w:pPr>
              <w:keepNext/>
              <w:keepLines/>
              <w:pageBreakBefore w:val="0"/>
              <w:widowControl w:val="0"/>
              <w:kinsoku/>
              <w:wordWrap/>
              <w:overflowPunct/>
              <w:topLinePunct/>
              <w:autoSpaceDE/>
              <w:autoSpaceDN w:val="0"/>
              <w:bidi w:val="0"/>
              <w:adjustRightInd w:val="0"/>
              <w:snapToGrid w:val="0"/>
              <w:spacing w:line="360" w:lineRule="auto"/>
              <w:ind w:firstLine="482" w:firstLineChars="200"/>
              <w:jc w:val="both"/>
              <w:textAlignment w:val="center"/>
              <w:outlineLvl w:val="2"/>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pPr>
            <w:r>
              <w:rPr>
                <w:rFonts w:hint="eastAsia"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1.</w:t>
            </w:r>
            <w:r>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生态环境影响分析</w:t>
            </w:r>
          </w:p>
          <w:p w14:paraId="29CF8F4C">
            <w:pPr>
              <w:keepNext w:val="0"/>
              <w:keepLines w:val="0"/>
              <w:pageBreakBefore w:val="0"/>
              <w:widowControl/>
              <w:suppressLineNumbers w:val="0"/>
              <w:kinsoku/>
              <w:wordWrap/>
              <w:overflowPunct/>
              <w:autoSpaceDE/>
              <w:bidi w:val="0"/>
              <w:adjustRightInd w:val="0"/>
              <w:snapToGrid w:val="0"/>
              <w:spacing w:line="360" w:lineRule="auto"/>
              <w:ind w:firstLine="482" w:firstLineChars="200"/>
              <w:jc w:val="both"/>
              <w:rPr>
                <w:rFonts w:hint="default" w:ascii="Times New Roman" w:hAnsi="Times New Roman" w:eastAsia="仿宋" w:cs="Times New Roman"/>
                <w:color w:val="000000" w:themeColor="text1"/>
                <w:highlight w:val="none"/>
                <w14:textFill>
                  <w14:solidFill>
                    <w14:schemeClr w14:val="tx1"/>
                  </w14:solidFill>
                </w14:textFill>
              </w:rPr>
            </w:pPr>
            <w:r>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1.1土地利用影响分析</w:t>
            </w:r>
          </w:p>
          <w:p w14:paraId="40237D58">
            <w:pPr>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pPr>
            <w:r>
              <w:rPr>
                <w:rFonts w:hint="eastAsia"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本项目占地类型主要为采矿用地</w:t>
            </w:r>
            <w:r>
              <w:rPr>
                <w:rFonts w:hint="eastAsia" w:eastAsia="仿宋" w:cs="Times New Roman"/>
                <w:color w:val="000000" w:themeColor="text1"/>
                <w:spacing w:val="0"/>
                <w:kern w:val="0"/>
                <w:position w:val="0"/>
                <w:sz w:val="24"/>
                <w:szCs w:val="24"/>
                <w:highlight w:val="none"/>
                <w:lang w:val="en-US" w:eastAsia="zh-CN" w:bidi="ar"/>
                <w14:textFill>
                  <w14:solidFill>
                    <w14:schemeClr w14:val="tx1"/>
                  </w14:solidFill>
                </w14:textFill>
              </w:rPr>
              <w:t>和裸岩石砾地</w:t>
            </w:r>
            <w:r>
              <w:rPr>
                <w:rFonts w:hint="eastAsia"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，不占用耕地、林地等，</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本项目实施后对土地利用有一定的影响</w:t>
            </w:r>
            <w:r>
              <w:rPr>
                <w:rFonts w:hint="eastAsia"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但本项目服务期满后</w:t>
            </w:r>
            <w:r>
              <w:rPr>
                <w:rFonts w:hint="eastAsia"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随着</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机械设备退场，建设单位按照《临泽县金源矿业有限责任公司平川镇羊圈湾冶金用石英岩矿</w:t>
            </w:r>
            <w:r>
              <w:rPr>
                <w:rFonts w:hint="eastAsia"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开采方案</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与</w:t>
            </w:r>
            <w:r>
              <w:rPr>
                <w:rFonts w:hint="eastAsia"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矿区生态修复</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方案》要求进行环境保护及生态恢复治理，通过土地整治等措施对破坏土地进行生态恢复，在闭矿后的一定时期内，周围植物渐次入侵，开始恢复演替过程，因此，项目建设对土地利用的影响可在一定时期内得到恢复。</w:t>
            </w:r>
          </w:p>
          <w:p w14:paraId="3BBE3C5A">
            <w:pPr>
              <w:keepNext w:val="0"/>
              <w:keepLines w:val="0"/>
              <w:pageBreakBefore w:val="0"/>
              <w:widowControl/>
              <w:suppressLineNumbers w:val="0"/>
              <w:kinsoku/>
              <w:wordWrap/>
              <w:overflowPunct/>
              <w:autoSpaceDE/>
              <w:bidi w:val="0"/>
              <w:adjustRightInd w:val="0"/>
              <w:snapToGrid w:val="0"/>
              <w:spacing w:line="360" w:lineRule="auto"/>
              <w:ind w:firstLine="482" w:firstLineChars="200"/>
              <w:jc w:val="both"/>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1.2对地表植被影响分析</w:t>
            </w:r>
          </w:p>
          <w:p w14:paraId="74FC5F13">
            <w:pPr>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矿山开采过程中主要植被破坏因素有露天开采及道路占压等人为活动。破坏区域主要集中在矿山范围，主要破坏植被的生长，造成植被等生长不良和死亡，从而影响到区域生物多样性和生态系统多样性。</w:t>
            </w:r>
          </w:p>
          <w:p w14:paraId="5A389739">
            <w:pPr>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开采结束后应采取积极的生态恢复措施，确保将工程建设对地表植被的影响降至最低。此外，随着本项目生态恢复工程的实施，扰动范围内被破坏的植被将得到逐步恢复，使区域内植被状况向着良好方向发展，如盖度、种类和生产量等均会大幅度增加，因此对植被影响小。</w:t>
            </w:r>
          </w:p>
          <w:p w14:paraId="1DE6A90F">
            <w:pPr>
              <w:keepNext w:val="0"/>
              <w:keepLines w:val="0"/>
              <w:pageBreakBefore w:val="0"/>
              <w:widowControl/>
              <w:suppressLineNumbers w:val="0"/>
              <w:kinsoku/>
              <w:wordWrap/>
              <w:overflowPunct/>
              <w:autoSpaceDE/>
              <w:bidi w:val="0"/>
              <w:adjustRightInd w:val="0"/>
              <w:snapToGrid w:val="0"/>
              <w:spacing w:line="360" w:lineRule="auto"/>
              <w:ind w:firstLine="482" w:firstLineChars="200"/>
              <w:jc w:val="both"/>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1.3对野生动物的影响分析</w:t>
            </w:r>
          </w:p>
          <w:p w14:paraId="55FBE55B">
            <w:pPr>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根据现场调查，由于人为活动较为频繁，评价区无大型野生动物分布，仅有鸟雀等小型禽类活动和田鼠等小型啮齿类动物。工程实施过程中会对采矿区地表造成扰动，且设备运行过程中会产生一定的噪声，会使扰动区野生动物在一定时期内活动数量有所减少，而陆生动物迁移能力较强，部分陆生动物将会迁移到</w:t>
            </w:r>
            <w:r>
              <w:rPr>
                <w:rFonts w:hint="eastAsia" w:eastAsia="仿宋" w:cs="Times New Roman"/>
                <w:color w:val="000000" w:themeColor="text1"/>
                <w:spacing w:val="0"/>
                <w:kern w:val="0"/>
                <w:position w:val="0"/>
                <w:sz w:val="24"/>
                <w:szCs w:val="24"/>
                <w:highlight w:val="none"/>
                <w:lang w:val="en-US" w:eastAsia="zh-CN" w:bidi="ar"/>
                <w14:textFill>
                  <w14:solidFill>
                    <w14:schemeClr w14:val="tx1"/>
                  </w14:solidFill>
                </w14:textFill>
              </w:rPr>
              <w:t>邻近</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区域，不会造成数量的减少</w:t>
            </w:r>
            <w:r>
              <w:rPr>
                <w:rFonts w:hint="eastAsia" w:eastAsia="仿宋" w:cs="Times New Roman"/>
                <w:color w:val="000000" w:themeColor="text1"/>
                <w:spacing w:val="0"/>
                <w:kern w:val="0"/>
                <w:position w:val="0"/>
                <w:sz w:val="24"/>
                <w:szCs w:val="24"/>
                <w:highlight w:val="none"/>
                <w:lang w:val="en-US" w:eastAsia="zh-CN" w:bidi="ar"/>
                <w14:textFill>
                  <w14:solidFill>
                    <w14:schemeClr w14:val="tx1"/>
                  </w14:solidFill>
                </w14:textFill>
              </w:rPr>
              <w:t>。</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本</w:t>
            </w:r>
            <w:r>
              <w:rPr>
                <w:rFonts w:hint="eastAsia" w:eastAsia="仿宋" w:cs="Times New Roman"/>
                <w:color w:val="000000" w:themeColor="text1"/>
                <w:spacing w:val="0"/>
                <w:kern w:val="0"/>
                <w:position w:val="0"/>
                <w:sz w:val="24"/>
                <w:szCs w:val="24"/>
                <w:highlight w:val="none"/>
                <w:lang w:val="en-US" w:eastAsia="zh-CN" w:bidi="ar"/>
                <w14:textFill>
                  <w14:solidFill>
                    <w14:schemeClr w14:val="tx1"/>
                  </w14:solidFill>
                </w14:textFill>
              </w:rPr>
              <w:t>项目</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服务期满后所有机械设备均撤出场地，将恢复到开采之前状态，对动物的影响随之消失。因此，本工程的实施对评价区野生动物的影响很小。</w:t>
            </w:r>
          </w:p>
          <w:p w14:paraId="6A621573">
            <w:pPr>
              <w:pageBreakBefore w:val="0"/>
              <w:widowControl w:val="0"/>
              <w:kinsoku/>
              <w:wordWrap/>
              <w:overflowPunct/>
              <w:autoSpaceDE/>
              <w:bidi w:val="0"/>
              <w:adjustRightInd w:val="0"/>
              <w:snapToGrid w:val="0"/>
              <w:spacing w:line="360" w:lineRule="auto"/>
              <w:ind w:firstLine="482" w:firstLineChars="200"/>
              <w:jc w:val="both"/>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1.4对生态系统的影响分析</w:t>
            </w:r>
          </w:p>
          <w:p w14:paraId="7101A07B">
            <w:pPr>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本项目对区域生态系统的扰动，将会使区域生态系统的结构和功能紊乱，植被及土壤受到破坏、扰动</w:t>
            </w:r>
            <w:r>
              <w:rPr>
                <w:rFonts w:hint="eastAsia" w:eastAsia="仿宋" w:cs="Times New Roman"/>
                <w:color w:val="000000" w:themeColor="text1"/>
                <w:spacing w:val="0"/>
                <w:kern w:val="0"/>
                <w:position w:val="0"/>
                <w:sz w:val="24"/>
                <w:szCs w:val="24"/>
                <w:highlight w:val="none"/>
                <w:lang w:val="en-US" w:eastAsia="zh-CN" w:bidi="ar"/>
                <w14:textFill>
                  <w14:solidFill>
                    <w14:schemeClr w14:val="tx1"/>
                  </w14:solidFill>
                </w14:textFill>
              </w:rPr>
              <w:t>，</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不可避免</w:t>
            </w:r>
            <w:r>
              <w:rPr>
                <w:rFonts w:hint="eastAsia"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地</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破坏区域生态环境，在一定程度上使区域局部生境破碎化。开采活动对区域的影响局限在采矿区局部范围内，对土壤、植被的破坏范围有限</w:t>
            </w:r>
            <w:r>
              <w:rPr>
                <w:rFonts w:hint="eastAsia" w:eastAsia="仿宋" w:cs="Times New Roman"/>
                <w:color w:val="000000" w:themeColor="text1"/>
                <w:spacing w:val="0"/>
                <w:kern w:val="0"/>
                <w:position w:val="0"/>
                <w:sz w:val="24"/>
                <w:szCs w:val="24"/>
                <w:highlight w:val="none"/>
                <w:lang w:val="en-US" w:eastAsia="zh-CN" w:bidi="ar"/>
                <w14:textFill>
                  <w14:solidFill>
                    <w14:schemeClr w14:val="tx1"/>
                  </w14:solidFill>
                </w14:textFill>
              </w:rPr>
              <w:t>，不会对区域生物量造成大量损失，故本项目运营期对生态系统影响较小</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w:t>
            </w:r>
          </w:p>
          <w:p w14:paraId="2FAACCF0">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pPr>
            <w:r>
              <w:rPr>
                <w:rFonts w:hint="eastAsia"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2.</w:t>
            </w:r>
            <w:r>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环境污染影响分析</w:t>
            </w:r>
          </w:p>
          <w:p w14:paraId="09DD5DA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2.1废气</w:t>
            </w:r>
          </w:p>
          <w:p w14:paraId="2452AF58">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2.1.1废气污染源分析</w:t>
            </w:r>
          </w:p>
          <w:p w14:paraId="509508E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eastAsia" w:eastAsia="仿宋" w:cs="Times New Roman"/>
                <w:color w:val="000000" w:themeColor="text1"/>
                <w:sz w:val="24"/>
                <w:highlight w:val="none"/>
                <w:lang w:val="en-US" w:eastAsia="zh-CN"/>
                <w14:textFill>
                  <w14:solidFill>
                    <w14:schemeClr w14:val="tx1"/>
                  </w14:solidFill>
                </w14:textFill>
              </w:rPr>
              <w:t>本</w:t>
            </w:r>
            <w:r>
              <w:rPr>
                <w:rFonts w:hint="default" w:ascii="Times New Roman" w:hAnsi="Times New Roman" w:eastAsia="仿宋" w:cs="Times New Roman"/>
                <w:color w:val="000000" w:themeColor="text1"/>
                <w:sz w:val="24"/>
                <w:highlight w:val="none"/>
                <w14:textFill>
                  <w14:solidFill>
                    <w14:schemeClr w14:val="tx1"/>
                  </w14:solidFill>
                </w14:textFill>
              </w:rPr>
              <w:t>项目</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矿山开采过程中对开采的</w:t>
            </w:r>
            <w:r>
              <w:rPr>
                <w:rFonts w:hint="eastAsia" w:eastAsia="仿宋" w:cs="Times New Roman"/>
                <w:color w:val="000000" w:themeColor="text1"/>
                <w:sz w:val="24"/>
                <w:highlight w:val="none"/>
                <w:lang w:val="en-US" w:eastAsia="zh-CN"/>
                <w14:textFill>
                  <w14:solidFill>
                    <w14:schemeClr w14:val="tx1"/>
                  </w14:solidFill>
                </w14:textFill>
              </w:rPr>
              <w:t>石料</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及时拉</w:t>
            </w:r>
            <w:r>
              <w:rPr>
                <w:rFonts w:hint="eastAsia" w:eastAsia="仿宋" w:cs="Times New Roman"/>
                <w:color w:val="000000" w:themeColor="text1"/>
                <w:sz w:val="24"/>
                <w:highlight w:val="none"/>
                <w:lang w:val="en-US" w:eastAsia="zh-CN"/>
                <w14:textFill>
                  <w14:solidFill>
                    <w14:schemeClr w14:val="tx1"/>
                  </w14:solidFill>
                </w14:textFill>
              </w:rPr>
              <w:t>运至破碎场进行加工生产</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，不在矿区</w:t>
            </w:r>
            <w:r>
              <w:rPr>
                <w:rFonts w:hint="eastAsia" w:eastAsia="仿宋" w:cs="Times New Roman"/>
                <w:color w:val="000000" w:themeColor="text1"/>
                <w:sz w:val="24"/>
                <w:highlight w:val="none"/>
                <w:lang w:val="en-US" w:eastAsia="zh-CN"/>
                <w14:textFill>
                  <w14:solidFill>
                    <w14:schemeClr w14:val="tx1"/>
                  </w14:solidFill>
                </w14:textFill>
              </w:rPr>
              <w:t>和破碎场</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设置</w:t>
            </w:r>
            <w:r>
              <w:rPr>
                <w:rFonts w:hint="eastAsia" w:eastAsia="仿宋" w:cs="Times New Roman"/>
                <w:color w:val="000000" w:themeColor="text1"/>
                <w:sz w:val="24"/>
                <w:highlight w:val="none"/>
                <w:lang w:val="en-US" w:eastAsia="zh-CN"/>
                <w14:textFill>
                  <w14:solidFill>
                    <w14:schemeClr w14:val="tx1"/>
                  </w14:solidFill>
                </w14:textFill>
              </w:rPr>
              <w:t>原料</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堆场，因此</w:t>
            </w:r>
            <w:r>
              <w:rPr>
                <w:rFonts w:hint="eastAsia" w:eastAsia="仿宋" w:cs="Times New Roman"/>
                <w:color w:val="000000" w:themeColor="text1"/>
                <w:sz w:val="24"/>
                <w:highlight w:val="none"/>
                <w:lang w:val="en-US" w:eastAsia="zh-CN"/>
                <w14:textFill>
                  <w14:solidFill>
                    <w14:schemeClr w14:val="tx1"/>
                  </w14:solidFill>
                </w14:textFill>
              </w:rPr>
              <w:t>不产生原料堆场粉尘。</w:t>
            </w:r>
          </w:p>
          <w:p w14:paraId="77F06F01">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bCs/>
                <w:color w:val="000000" w:themeColor="text1"/>
                <w:sz w:val="24"/>
                <w:highlight w:val="none"/>
                <w:lang w:eastAsia="zh-CN"/>
                <w14:textFill>
                  <w14:solidFill>
                    <w14:schemeClr w14:val="tx1"/>
                  </w14:solidFill>
                </w14:textFill>
              </w:rPr>
            </w:pPr>
            <w:r>
              <w:rPr>
                <w:rFonts w:hint="default" w:ascii="Times New Roman" w:hAnsi="Times New Roman" w:eastAsia="微软雅黑" w:cs="Times New Roman"/>
                <w:b w:val="0"/>
                <w:bCs/>
                <w:color w:val="000000" w:themeColor="text1"/>
                <w:sz w:val="24"/>
                <w:highlight w:val="none"/>
                <w14:textFill>
                  <w14:solidFill>
                    <w14:schemeClr w14:val="tx1"/>
                  </w14:solidFill>
                </w14:textFill>
              </w:rPr>
              <w:t>⑴</w:t>
            </w:r>
            <w:r>
              <w:rPr>
                <w:rFonts w:hint="default" w:ascii="Times New Roman" w:hAnsi="Times New Roman" w:eastAsia="仿宋" w:cs="Times New Roman"/>
                <w:b w:val="0"/>
                <w:bCs/>
                <w:color w:val="000000" w:themeColor="text1"/>
                <w:sz w:val="24"/>
                <w:highlight w:val="none"/>
                <w14:textFill>
                  <w14:solidFill>
                    <w14:schemeClr w14:val="tx1"/>
                  </w14:solidFill>
                </w14:textFill>
              </w:rPr>
              <w:t>采</w:t>
            </w:r>
            <w:r>
              <w:rPr>
                <w:rFonts w:hint="eastAsia" w:eastAsia="仿宋" w:cs="Times New Roman"/>
                <w:b w:val="0"/>
                <w:bCs/>
                <w:color w:val="000000" w:themeColor="text1"/>
                <w:sz w:val="24"/>
                <w:highlight w:val="none"/>
                <w:lang w:val="en-US" w:eastAsia="zh-CN"/>
                <w14:textFill>
                  <w14:solidFill>
                    <w14:schemeClr w14:val="tx1"/>
                  </w14:solidFill>
                </w14:textFill>
              </w:rPr>
              <w:t>矿区</w:t>
            </w:r>
          </w:p>
          <w:p w14:paraId="6CE0D3E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sz w:val="24"/>
                <w:highlight w:val="none"/>
                <w:lang w:val="en-US" w:eastAsia="zh-CN"/>
              </w:rPr>
            </w:pPr>
            <w:r>
              <w:rPr>
                <w:rFonts w:hint="default" w:ascii="Times New Roman" w:hAnsi="Times New Roman" w:eastAsia="仿宋" w:cs="Times New Roman"/>
                <w:color w:val="FF0000"/>
                <w:sz w:val="24"/>
                <w:highlight w:val="none"/>
              </w:rPr>
              <w:t>①</w:t>
            </w:r>
            <w:r>
              <w:rPr>
                <w:rFonts w:hint="default" w:ascii="Times New Roman" w:hAnsi="Times New Roman" w:eastAsia="仿宋" w:cs="Times New Roman"/>
                <w:color w:val="FF0000"/>
                <w:sz w:val="24"/>
                <w:highlight w:val="none"/>
                <w:lang w:val="en-US" w:eastAsia="zh-CN"/>
              </w:rPr>
              <w:t>剥离</w:t>
            </w:r>
            <w:r>
              <w:rPr>
                <w:rFonts w:hint="eastAsia" w:eastAsia="仿宋" w:cs="Times New Roman"/>
                <w:color w:val="FF0000"/>
                <w:sz w:val="24"/>
                <w:highlight w:val="none"/>
                <w:lang w:val="en-US" w:eastAsia="zh-CN"/>
              </w:rPr>
              <w:t>清表</w:t>
            </w:r>
            <w:r>
              <w:rPr>
                <w:rFonts w:hint="default" w:ascii="Times New Roman" w:hAnsi="Times New Roman" w:eastAsia="仿宋" w:cs="Times New Roman"/>
                <w:color w:val="FF0000"/>
                <w:sz w:val="24"/>
                <w:highlight w:val="none"/>
                <w:lang w:val="en-US" w:eastAsia="zh-CN"/>
              </w:rPr>
              <w:t>粉尘</w:t>
            </w:r>
            <w:r>
              <w:rPr>
                <w:rFonts w:hint="eastAsia" w:ascii="Times New Roman" w:hAnsi="Times New Roman" w:eastAsia="仿宋" w:cs="Times New Roman"/>
                <w:color w:val="FF0000"/>
                <w:sz w:val="24"/>
                <w:highlight w:val="none"/>
                <w:lang w:val="en-US" w:eastAsia="zh-CN"/>
              </w:rPr>
              <w:t>（G1）</w:t>
            </w:r>
          </w:p>
          <w:p w14:paraId="3677C1B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FF0000"/>
                <w:sz w:val="24"/>
                <w:highlight w:val="none"/>
                <w:lang w:val="en-US" w:eastAsia="zh-CN"/>
              </w:rPr>
            </w:pPr>
            <w:r>
              <w:rPr>
                <w:rFonts w:hint="eastAsia" w:ascii="Times New Roman" w:hAnsi="Times New Roman" w:eastAsia="仿宋" w:cs="Times New Roman"/>
                <w:color w:val="FF0000"/>
                <w:sz w:val="24"/>
                <w:highlight w:val="none"/>
                <w:lang w:val="en-US" w:eastAsia="zh-CN"/>
              </w:rPr>
              <w:t>本项目矿体表土覆盖层剥离前首先对矿区表面进行喷雾润湿</w:t>
            </w:r>
            <w:r>
              <w:rPr>
                <w:rFonts w:hint="eastAsia" w:eastAsia="仿宋" w:cs="Times New Roman"/>
                <w:color w:val="FF0000"/>
                <w:sz w:val="24"/>
                <w:highlight w:val="none"/>
                <w:lang w:val="en-US" w:eastAsia="zh-CN"/>
              </w:rPr>
              <w:t>（洒水车）</w:t>
            </w:r>
            <w:r>
              <w:rPr>
                <w:rFonts w:hint="eastAsia" w:ascii="Times New Roman" w:hAnsi="Times New Roman" w:eastAsia="仿宋" w:cs="Times New Roman"/>
                <w:color w:val="FF0000"/>
                <w:sz w:val="24"/>
                <w:highlight w:val="none"/>
                <w:lang w:val="en-US" w:eastAsia="zh-CN"/>
              </w:rPr>
              <w:t>，然后使用挖掘机</w:t>
            </w:r>
            <w:r>
              <w:rPr>
                <w:rFonts w:hint="eastAsia" w:eastAsia="仿宋" w:cs="Times New Roman"/>
                <w:color w:val="FF0000"/>
                <w:sz w:val="24"/>
                <w:highlight w:val="none"/>
                <w:lang w:val="en-US" w:eastAsia="zh-CN"/>
              </w:rPr>
              <w:t>将</w:t>
            </w:r>
            <w:r>
              <w:rPr>
                <w:rFonts w:hint="eastAsia" w:ascii="Times New Roman" w:hAnsi="Times New Roman" w:eastAsia="仿宋" w:cs="Times New Roman"/>
                <w:color w:val="FF0000"/>
                <w:sz w:val="24"/>
                <w:highlight w:val="none"/>
                <w:lang w:val="en-US" w:eastAsia="zh-CN"/>
              </w:rPr>
              <w:t xml:space="preserve">植被表层剥离。在表土剥离过程中会产生一定量的粉尘，粉尘产生浓度及产生量取决于表土剥离物的粒径大小及物料的含水率。 </w:t>
            </w:r>
          </w:p>
          <w:p w14:paraId="32CEBF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FF0000"/>
                <w:sz w:val="24"/>
                <w:highlight w:val="none"/>
                <w:lang w:val="en-US" w:eastAsia="zh-CN"/>
              </w:rPr>
            </w:pPr>
            <w:r>
              <w:rPr>
                <w:rFonts w:hint="eastAsia" w:ascii="Times New Roman" w:hAnsi="Times New Roman" w:eastAsia="仿宋" w:cs="Times New Roman"/>
                <w:color w:val="FF0000"/>
                <w:sz w:val="24"/>
                <w:highlight w:val="none"/>
                <w:lang w:val="en-US" w:eastAsia="zh-CN"/>
              </w:rPr>
              <w:t>本项目矿山开采方式为露天开采，查阅《逸散性工业粉尘控制技术》（中国环境科学出版社，</w:t>
            </w:r>
            <w:r>
              <w:rPr>
                <w:rFonts w:hint="default" w:ascii="Times New Roman" w:hAnsi="Times New Roman" w:eastAsia="仿宋" w:cs="Times New Roman"/>
                <w:color w:val="FF0000"/>
                <w:sz w:val="24"/>
                <w:highlight w:val="none"/>
                <w:lang w:val="en-US" w:eastAsia="zh-CN"/>
              </w:rPr>
              <w:t>J.A.</w:t>
            </w:r>
            <w:r>
              <w:rPr>
                <w:rFonts w:hint="eastAsia" w:ascii="Times New Roman" w:hAnsi="Times New Roman" w:eastAsia="仿宋" w:cs="Times New Roman"/>
                <w:color w:val="FF0000"/>
                <w:sz w:val="24"/>
                <w:highlight w:val="none"/>
                <w:lang w:val="en-US" w:eastAsia="zh-CN"/>
              </w:rPr>
              <w:t>奥里蒙、</w:t>
            </w:r>
            <w:r>
              <w:rPr>
                <w:rFonts w:hint="default" w:ascii="Times New Roman" w:hAnsi="Times New Roman" w:eastAsia="仿宋" w:cs="Times New Roman"/>
                <w:color w:val="FF0000"/>
                <w:sz w:val="24"/>
                <w:highlight w:val="none"/>
                <w:lang w:val="en-US" w:eastAsia="zh-CN"/>
              </w:rPr>
              <w:t>G.A.</w:t>
            </w:r>
            <w:r>
              <w:rPr>
                <w:rFonts w:hint="eastAsia" w:ascii="Times New Roman" w:hAnsi="Times New Roman" w:eastAsia="仿宋" w:cs="Times New Roman"/>
                <w:color w:val="FF0000"/>
                <w:sz w:val="24"/>
                <w:highlight w:val="none"/>
                <w:lang w:val="en-US" w:eastAsia="zh-CN"/>
              </w:rPr>
              <w:t>久兹等编著，张良璧等编译），露采过程起尘量为</w:t>
            </w:r>
            <w:r>
              <w:rPr>
                <w:rFonts w:hint="default" w:ascii="Times New Roman" w:hAnsi="Times New Roman" w:eastAsia="仿宋" w:cs="Times New Roman"/>
                <w:color w:val="FF0000"/>
                <w:sz w:val="24"/>
                <w:highlight w:val="none"/>
                <w:lang w:val="en-US" w:eastAsia="zh-CN"/>
              </w:rPr>
              <w:t>0.0365kg/t</w:t>
            </w:r>
            <w:r>
              <w:rPr>
                <w:rFonts w:hint="eastAsia" w:ascii="Times New Roman" w:hAnsi="Times New Roman" w:eastAsia="仿宋" w:cs="Times New Roman"/>
                <w:color w:val="FF0000"/>
                <w:sz w:val="24"/>
                <w:highlight w:val="none"/>
                <w:lang w:val="en-US" w:eastAsia="zh-CN"/>
              </w:rPr>
              <w:t>（覆盖层），</w:t>
            </w:r>
            <w:r>
              <w:rPr>
                <w:rFonts w:hint="eastAsia" w:eastAsia="仿宋" w:cs="Times New Roman"/>
                <w:color w:val="FF0000"/>
                <w:sz w:val="24"/>
                <w:highlight w:val="none"/>
                <w:lang w:val="en-US" w:eastAsia="zh-CN"/>
              </w:rPr>
              <w:t>根据《</w:t>
            </w:r>
            <w:r>
              <w:rPr>
                <w:rFonts w:hint="default" w:ascii="Times New Roman" w:hAnsi="Times New Roman" w:eastAsia="仿宋" w:cs="Times New Roman"/>
                <w:color w:val="FF0000"/>
                <w:spacing w:val="0"/>
                <w:kern w:val="0"/>
                <w:position w:val="0"/>
                <w:sz w:val="24"/>
                <w:szCs w:val="24"/>
                <w:highlight w:val="none"/>
                <w:lang w:val="en-US" w:eastAsia="zh-CN" w:bidi="ar"/>
              </w:rPr>
              <w:t>临泽县金源矿业有限责任公司平川镇羊圈湾冶金用石英岩矿</w:t>
            </w:r>
            <w:r>
              <w:rPr>
                <w:rFonts w:hint="eastAsia" w:ascii="Times New Roman" w:hAnsi="Times New Roman" w:eastAsia="仿宋" w:cs="Times New Roman"/>
                <w:color w:val="FF0000"/>
                <w:spacing w:val="0"/>
                <w:kern w:val="0"/>
                <w:position w:val="0"/>
                <w:sz w:val="24"/>
                <w:szCs w:val="24"/>
                <w:highlight w:val="none"/>
                <w:lang w:val="en-US" w:eastAsia="zh-CN" w:bidi="ar"/>
              </w:rPr>
              <w:t>开采方案</w:t>
            </w:r>
            <w:r>
              <w:rPr>
                <w:rFonts w:hint="default" w:ascii="Times New Roman" w:hAnsi="Times New Roman" w:eastAsia="仿宋" w:cs="Times New Roman"/>
                <w:color w:val="FF0000"/>
                <w:spacing w:val="0"/>
                <w:kern w:val="0"/>
                <w:position w:val="0"/>
                <w:sz w:val="24"/>
                <w:szCs w:val="24"/>
                <w:highlight w:val="none"/>
                <w:lang w:val="en-US" w:eastAsia="zh-CN" w:bidi="ar"/>
              </w:rPr>
              <w:t>与</w:t>
            </w:r>
            <w:r>
              <w:rPr>
                <w:rFonts w:hint="eastAsia" w:ascii="Times New Roman" w:hAnsi="Times New Roman" w:eastAsia="仿宋" w:cs="Times New Roman"/>
                <w:color w:val="FF0000"/>
                <w:spacing w:val="0"/>
                <w:kern w:val="0"/>
                <w:position w:val="0"/>
                <w:sz w:val="24"/>
                <w:szCs w:val="24"/>
                <w:highlight w:val="none"/>
                <w:lang w:val="en-US" w:eastAsia="zh-CN" w:bidi="ar"/>
              </w:rPr>
              <w:t>矿区生态修复</w:t>
            </w:r>
            <w:r>
              <w:rPr>
                <w:rFonts w:hint="default" w:ascii="Times New Roman" w:hAnsi="Times New Roman" w:eastAsia="仿宋" w:cs="Times New Roman"/>
                <w:color w:val="FF0000"/>
                <w:spacing w:val="0"/>
                <w:kern w:val="0"/>
                <w:position w:val="0"/>
                <w:sz w:val="24"/>
                <w:szCs w:val="24"/>
                <w:highlight w:val="none"/>
                <w:lang w:val="en-US" w:eastAsia="zh-CN" w:bidi="ar"/>
              </w:rPr>
              <w:t>方案</w:t>
            </w:r>
            <w:r>
              <w:rPr>
                <w:rFonts w:hint="eastAsia" w:eastAsia="仿宋" w:cs="Times New Roman"/>
                <w:color w:val="FF0000"/>
                <w:sz w:val="24"/>
                <w:highlight w:val="none"/>
                <w:lang w:val="en-US" w:eastAsia="zh-CN"/>
              </w:rPr>
              <w:t>》，</w:t>
            </w:r>
            <w:r>
              <w:rPr>
                <w:rFonts w:hint="eastAsia" w:ascii="Times New Roman" w:hAnsi="Times New Roman" w:eastAsia="仿宋" w:cs="Times New Roman"/>
                <w:color w:val="FF0000"/>
                <w:sz w:val="24"/>
                <w:highlight w:val="none"/>
                <w:lang w:val="en-US" w:eastAsia="zh-CN"/>
              </w:rPr>
              <w:t>本项目表土剥离量</w:t>
            </w:r>
            <w:r>
              <w:rPr>
                <w:rFonts w:hint="eastAsia" w:eastAsia="仿宋" w:cs="Times New Roman"/>
                <w:color w:val="FF0000"/>
                <w:sz w:val="24"/>
                <w:highlight w:val="none"/>
                <w:lang w:val="en-US" w:eastAsia="zh-CN"/>
              </w:rPr>
              <w:t>150000</w:t>
            </w:r>
            <w:r>
              <w:rPr>
                <w:rFonts w:hint="default" w:ascii="Times New Roman" w:hAnsi="Times New Roman" w:eastAsia="仿宋" w:cs="Times New Roman"/>
                <w:color w:val="FF0000"/>
                <w:sz w:val="24"/>
                <w:highlight w:val="none"/>
                <w:lang w:val="en-US" w:eastAsia="zh-CN"/>
              </w:rPr>
              <w:t>m</w:t>
            </w:r>
            <w:r>
              <w:rPr>
                <w:rFonts w:hint="default" w:ascii="Times New Roman" w:hAnsi="Times New Roman" w:eastAsia="仿宋" w:cs="Times New Roman"/>
                <w:color w:val="FF0000"/>
                <w:sz w:val="24"/>
                <w:highlight w:val="none"/>
                <w:vertAlign w:val="superscript"/>
                <w:lang w:val="en-US" w:eastAsia="zh-CN"/>
              </w:rPr>
              <w:t>3</w:t>
            </w:r>
            <w:r>
              <w:rPr>
                <w:rFonts w:hint="eastAsia" w:ascii="Times New Roman" w:hAnsi="Times New Roman" w:eastAsia="仿宋" w:cs="Times New Roman"/>
                <w:color w:val="FF0000"/>
                <w:sz w:val="24"/>
                <w:highlight w:val="none"/>
                <w:lang w:val="en-US" w:eastAsia="zh-CN"/>
              </w:rPr>
              <w:t>，</w:t>
            </w:r>
            <w:r>
              <w:rPr>
                <w:rFonts w:hint="eastAsia" w:eastAsia="仿宋" w:cs="Times New Roman"/>
                <w:color w:val="FF0000"/>
                <w:sz w:val="24"/>
                <w:highlight w:val="none"/>
                <w:lang w:val="en-US" w:eastAsia="zh-CN"/>
              </w:rPr>
              <w:t>服务年限为10.4a，表土剥离量为195000</w:t>
            </w:r>
            <w:r>
              <w:rPr>
                <w:rFonts w:hint="default" w:ascii="Times New Roman" w:hAnsi="Times New Roman" w:eastAsia="仿宋" w:cs="Times New Roman"/>
                <w:color w:val="FF0000"/>
                <w:sz w:val="24"/>
                <w:highlight w:val="none"/>
                <w:lang w:val="en-US" w:eastAsia="zh-CN"/>
              </w:rPr>
              <w:t>t</w:t>
            </w:r>
            <w:r>
              <w:rPr>
                <w:rFonts w:hint="eastAsia" w:ascii="Times New Roman" w:hAnsi="Times New Roman" w:eastAsia="仿宋" w:cs="Times New Roman"/>
                <w:color w:val="FF0000"/>
                <w:sz w:val="24"/>
                <w:highlight w:val="none"/>
                <w:lang w:val="en-US" w:eastAsia="zh-CN"/>
              </w:rPr>
              <w:t>（土容重取</w:t>
            </w:r>
            <w:r>
              <w:rPr>
                <w:rFonts w:hint="default" w:ascii="Times New Roman" w:hAnsi="Times New Roman" w:eastAsia="仿宋" w:cs="Times New Roman"/>
                <w:color w:val="FF0000"/>
                <w:sz w:val="24"/>
                <w:highlight w:val="none"/>
                <w:lang w:val="en-US" w:eastAsia="zh-CN"/>
              </w:rPr>
              <w:t>1.3t/m</w:t>
            </w:r>
            <w:r>
              <w:rPr>
                <w:rFonts w:hint="default" w:ascii="Times New Roman" w:hAnsi="Times New Roman" w:eastAsia="仿宋" w:cs="Times New Roman"/>
                <w:color w:val="FF0000"/>
                <w:sz w:val="24"/>
                <w:highlight w:val="none"/>
                <w:vertAlign w:val="superscript"/>
                <w:lang w:val="en-US" w:eastAsia="zh-CN"/>
              </w:rPr>
              <w:t>3</w:t>
            </w:r>
            <w:r>
              <w:rPr>
                <w:rFonts w:hint="eastAsia" w:ascii="Times New Roman" w:hAnsi="Times New Roman" w:eastAsia="仿宋" w:cs="Times New Roman"/>
                <w:color w:val="FF0000"/>
                <w:sz w:val="24"/>
                <w:highlight w:val="none"/>
                <w:lang w:val="en-US" w:eastAsia="zh-CN"/>
              </w:rPr>
              <w:t>），</w:t>
            </w:r>
            <w:r>
              <w:rPr>
                <w:rFonts w:hint="eastAsia" w:eastAsia="仿宋" w:cs="Times New Roman"/>
                <w:color w:val="FF0000"/>
                <w:sz w:val="24"/>
                <w:highlight w:val="none"/>
                <w:lang w:val="en-US" w:eastAsia="zh-CN"/>
              </w:rPr>
              <w:t>则表土剥离量为18750t/a，</w:t>
            </w:r>
            <w:r>
              <w:rPr>
                <w:rFonts w:hint="eastAsia" w:ascii="Times New Roman" w:hAnsi="Times New Roman" w:eastAsia="仿宋" w:cs="Times New Roman"/>
                <w:color w:val="FF0000"/>
                <w:sz w:val="24"/>
                <w:highlight w:val="none"/>
                <w:lang w:val="en-US" w:eastAsia="zh-CN"/>
              </w:rPr>
              <w:t>则表土剥离过程粉尘产生量为</w:t>
            </w:r>
            <w:r>
              <w:rPr>
                <w:rFonts w:hint="eastAsia" w:eastAsia="仿宋" w:cs="Times New Roman"/>
                <w:color w:val="FF0000"/>
                <w:sz w:val="24"/>
                <w:highlight w:val="none"/>
                <w:lang w:val="en-US" w:eastAsia="zh-CN"/>
              </w:rPr>
              <w:t>0.7</w:t>
            </w:r>
            <w:r>
              <w:rPr>
                <w:rFonts w:hint="default" w:ascii="Times New Roman" w:hAnsi="Times New Roman" w:eastAsia="仿宋" w:cs="Times New Roman"/>
                <w:color w:val="FF0000"/>
                <w:sz w:val="24"/>
                <w:highlight w:val="none"/>
                <w:lang w:val="en-US" w:eastAsia="zh-CN"/>
              </w:rPr>
              <w:t>t/a</w:t>
            </w:r>
            <w:r>
              <w:rPr>
                <w:rFonts w:hint="eastAsia" w:eastAsia="仿宋" w:cs="Times New Roman"/>
                <w:color w:val="FF0000"/>
                <w:sz w:val="24"/>
                <w:highlight w:val="none"/>
                <w:lang w:val="en-US" w:eastAsia="zh-CN"/>
              </w:rPr>
              <w:t>。</w:t>
            </w:r>
          </w:p>
          <w:p w14:paraId="58F85F2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eastAsia="仿宋" w:cs="Times New Roman"/>
                <w:bCs/>
                <w:color w:val="FF0000"/>
                <w:sz w:val="24"/>
                <w:szCs w:val="24"/>
                <w:lang w:val="en-US" w:eastAsia="zh-CN"/>
              </w:rPr>
            </w:pPr>
            <w:r>
              <w:rPr>
                <w:rFonts w:hint="eastAsia" w:eastAsia="仿宋" w:cs="Times New Roman"/>
                <w:color w:val="FF0000"/>
                <w:sz w:val="24"/>
                <w:highlight w:val="none"/>
                <w:lang w:val="en-US" w:eastAsia="zh-CN"/>
              </w:rPr>
              <w:t>根据《</w:t>
            </w:r>
            <w:r>
              <w:rPr>
                <w:rFonts w:hint="default" w:ascii="Times New Roman" w:hAnsi="Times New Roman" w:eastAsia="仿宋" w:cs="Times New Roman"/>
                <w:color w:val="FF0000"/>
                <w:spacing w:val="0"/>
                <w:kern w:val="0"/>
                <w:position w:val="0"/>
                <w:sz w:val="24"/>
                <w:szCs w:val="24"/>
                <w:highlight w:val="none"/>
                <w:lang w:val="en-US" w:eastAsia="zh-CN" w:bidi="ar"/>
              </w:rPr>
              <w:t>临泽县金源矿业有限责任公司平川镇羊圈湾冶金用石英岩矿</w:t>
            </w:r>
            <w:r>
              <w:rPr>
                <w:rFonts w:hint="eastAsia" w:ascii="Times New Roman" w:hAnsi="Times New Roman" w:eastAsia="仿宋" w:cs="Times New Roman"/>
                <w:color w:val="FF0000"/>
                <w:spacing w:val="0"/>
                <w:kern w:val="0"/>
                <w:position w:val="0"/>
                <w:sz w:val="24"/>
                <w:szCs w:val="24"/>
                <w:highlight w:val="none"/>
                <w:lang w:val="en-US" w:eastAsia="zh-CN" w:bidi="ar"/>
              </w:rPr>
              <w:t>开采方案</w:t>
            </w:r>
            <w:r>
              <w:rPr>
                <w:rFonts w:hint="default" w:ascii="Times New Roman" w:hAnsi="Times New Roman" w:eastAsia="仿宋" w:cs="Times New Roman"/>
                <w:color w:val="FF0000"/>
                <w:spacing w:val="0"/>
                <w:kern w:val="0"/>
                <w:position w:val="0"/>
                <w:sz w:val="24"/>
                <w:szCs w:val="24"/>
                <w:highlight w:val="none"/>
                <w:lang w:val="en-US" w:eastAsia="zh-CN" w:bidi="ar"/>
              </w:rPr>
              <w:t>与</w:t>
            </w:r>
            <w:r>
              <w:rPr>
                <w:rFonts w:hint="eastAsia" w:ascii="Times New Roman" w:hAnsi="Times New Roman" w:eastAsia="仿宋" w:cs="Times New Roman"/>
                <w:color w:val="FF0000"/>
                <w:spacing w:val="0"/>
                <w:kern w:val="0"/>
                <w:position w:val="0"/>
                <w:sz w:val="24"/>
                <w:szCs w:val="24"/>
                <w:highlight w:val="none"/>
                <w:lang w:val="en-US" w:eastAsia="zh-CN" w:bidi="ar"/>
              </w:rPr>
              <w:t>矿区生态修复</w:t>
            </w:r>
            <w:r>
              <w:rPr>
                <w:rFonts w:hint="default" w:ascii="Times New Roman" w:hAnsi="Times New Roman" w:eastAsia="仿宋" w:cs="Times New Roman"/>
                <w:color w:val="FF0000"/>
                <w:spacing w:val="0"/>
                <w:kern w:val="0"/>
                <w:position w:val="0"/>
                <w:sz w:val="24"/>
                <w:szCs w:val="24"/>
                <w:highlight w:val="none"/>
                <w:lang w:val="en-US" w:eastAsia="zh-CN" w:bidi="ar"/>
              </w:rPr>
              <w:t>方案</w:t>
            </w:r>
            <w:r>
              <w:rPr>
                <w:rFonts w:hint="eastAsia" w:eastAsia="仿宋" w:cs="Times New Roman"/>
                <w:color w:val="FF0000"/>
                <w:sz w:val="24"/>
                <w:highlight w:val="none"/>
                <w:lang w:val="en-US" w:eastAsia="zh-CN"/>
              </w:rPr>
              <w:t>》，</w:t>
            </w:r>
            <w:r>
              <w:rPr>
                <w:rFonts w:hint="default" w:ascii="Times New Roman" w:hAnsi="Times New Roman" w:eastAsia="仿宋" w:cs="Times New Roman"/>
                <w:bCs/>
                <w:color w:val="FF0000"/>
                <w:sz w:val="24"/>
                <w:szCs w:val="24"/>
                <w:lang w:val="en-US" w:eastAsia="zh-CN"/>
              </w:rPr>
              <w:t>本项目</w:t>
            </w:r>
            <w:r>
              <w:rPr>
                <w:rFonts w:hint="eastAsia" w:eastAsia="仿宋" w:cs="Times New Roman"/>
                <w:bCs/>
                <w:color w:val="FF0000"/>
                <w:sz w:val="24"/>
                <w:szCs w:val="24"/>
                <w:lang w:val="en-US" w:eastAsia="zh-CN"/>
              </w:rPr>
              <w:t>开采过程中废石剥离量为218.46万m</w:t>
            </w:r>
            <w:r>
              <w:rPr>
                <w:rFonts w:hint="eastAsia" w:eastAsia="仿宋" w:cs="Times New Roman"/>
                <w:bCs/>
                <w:color w:val="FF0000"/>
                <w:sz w:val="24"/>
                <w:szCs w:val="24"/>
                <w:vertAlign w:val="superscript"/>
                <w:lang w:val="en-US" w:eastAsia="zh-CN"/>
              </w:rPr>
              <w:t>3</w:t>
            </w:r>
            <w:r>
              <w:rPr>
                <w:rFonts w:hint="eastAsia" w:eastAsia="仿宋" w:cs="Times New Roman"/>
                <w:bCs/>
                <w:color w:val="FF0000"/>
                <w:sz w:val="24"/>
                <w:szCs w:val="24"/>
                <w:lang w:val="en-US" w:eastAsia="zh-CN"/>
              </w:rPr>
              <w:t>（密度取2.6t/m</w:t>
            </w:r>
            <w:r>
              <w:rPr>
                <w:rFonts w:hint="eastAsia" w:eastAsia="仿宋" w:cs="Times New Roman"/>
                <w:bCs/>
                <w:color w:val="FF0000"/>
                <w:sz w:val="24"/>
                <w:szCs w:val="24"/>
                <w:vertAlign w:val="superscript"/>
                <w:lang w:val="en-US" w:eastAsia="zh-CN"/>
              </w:rPr>
              <w:t>3</w:t>
            </w:r>
            <w:r>
              <w:rPr>
                <w:rFonts w:hint="eastAsia" w:eastAsia="仿宋" w:cs="Times New Roman"/>
                <w:bCs/>
                <w:color w:val="FF0000"/>
                <w:sz w:val="24"/>
                <w:szCs w:val="24"/>
                <w:lang w:val="en-US" w:eastAsia="zh-CN"/>
              </w:rPr>
              <w:t>），服务年限为10.4a，则废石剥离量为54.6万t/a，则废石剥离过程粉尘产生量为20t/a。</w:t>
            </w:r>
          </w:p>
          <w:p w14:paraId="7C8053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sz w:val="24"/>
                <w:highlight w:val="none"/>
                <w:lang w:val="en-US" w:eastAsia="zh-CN"/>
              </w:rPr>
            </w:pPr>
            <w:r>
              <w:rPr>
                <w:rFonts w:hint="eastAsia" w:ascii="Times New Roman" w:hAnsi="Times New Roman" w:eastAsia="仿宋" w:cs="Times New Roman"/>
                <w:color w:val="FF0000"/>
                <w:sz w:val="24"/>
                <w:highlight w:val="none"/>
                <w:lang w:val="en-US" w:eastAsia="zh-CN"/>
              </w:rPr>
              <w:t>环评要求剥离</w:t>
            </w:r>
            <w:r>
              <w:rPr>
                <w:rFonts w:hint="eastAsia" w:eastAsia="仿宋" w:cs="Times New Roman"/>
                <w:color w:val="FF0000"/>
                <w:sz w:val="24"/>
                <w:highlight w:val="none"/>
                <w:lang w:val="en-US" w:eastAsia="zh-CN"/>
              </w:rPr>
              <w:t>清表</w:t>
            </w:r>
            <w:r>
              <w:rPr>
                <w:rFonts w:hint="eastAsia" w:ascii="Times New Roman" w:hAnsi="Times New Roman" w:eastAsia="仿宋" w:cs="Times New Roman"/>
                <w:color w:val="FF0000"/>
                <w:sz w:val="24"/>
                <w:highlight w:val="none"/>
                <w:lang w:val="en-US" w:eastAsia="zh-CN"/>
              </w:rPr>
              <w:t>前先对剥离区域表面采用</w:t>
            </w:r>
            <w:r>
              <w:rPr>
                <w:rFonts w:hint="eastAsia" w:eastAsia="仿宋" w:cs="Times New Roman"/>
                <w:color w:val="FF0000"/>
                <w:sz w:val="24"/>
                <w:highlight w:val="none"/>
                <w:lang w:val="en-US" w:eastAsia="zh-CN"/>
              </w:rPr>
              <w:t>洒水</w:t>
            </w:r>
            <w:r>
              <w:rPr>
                <w:rFonts w:hint="eastAsia" w:ascii="Times New Roman" w:hAnsi="Times New Roman" w:eastAsia="仿宋" w:cs="Times New Roman"/>
                <w:color w:val="FF0000"/>
                <w:sz w:val="24"/>
                <w:highlight w:val="none"/>
                <w:lang w:val="en-US" w:eastAsia="zh-CN"/>
              </w:rPr>
              <w:t>润湿</w:t>
            </w:r>
            <w:r>
              <w:rPr>
                <w:rFonts w:hint="eastAsia" w:eastAsia="仿宋" w:cs="Times New Roman"/>
                <w:color w:val="FF0000"/>
                <w:sz w:val="24"/>
                <w:highlight w:val="none"/>
                <w:lang w:val="en-US" w:eastAsia="zh-CN"/>
              </w:rPr>
              <w:t>剥离表面</w:t>
            </w:r>
            <w:r>
              <w:rPr>
                <w:rFonts w:hint="eastAsia" w:ascii="Times New Roman" w:hAnsi="Times New Roman" w:eastAsia="仿宋" w:cs="Times New Roman"/>
                <w:color w:val="FF0000"/>
                <w:sz w:val="24"/>
                <w:highlight w:val="none"/>
                <w:lang w:val="en-US" w:eastAsia="zh-CN"/>
              </w:rPr>
              <w:t>，</w:t>
            </w:r>
            <w:r>
              <w:rPr>
                <w:rFonts w:hint="eastAsia" w:eastAsia="仿宋" w:cs="Times New Roman"/>
                <w:color w:val="FF0000"/>
                <w:sz w:val="24"/>
                <w:highlight w:val="none"/>
                <w:lang w:val="en-US" w:eastAsia="zh-CN"/>
              </w:rPr>
              <w:t>参考</w:t>
            </w:r>
            <w:r>
              <w:rPr>
                <w:rFonts w:hint="default" w:ascii="Times New Roman" w:hAnsi="Times New Roman" w:eastAsia="仿宋" w:cs="Times New Roman"/>
                <w:color w:val="FF0000"/>
                <w:sz w:val="24"/>
              </w:rPr>
              <w:t>《固体物料堆存颗粒物产排污核算系数手册》</w:t>
            </w:r>
            <w:r>
              <w:rPr>
                <w:rFonts w:hint="eastAsia" w:eastAsia="仿宋" w:cs="Times New Roman"/>
                <w:color w:val="FF0000"/>
                <w:sz w:val="24"/>
                <w:highlight w:val="none"/>
                <w:lang w:val="en-US" w:eastAsia="zh-CN"/>
              </w:rPr>
              <w:t>，洒水控制效率为74</w:t>
            </w:r>
            <w:r>
              <w:rPr>
                <w:rFonts w:hint="default" w:ascii="Times New Roman" w:hAnsi="Times New Roman" w:eastAsia="仿宋" w:cs="Times New Roman"/>
                <w:color w:val="FF0000"/>
                <w:sz w:val="24"/>
                <w:highlight w:val="none"/>
                <w:lang w:val="en-US" w:eastAsia="zh-CN"/>
              </w:rPr>
              <w:t>%</w:t>
            </w:r>
            <w:r>
              <w:rPr>
                <w:rFonts w:hint="eastAsia" w:ascii="Times New Roman" w:hAnsi="Times New Roman" w:eastAsia="仿宋" w:cs="Times New Roman"/>
                <w:color w:val="FF0000"/>
                <w:sz w:val="24"/>
                <w:highlight w:val="none"/>
                <w:lang w:val="en-US" w:eastAsia="zh-CN"/>
              </w:rPr>
              <w:t>，则剥离</w:t>
            </w:r>
            <w:r>
              <w:rPr>
                <w:rFonts w:hint="eastAsia" w:eastAsia="仿宋" w:cs="Times New Roman"/>
                <w:color w:val="FF0000"/>
                <w:sz w:val="24"/>
                <w:highlight w:val="none"/>
                <w:lang w:val="en-US" w:eastAsia="zh-CN"/>
              </w:rPr>
              <w:t>清表</w:t>
            </w:r>
            <w:r>
              <w:rPr>
                <w:rFonts w:hint="eastAsia" w:ascii="Times New Roman" w:hAnsi="Times New Roman" w:eastAsia="仿宋" w:cs="Times New Roman"/>
                <w:color w:val="FF0000"/>
                <w:sz w:val="24"/>
                <w:highlight w:val="none"/>
                <w:lang w:val="en-US" w:eastAsia="zh-CN"/>
              </w:rPr>
              <w:t>粉尘排放量为</w:t>
            </w:r>
            <w:r>
              <w:rPr>
                <w:rFonts w:hint="eastAsia" w:eastAsia="仿宋" w:cs="Times New Roman"/>
                <w:color w:val="FF0000"/>
                <w:sz w:val="24"/>
                <w:highlight w:val="none"/>
                <w:lang w:val="en-US" w:eastAsia="zh-CN"/>
              </w:rPr>
              <w:t>5.4</w:t>
            </w:r>
            <w:r>
              <w:rPr>
                <w:rFonts w:hint="default" w:ascii="Times New Roman" w:hAnsi="Times New Roman" w:eastAsia="仿宋" w:cs="Times New Roman"/>
                <w:color w:val="FF0000"/>
                <w:sz w:val="24"/>
                <w:highlight w:val="none"/>
                <w:lang w:val="en-US" w:eastAsia="zh-CN"/>
              </w:rPr>
              <w:t>t/a</w:t>
            </w:r>
            <w:r>
              <w:rPr>
                <w:rFonts w:hint="eastAsia" w:ascii="Times New Roman" w:hAnsi="Times New Roman" w:eastAsia="仿宋" w:cs="Times New Roman"/>
                <w:color w:val="FF0000"/>
                <w:sz w:val="24"/>
                <w:highlight w:val="none"/>
                <w:lang w:val="en-US" w:eastAsia="zh-CN"/>
              </w:rPr>
              <w:t>。</w:t>
            </w:r>
          </w:p>
          <w:p w14:paraId="08ACD3D0">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②</w:t>
            </w:r>
            <w:r>
              <w:rPr>
                <w:rFonts w:hint="eastAsia" w:eastAsia="仿宋" w:cs="Times New Roman"/>
                <w:color w:val="000000" w:themeColor="text1"/>
                <w:sz w:val="24"/>
                <w:highlight w:val="none"/>
                <w:lang w:val="en-US" w:eastAsia="zh-CN"/>
                <w14:textFill>
                  <w14:solidFill>
                    <w14:schemeClr w14:val="tx1"/>
                  </w14:solidFill>
                </w14:textFill>
              </w:rPr>
              <w:t>穿孔</w:t>
            </w:r>
            <w:r>
              <w:rPr>
                <w:rFonts w:hint="default" w:ascii="Times New Roman" w:hAnsi="Times New Roman" w:eastAsia="仿宋" w:cs="Times New Roman"/>
                <w:color w:val="000000" w:themeColor="text1"/>
                <w:sz w:val="24"/>
                <w:highlight w:val="none"/>
                <w14:textFill>
                  <w14:solidFill>
                    <w14:schemeClr w14:val="tx1"/>
                  </w14:solidFill>
                </w14:textFill>
              </w:rPr>
              <w:t>凿岩粉尘</w:t>
            </w:r>
            <w:r>
              <w:rPr>
                <w:rFonts w:hint="eastAsia" w:eastAsia="仿宋" w:cs="Times New Roman"/>
                <w:color w:val="000000" w:themeColor="text1"/>
                <w:sz w:val="24"/>
                <w:highlight w:val="none"/>
                <w:lang w:eastAsia="zh-CN"/>
                <w14:textFill>
                  <w14:solidFill>
                    <w14:schemeClr w14:val="tx1"/>
                  </w14:solidFill>
                </w14:textFill>
              </w:rPr>
              <w:t>（</w:t>
            </w:r>
            <w:r>
              <w:rPr>
                <w:rFonts w:hint="eastAsia" w:eastAsia="仿宋" w:cs="Times New Roman"/>
                <w:color w:val="000000" w:themeColor="text1"/>
                <w:sz w:val="24"/>
                <w:highlight w:val="none"/>
                <w:lang w:val="en-US" w:eastAsia="zh-CN"/>
                <w14:textFill>
                  <w14:solidFill>
                    <w14:schemeClr w14:val="tx1"/>
                  </w14:solidFill>
                </w14:textFill>
              </w:rPr>
              <w:t>G2</w:t>
            </w:r>
            <w:r>
              <w:rPr>
                <w:rFonts w:hint="eastAsia" w:eastAsia="仿宋" w:cs="Times New Roman"/>
                <w:color w:val="000000" w:themeColor="text1"/>
                <w:sz w:val="24"/>
                <w:highlight w:val="none"/>
                <w:lang w:eastAsia="zh-CN"/>
                <w14:textFill>
                  <w14:solidFill>
                    <w14:schemeClr w14:val="tx1"/>
                  </w14:solidFill>
                </w14:textFill>
              </w:rPr>
              <w:t>）</w:t>
            </w:r>
          </w:p>
          <w:p w14:paraId="2AC99CC1">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仿宋" w:cs="Times New Roman"/>
                <w:color w:val="000000" w:themeColor="text1"/>
                <w:sz w:val="24"/>
                <w:highlight w:val="none"/>
                <w14:textFill>
                  <w14:solidFill>
                    <w14:schemeClr w14:val="tx1"/>
                  </w14:solidFill>
                </w14:textFill>
              </w:rPr>
              <w:t>凿岩钻孔时，钻头撞击岩石会产生粉尘，潜孔钻满负荷工作时钻孔粉尘平均产生速率约40mg/s，在未设防尘措施的条件下，长时间工作的作业场所空气中含尘量可达60～800mg/m</w:t>
            </w:r>
            <w:r>
              <w:rPr>
                <w:rFonts w:hint="default" w:ascii="Times New Roman" w:hAnsi="Times New Roman" w:eastAsia="仿宋" w:cs="Times New Roman"/>
                <w:color w:val="000000" w:themeColor="text1"/>
                <w:sz w:val="24"/>
                <w:highlight w:val="none"/>
                <w:vertAlign w:val="superscript"/>
                <w14:textFill>
                  <w14:solidFill>
                    <w14:schemeClr w14:val="tx1"/>
                  </w14:solidFill>
                </w14:textFill>
              </w:rPr>
              <w:t>3</w:t>
            </w:r>
            <w:r>
              <w:rPr>
                <w:rFonts w:hint="default" w:ascii="Times New Roman" w:hAnsi="Times New Roman" w:eastAsia="仿宋" w:cs="Times New Roman"/>
                <w:color w:val="000000" w:themeColor="text1"/>
                <w:sz w:val="24"/>
                <w:highlight w:val="none"/>
                <w14:textFill>
                  <w14:solidFill>
                    <w14:schemeClr w14:val="tx1"/>
                  </w14:solidFill>
                </w14:textFill>
              </w:rPr>
              <w:t>，此粉尘影响范围一般在20</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m</w:t>
            </w:r>
            <w:r>
              <w:rPr>
                <w:rFonts w:hint="default" w:ascii="Times New Roman" w:hAnsi="Times New Roman" w:eastAsia="仿宋" w:cs="Times New Roman"/>
                <w:color w:val="000000" w:themeColor="text1"/>
                <w:sz w:val="24"/>
                <w:highlight w:val="none"/>
                <w14:textFill>
                  <w14:solidFill>
                    <w14:schemeClr w14:val="tx1"/>
                  </w14:solidFill>
                </w14:textFill>
              </w:rPr>
              <w:t>以内。</w:t>
            </w:r>
          </w:p>
          <w:p w14:paraId="6336F134">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eastAsia" w:eastAsia="仿宋" w:cs="Times New Roman"/>
                <w:color w:val="000000" w:themeColor="text1"/>
                <w:sz w:val="24"/>
                <w:highlight w:val="none"/>
                <w:lang w:val="en-US" w:eastAsia="zh-CN"/>
                <w14:textFill>
                  <w14:solidFill>
                    <w14:schemeClr w14:val="tx1"/>
                  </w14:solidFill>
                </w14:textFill>
              </w:rPr>
              <w:t>本</w:t>
            </w:r>
            <w:r>
              <w:rPr>
                <w:rFonts w:hint="default" w:ascii="Times New Roman" w:hAnsi="Times New Roman" w:eastAsia="仿宋" w:cs="Times New Roman"/>
                <w:color w:val="000000" w:themeColor="text1"/>
                <w:sz w:val="24"/>
                <w:highlight w:val="none"/>
                <w14:textFill>
                  <w14:solidFill>
                    <w14:schemeClr w14:val="tx1"/>
                  </w14:solidFill>
                </w14:textFill>
              </w:rPr>
              <w:t>项目</w:t>
            </w:r>
            <w:r>
              <w:rPr>
                <w:rFonts w:hint="eastAsia" w:eastAsia="仿宋" w:cs="Times New Roman"/>
                <w:color w:val="000000" w:themeColor="text1"/>
                <w:sz w:val="24"/>
                <w:highlight w:val="none"/>
                <w:lang w:val="en-US" w:eastAsia="zh-CN"/>
                <w14:textFill>
                  <w14:solidFill>
                    <w14:schemeClr w14:val="tx1"/>
                  </w14:solidFill>
                </w14:textFill>
              </w:rPr>
              <w:t>设置</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3</w:t>
            </w:r>
            <w:r>
              <w:rPr>
                <w:rFonts w:hint="default" w:ascii="Times New Roman" w:hAnsi="Times New Roman" w:eastAsia="仿宋" w:cs="Times New Roman"/>
                <w:color w:val="000000" w:themeColor="text1"/>
                <w:sz w:val="24"/>
                <w:highlight w:val="none"/>
                <w14:textFill>
                  <w14:solidFill>
                    <w14:schemeClr w14:val="tx1"/>
                  </w14:solidFill>
                </w14:textFill>
              </w:rPr>
              <w:t>台潜孔钻机作业，按粉尘排放速率为</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仿宋" w:cs="Times New Roman"/>
                <w:color w:val="000000" w:themeColor="text1"/>
                <w:sz w:val="24"/>
                <w:highlight w:val="none"/>
                <w14:textFill>
                  <w14:solidFill>
                    <w14:schemeClr w14:val="tx1"/>
                  </w14:solidFill>
                </w14:textFill>
              </w:rPr>
              <w:t>0mg/s，凿岩年工作2</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仿宋" w:cs="Times New Roman"/>
                <w:color w:val="000000" w:themeColor="text1"/>
                <w:sz w:val="24"/>
                <w:highlight w:val="none"/>
                <w14:textFill>
                  <w14:solidFill>
                    <w14:schemeClr w14:val="tx1"/>
                  </w14:solidFill>
                </w14:textFill>
              </w:rPr>
              <w:t>0天，每天按工作</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仿宋" w:cs="Times New Roman"/>
                <w:color w:val="000000" w:themeColor="text1"/>
                <w:sz w:val="24"/>
                <w:highlight w:val="none"/>
                <w14:textFill>
                  <w14:solidFill>
                    <w14:schemeClr w14:val="tx1"/>
                  </w14:solidFill>
                </w14:textFill>
              </w:rPr>
              <w:t>小时计，经计算，项目凿岩钻孔粉尘的产生量约为</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0.215</w:t>
            </w:r>
            <w:r>
              <w:rPr>
                <w:rFonts w:hint="default" w:ascii="Times New Roman" w:hAnsi="Times New Roman" w:eastAsia="仿宋" w:cs="Times New Roman"/>
                <w:color w:val="000000" w:themeColor="text1"/>
                <w:sz w:val="24"/>
                <w:highlight w:val="none"/>
                <w14:textFill>
                  <w14:solidFill>
                    <w14:schemeClr w14:val="tx1"/>
                  </w14:solidFill>
                </w14:textFill>
              </w:rPr>
              <w:t>t/a。</w:t>
            </w:r>
          </w:p>
          <w:p w14:paraId="6BA0A21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环评要求穿孔凿岩采用</w:t>
            </w:r>
            <w:r>
              <w:rPr>
                <w:rFonts w:hint="eastAsia" w:eastAsia="仿宋" w:cs="Times New Roman"/>
                <w:color w:val="000000" w:themeColor="text1"/>
                <w:sz w:val="24"/>
                <w:highlight w:val="none"/>
                <w:lang w:val="en-US" w:eastAsia="zh-CN"/>
                <w14:textFill>
                  <w14:solidFill>
                    <w14:schemeClr w14:val="tx1"/>
                  </w14:solidFill>
                </w14:textFill>
              </w:rPr>
              <w:t>洒水车抑尘</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w:t>
            </w:r>
            <w:r>
              <w:rPr>
                <w:rFonts w:hint="eastAsia" w:eastAsia="仿宋" w:cs="Times New Roman"/>
                <w:color w:val="000000" w:themeColor="text1"/>
                <w:sz w:val="24"/>
                <w:highlight w:val="none"/>
                <w:lang w:val="en-US" w:eastAsia="zh-CN"/>
                <w14:textFill>
                  <w14:solidFill>
                    <w14:schemeClr w14:val="tx1"/>
                  </w14:solidFill>
                </w14:textFill>
              </w:rPr>
              <w:t>参考</w:t>
            </w:r>
            <w:r>
              <w:rPr>
                <w:rFonts w:hint="default" w:ascii="Times New Roman" w:hAnsi="Times New Roman" w:eastAsia="仿宋" w:cs="Times New Roman"/>
                <w:color w:val="000000" w:themeColor="text1"/>
                <w:sz w:val="24"/>
                <w14:textFill>
                  <w14:solidFill>
                    <w14:schemeClr w14:val="tx1"/>
                  </w14:solidFill>
                </w14:textFill>
              </w:rPr>
              <w:t>《固体物料堆存颗粒物产排污核算系数手册》</w:t>
            </w:r>
            <w:r>
              <w:rPr>
                <w:rFonts w:hint="eastAsia" w:eastAsia="仿宋" w:cs="Times New Roman"/>
                <w:color w:val="000000" w:themeColor="text1"/>
                <w:sz w:val="24"/>
                <w:highlight w:val="none"/>
                <w:lang w:val="en-US" w:eastAsia="zh-CN"/>
                <w14:textFill>
                  <w14:solidFill>
                    <w14:schemeClr w14:val="tx1"/>
                  </w14:solidFill>
                </w14:textFill>
              </w:rPr>
              <w:t>，洒水控制效率为74</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，则穿孔凿岩粉尘排放量为</w:t>
            </w:r>
            <w:r>
              <w:rPr>
                <w:rFonts w:hint="eastAsia" w:eastAsia="仿宋" w:cs="Times New Roman"/>
                <w:color w:val="000000" w:themeColor="text1"/>
                <w:sz w:val="24"/>
                <w:highlight w:val="none"/>
                <w:lang w:val="en-US" w:eastAsia="zh-CN"/>
                <w14:textFill>
                  <w14:solidFill>
                    <w14:schemeClr w14:val="tx1"/>
                  </w14:solidFill>
                </w14:textFill>
              </w:rPr>
              <w:t>0.06</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w:t>
            </w:r>
          </w:p>
          <w:p w14:paraId="624B2476">
            <w:pPr>
              <w:keepNext w:val="0"/>
              <w:keepLines w:val="0"/>
              <w:pageBreakBefore w:val="0"/>
              <w:tabs>
                <w:tab w:val="left" w:pos="900"/>
              </w:tabs>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③</w:t>
            </w:r>
            <w:r>
              <w:rPr>
                <w:rFonts w:hint="default" w:ascii="Times New Roman" w:hAnsi="Times New Roman" w:eastAsia="仿宋" w:cs="Times New Roman"/>
                <w:color w:val="000000" w:themeColor="text1"/>
                <w:sz w:val="24"/>
                <w:highlight w:val="none"/>
                <w14:textFill>
                  <w14:solidFill>
                    <w14:schemeClr w14:val="tx1"/>
                  </w14:solidFill>
                </w14:textFill>
              </w:rPr>
              <w:t>爆破废气</w:t>
            </w:r>
            <w:r>
              <w:rPr>
                <w:rFonts w:hint="eastAsia" w:eastAsia="仿宋" w:cs="Times New Roman"/>
                <w:color w:val="000000" w:themeColor="text1"/>
                <w:sz w:val="24"/>
                <w:highlight w:val="none"/>
                <w:lang w:eastAsia="zh-CN"/>
                <w14:textFill>
                  <w14:solidFill>
                    <w14:schemeClr w14:val="tx1"/>
                  </w14:solidFill>
                </w14:textFill>
              </w:rPr>
              <w:t>（</w:t>
            </w:r>
            <w:r>
              <w:rPr>
                <w:rFonts w:hint="eastAsia" w:eastAsia="仿宋" w:cs="Times New Roman"/>
                <w:color w:val="000000" w:themeColor="text1"/>
                <w:sz w:val="24"/>
                <w:highlight w:val="none"/>
                <w:lang w:val="en-US" w:eastAsia="zh-CN"/>
                <w14:textFill>
                  <w14:solidFill>
                    <w14:schemeClr w14:val="tx1"/>
                  </w14:solidFill>
                </w14:textFill>
              </w:rPr>
              <w:t>G3</w:t>
            </w:r>
            <w:r>
              <w:rPr>
                <w:rFonts w:hint="eastAsia" w:eastAsia="仿宋" w:cs="Times New Roman"/>
                <w:color w:val="000000" w:themeColor="text1"/>
                <w:sz w:val="24"/>
                <w:highlight w:val="none"/>
                <w:lang w:eastAsia="zh-CN"/>
                <w14:textFill>
                  <w14:solidFill>
                    <w14:schemeClr w14:val="tx1"/>
                  </w14:solidFill>
                </w14:textFill>
              </w:rPr>
              <w:t>）</w:t>
            </w:r>
          </w:p>
          <w:p w14:paraId="6F3A5688">
            <w:pPr>
              <w:keepNext w:val="0"/>
              <w:keepLines w:val="0"/>
              <w:pageBreakBefore w:val="0"/>
              <w:tabs>
                <w:tab w:val="left" w:pos="900"/>
              </w:tabs>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仿宋" w:cs="Times New Roman"/>
                <w:color w:val="000000" w:themeColor="text1"/>
                <w:sz w:val="24"/>
                <w:highlight w:val="none"/>
                <w14:textFill>
                  <w14:solidFill>
                    <w14:schemeClr w14:val="tx1"/>
                  </w14:solidFill>
                </w14:textFill>
              </w:rPr>
              <w:t>炸药爆炸过程中产生的大气污染物主要有CO、NO</w:t>
            </w:r>
            <w:r>
              <w:rPr>
                <w:rFonts w:hint="default" w:ascii="Times New Roman" w:hAnsi="Times New Roman" w:eastAsia="仿宋" w:cs="Times New Roman"/>
                <w:color w:val="000000" w:themeColor="text1"/>
                <w:sz w:val="24"/>
                <w:highlight w:val="none"/>
                <w:vertAlign w:val="subscript"/>
                <w14:textFill>
                  <w14:solidFill>
                    <w14:schemeClr w14:val="tx1"/>
                  </w14:solidFill>
                </w14:textFill>
              </w:rPr>
              <w:t>x</w:t>
            </w:r>
            <w:r>
              <w:rPr>
                <w:rFonts w:hint="default" w:ascii="Times New Roman" w:hAnsi="Times New Roman" w:eastAsia="仿宋" w:cs="Times New Roman"/>
                <w:color w:val="000000" w:themeColor="text1"/>
                <w:sz w:val="24"/>
                <w:highlight w:val="none"/>
                <w14:textFill>
                  <w14:solidFill>
                    <w14:schemeClr w14:val="tx1"/>
                  </w14:solidFill>
                </w14:textFill>
              </w:rPr>
              <w:t>和粉尘。</w:t>
            </w:r>
          </w:p>
          <w:p w14:paraId="0FF92A21">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仿宋" w:cs="Times New Roman"/>
                <w:color w:val="000000" w:themeColor="text1"/>
                <w:sz w:val="24"/>
                <w:highlight w:val="none"/>
                <w14:textFill>
                  <w14:solidFill>
                    <w14:schemeClr w14:val="tx1"/>
                  </w14:solidFill>
                </w14:textFill>
              </w:rPr>
              <w:t>根据美国国家环保局AP-42资料，岩石炸药爆炸及开采过程中产生的CO为34kg/t（炸药）、NO</w:t>
            </w:r>
            <w:r>
              <w:rPr>
                <w:rFonts w:hint="default" w:ascii="Times New Roman" w:hAnsi="Times New Roman" w:eastAsia="仿宋" w:cs="Times New Roman"/>
                <w:color w:val="000000" w:themeColor="text1"/>
                <w:sz w:val="24"/>
                <w:highlight w:val="none"/>
                <w:vertAlign w:val="subscript"/>
                <w14:textFill>
                  <w14:solidFill>
                    <w14:schemeClr w14:val="tx1"/>
                  </w14:solidFill>
                </w14:textFill>
              </w:rPr>
              <w:t>X</w:t>
            </w:r>
            <w:r>
              <w:rPr>
                <w:rFonts w:hint="default" w:ascii="Times New Roman" w:hAnsi="Times New Roman" w:eastAsia="仿宋" w:cs="Times New Roman"/>
                <w:color w:val="000000" w:themeColor="text1"/>
                <w:sz w:val="24"/>
                <w:highlight w:val="none"/>
                <w14:textFill>
                  <w14:solidFill>
                    <w14:schemeClr w14:val="tx1"/>
                  </w14:solidFill>
                </w14:textFill>
              </w:rPr>
              <w:t>为8kg/t（炸药）、粉尘为54.2kg/t（炸药）。</w:t>
            </w:r>
            <w:r>
              <w:rPr>
                <w:rFonts w:hint="eastAsia" w:eastAsia="仿宋" w:cs="Times New Roman"/>
                <w:color w:val="000000" w:themeColor="text1"/>
                <w:sz w:val="24"/>
                <w:highlight w:val="none"/>
                <w:lang w:val="en-US" w:eastAsia="zh-CN"/>
                <w14:textFill>
                  <w14:solidFill>
                    <w14:schemeClr w14:val="tx1"/>
                  </w14:solidFill>
                </w14:textFill>
              </w:rPr>
              <w:t>本</w:t>
            </w:r>
            <w:r>
              <w:rPr>
                <w:rFonts w:hint="default" w:ascii="Times New Roman" w:hAnsi="Times New Roman" w:eastAsia="仿宋" w:cs="Times New Roman"/>
                <w:color w:val="000000" w:themeColor="text1"/>
                <w:sz w:val="24"/>
                <w:highlight w:val="none"/>
                <w14:textFill>
                  <w14:solidFill>
                    <w14:schemeClr w14:val="tx1"/>
                  </w14:solidFill>
                </w14:textFill>
              </w:rPr>
              <w:t>项目炸药使用量约为</w:t>
            </w:r>
            <w:r>
              <w:rPr>
                <w:rFonts w:hint="eastAsia" w:eastAsia="仿宋" w:cs="Times New Roman"/>
                <w:color w:val="000000" w:themeColor="text1"/>
                <w:sz w:val="24"/>
                <w:highlight w:val="none"/>
                <w:lang w:val="en-US" w:eastAsia="zh-CN"/>
                <w14:textFill>
                  <w14:solidFill>
                    <w14:schemeClr w14:val="tx1"/>
                  </w14:solidFill>
                </w14:textFill>
              </w:rPr>
              <w:t>20</w:t>
            </w:r>
            <w:r>
              <w:rPr>
                <w:rFonts w:hint="default" w:ascii="Times New Roman" w:hAnsi="Times New Roman" w:eastAsia="仿宋" w:cs="Times New Roman"/>
                <w:color w:val="000000" w:themeColor="text1"/>
                <w:sz w:val="24"/>
                <w:highlight w:val="none"/>
                <w14:textFill>
                  <w14:solidFill>
                    <w14:schemeClr w14:val="tx1"/>
                  </w14:solidFill>
                </w14:textFill>
              </w:rPr>
              <w:t>t</w:t>
            </w:r>
            <w:r>
              <w:rPr>
                <w:rFonts w:hint="eastAsia" w:eastAsia="仿宋" w:cs="Times New Roman"/>
                <w:color w:val="000000" w:themeColor="text1"/>
                <w:sz w:val="24"/>
                <w:highlight w:val="none"/>
                <w:lang w:val="en-US" w:eastAsia="zh-CN"/>
                <w14:textFill>
                  <w14:solidFill>
                    <w14:schemeClr w14:val="tx1"/>
                  </w14:solidFill>
                </w14:textFill>
              </w:rPr>
              <w:t>/a</w:t>
            </w:r>
            <w:r>
              <w:rPr>
                <w:rFonts w:hint="default" w:ascii="Times New Roman" w:hAnsi="Times New Roman" w:eastAsia="仿宋" w:cs="Times New Roman"/>
                <w:color w:val="000000" w:themeColor="text1"/>
                <w:sz w:val="24"/>
                <w:highlight w:val="none"/>
                <w14:textFill>
                  <w14:solidFill>
                    <w14:schemeClr w14:val="tx1"/>
                  </w14:solidFill>
                </w14:textFill>
              </w:rPr>
              <w:t>，爆破后粒径大的粉尘在近距离内短时间沉降，粒径小于10μm的飘尘不易沉降，但其仅占产尘量的1%以下。爆破过程会有少量CO、NOx产生，矿</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区</w:t>
            </w:r>
            <w:r>
              <w:rPr>
                <w:rFonts w:hint="default" w:ascii="Times New Roman" w:hAnsi="Times New Roman" w:eastAsia="仿宋" w:cs="Times New Roman"/>
                <w:color w:val="000000" w:themeColor="text1"/>
                <w:sz w:val="24"/>
                <w:highlight w:val="none"/>
                <w14:textFill>
                  <w14:solidFill>
                    <w14:schemeClr w14:val="tx1"/>
                  </w14:solidFill>
                </w14:textFill>
              </w:rPr>
              <w:t>地势空旷，且爆破时周边无</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居民区等环境敏感目标</w:t>
            </w:r>
            <w:r>
              <w:rPr>
                <w:rFonts w:hint="default" w:ascii="Times New Roman" w:hAnsi="Times New Roman" w:eastAsia="仿宋" w:cs="Times New Roman"/>
                <w:color w:val="000000" w:themeColor="text1"/>
                <w:sz w:val="24"/>
                <w:highlight w:val="none"/>
                <w14:textFill>
                  <w14:solidFill>
                    <w14:schemeClr w14:val="tx1"/>
                  </w14:solidFill>
                </w14:textFill>
              </w:rPr>
              <w:t>分布，经大气扩散后不会对工作人员及大气环境产生影响，本次评价不做定量分析。</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由于工程为露天石料矿开采，空气流动性较好，受自然风流扩散影响，可造成采场采矿下风向的大气瞬时污染，这种瞬时污染随着时间推移，以及污染物在空气中不断扩散，其浓度也会逐渐降低。</w:t>
            </w:r>
            <w:r>
              <w:rPr>
                <w:rFonts w:hint="default" w:ascii="Times New Roman" w:hAnsi="Times New Roman" w:eastAsia="仿宋" w:cs="Times New Roman"/>
                <w:color w:val="000000" w:themeColor="text1"/>
                <w:sz w:val="24"/>
                <w:highlight w:val="none"/>
                <w14:textFill>
                  <w14:solidFill>
                    <w14:schemeClr w14:val="tx1"/>
                  </w14:solidFill>
                </w14:textFill>
              </w:rPr>
              <w:t>爆破废气产生</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情况</w:t>
            </w:r>
            <w:r>
              <w:rPr>
                <w:rFonts w:hint="default" w:ascii="Times New Roman" w:hAnsi="Times New Roman" w:eastAsia="仿宋" w:cs="Times New Roman"/>
                <w:color w:val="000000" w:themeColor="text1"/>
                <w:sz w:val="24"/>
                <w:highlight w:val="none"/>
                <w14:textFill>
                  <w14:solidFill>
                    <w14:schemeClr w14:val="tx1"/>
                  </w14:solidFill>
                </w14:textFill>
              </w:rPr>
              <w:t>见表</w:t>
            </w:r>
            <w:r>
              <w:rPr>
                <w:rFonts w:hint="eastAsia" w:eastAsia="仿宋" w:cs="Times New Roman"/>
                <w:color w:val="000000" w:themeColor="text1"/>
                <w:sz w:val="24"/>
                <w:highlight w:val="none"/>
                <w:lang w:val="en-US" w:eastAsia="zh-CN"/>
                <w14:textFill>
                  <w14:solidFill>
                    <w14:schemeClr w14:val="tx1"/>
                  </w14:solidFill>
                </w14:textFill>
              </w:rPr>
              <w:t>37</w:t>
            </w:r>
            <w:r>
              <w:rPr>
                <w:rFonts w:hint="default" w:ascii="Times New Roman" w:hAnsi="Times New Roman" w:eastAsia="仿宋" w:cs="Times New Roman"/>
                <w:color w:val="000000" w:themeColor="text1"/>
                <w:sz w:val="24"/>
                <w:highlight w:val="none"/>
                <w14:textFill>
                  <w14:solidFill>
                    <w14:schemeClr w14:val="tx1"/>
                  </w14:solidFill>
                </w14:textFill>
              </w:rPr>
              <w:t>。</w:t>
            </w:r>
          </w:p>
          <w:p w14:paraId="4875C97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仿宋" w:cs="Times New Roman"/>
                <w:b/>
                <w:color w:val="000000" w:themeColor="text1"/>
                <w:kern w:val="0"/>
                <w:szCs w:val="21"/>
                <w:lang w:eastAsia="zh-CN"/>
                <w14:textFill>
                  <w14:solidFill>
                    <w14:schemeClr w14:val="tx1"/>
                  </w14:solidFill>
                </w14:textFill>
              </w:rPr>
            </w:pPr>
            <w:r>
              <w:rPr>
                <w:rFonts w:hint="default" w:ascii="Times New Roman" w:hAnsi="Times New Roman" w:eastAsia="仿宋" w:cs="Times New Roman"/>
                <w:b/>
                <w:color w:val="000000" w:themeColor="text1"/>
                <w:kern w:val="0"/>
                <w:szCs w:val="21"/>
                <w14:textFill>
                  <w14:solidFill>
                    <w14:schemeClr w14:val="tx1"/>
                  </w14:solidFill>
                </w14:textFill>
              </w:rPr>
              <w:t>表</w:t>
            </w:r>
            <w:r>
              <w:rPr>
                <w:rFonts w:hint="eastAsia" w:eastAsia="仿宋" w:cs="Times New Roman"/>
                <w:b/>
                <w:color w:val="000000" w:themeColor="text1"/>
                <w:kern w:val="0"/>
                <w:szCs w:val="21"/>
                <w:lang w:val="en-US" w:eastAsia="zh-CN"/>
                <w14:textFill>
                  <w14:solidFill>
                    <w14:schemeClr w14:val="tx1"/>
                  </w14:solidFill>
                </w14:textFill>
              </w:rPr>
              <w:t>37</w:t>
            </w:r>
            <w:r>
              <w:rPr>
                <w:rFonts w:hint="eastAsia" w:ascii="Times New Roman" w:hAnsi="Times New Roman" w:eastAsia="仿宋" w:cs="Times New Roman"/>
                <w:b/>
                <w:color w:val="000000" w:themeColor="text1"/>
                <w:kern w:val="0"/>
                <w:szCs w:val="21"/>
                <w:lang w:val="en-US" w:eastAsia="zh-CN"/>
                <w14:textFill>
                  <w14:solidFill>
                    <w14:schemeClr w14:val="tx1"/>
                  </w14:solidFill>
                </w14:textFill>
              </w:rPr>
              <w:t xml:space="preserve">  </w:t>
            </w:r>
            <w:r>
              <w:rPr>
                <w:rFonts w:hint="default" w:ascii="Times New Roman" w:hAnsi="Times New Roman" w:eastAsia="仿宋" w:cs="Times New Roman"/>
                <w:b/>
                <w:color w:val="000000" w:themeColor="text1"/>
                <w:kern w:val="0"/>
                <w:szCs w:val="21"/>
                <w14:textFill>
                  <w14:solidFill>
                    <w14:schemeClr w14:val="tx1"/>
                  </w14:solidFill>
                </w14:textFill>
              </w:rPr>
              <w:t>炸药爆炸废气产排</w:t>
            </w:r>
            <w:r>
              <w:rPr>
                <w:rFonts w:hint="default" w:ascii="Times New Roman" w:hAnsi="Times New Roman" w:eastAsia="仿宋" w:cs="Times New Roman"/>
                <w:b/>
                <w:color w:val="000000" w:themeColor="text1"/>
                <w:kern w:val="0"/>
                <w:szCs w:val="21"/>
                <w:lang w:val="en-US" w:eastAsia="zh-CN"/>
                <w14:textFill>
                  <w14:solidFill>
                    <w14:schemeClr w14:val="tx1"/>
                  </w14:solidFill>
                </w14:textFill>
              </w:rPr>
              <w:t>情况一览表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451"/>
              <w:gridCol w:w="1583"/>
              <w:gridCol w:w="1711"/>
              <w:gridCol w:w="1522"/>
            </w:tblGrid>
            <w:tr w14:paraId="560A51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716" w:type="dxa"/>
                  <w:tcBorders>
                    <w:tl2br w:val="nil"/>
                    <w:tr2bl w:val="nil"/>
                  </w:tcBorders>
                  <w:noWrap w:val="0"/>
                  <w:vAlign w:val="center"/>
                </w:tcPr>
                <w:p w14:paraId="574D7E23">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14:textFill>
                        <w14:solidFill>
                          <w14:schemeClr w14:val="tx1"/>
                        </w14:solidFill>
                      </w14:textFill>
                    </w:rPr>
                  </w:pPr>
                  <w:r>
                    <w:rPr>
                      <w:rFonts w:hint="default" w:ascii="Times New Roman" w:hAnsi="Times New Roman" w:eastAsia="仿宋" w:cs="Times New Roman"/>
                      <w:color w:val="000000" w:themeColor="text1"/>
                      <w:szCs w:val="21"/>
                      <w:highlight w:val="none"/>
                      <w14:textFill>
                        <w14:solidFill>
                          <w14:schemeClr w14:val="tx1"/>
                        </w14:solidFill>
                      </w14:textFill>
                    </w:rPr>
                    <w:t>污染物</w:t>
                  </w:r>
                </w:p>
              </w:tc>
              <w:tc>
                <w:tcPr>
                  <w:tcW w:w="1745" w:type="dxa"/>
                  <w:tcBorders>
                    <w:tl2br w:val="nil"/>
                    <w:tr2bl w:val="nil"/>
                  </w:tcBorders>
                  <w:noWrap w:val="0"/>
                  <w:vAlign w:val="center"/>
                </w:tcPr>
                <w:p w14:paraId="2B790AC0">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14:textFill>
                        <w14:solidFill>
                          <w14:schemeClr w14:val="tx1"/>
                        </w14:solidFill>
                      </w14:textFill>
                    </w:rPr>
                  </w:pPr>
                  <w:r>
                    <w:rPr>
                      <w:rFonts w:hint="default" w:ascii="Times New Roman" w:hAnsi="Times New Roman" w:eastAsia="仿宋" w:cs="Times New Roman"/>
                      <w:color w:val="000000" w:themeColor="text1"/>
                      <w:szCs w:val="21"/>
                      <w:highlight w:val="none"/>
                      <w14:textFill>
                        <w14:solidFill>
                          <w14:schemeClr w14:val="tx1"/>
                        </w14:solidFill>
                      </w14:textFill>
                    </w:rPr>
                    <w:t>CO</w:t>
                  </w:r>
                </w:p>
              </w:tc>
              <w:tc>
                <w:tcPr>
                  <w:tcW w:w="1888" w:type="dxa"/>
                  <w:tcBorders>
                    <w:tl2br w:val="nil"/>
                    <w:tr2bl w:val="nil"/>
                  </w:tcBorders>
                  <w:noWrap w:val="0"/>
                  <w:vAlign w:val="center"/>
                </w:tcPr>
                <w:p w14:paraId="4543C744">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vertAlign w:val="subscript"/>
                      <w14:textFill>
                        <w14:solidFill>
                          <w14:schemeClr w14:val="tx1"/>
                        </w14:solidFill>
                      </w14:textFill>
                    </w:rPr>
                  </w:pPr>
                  <w:r>
                    <w:rPr>
                      <w:rFonts w:hint="default" w:ascii="Times New Roman" w:hAnsi="Times New Roman" w:eastAsia="仿宋" w:cs="Times New Roman"/>
                      <w:color w:val="000000" w:themeColor="text1"/>
                      <w:szCs w:val="21"/>
                      <w:highlight w:val="none"/>
                      <w14:textFill>
                        <w14:solidFill>
                          <w14:schemeClr w14:val="tx1"/>
                        </w14:solidFill>
                      </w14:textFill>
                    </w:rPr>
                    <w:t>NO</w:t>
                  </w:r>
                  <w:r>
                    <w:rPr>
                      <w:rFonts w:hint="default" w:ascii="Times New Roman" w:hAnsi="Times New Roman" w:eastAsia="仿宋" w:cs="Times New Roman"/>
                      <w:color w:val="000000" w:themeColor="text1"/>
                      <w:szCs w:val="21"/>
                      <w:highlight w:val="none"/>
                      <w:vertAlign w:val="subscript"/>
                      <w14:textFill>
                        <w14:solidFill>
                          <w14:schemeClr w14:val="tx1"/>
                        </w14:solidFill>
                      </w14:textFill>
                    </w:rPr>
                    <w:t>x</w:t>
                  </w:r>
                  <w:r>
                    <w:rPr>
                      <w:rFonts w:hint="eastAsia" w:eastAsia="仿宋" w:cs="Times New Roman"/>
                      <w:color w:val="000000" w:themeColor="text1"/>
                      <w:szCs w:val="21"/>
                      <w:highlight w:val="none"/>
                      <w:lang w:eastAsia="zh-CN"/>
                      <w14:textFill>
                        <w14:solidFill>
                          <w14:schemeClr w14:val="tx1"/>
                        </w14:solidFill>
                      </w14:textFill>
                    </w:rPr>
                    <w:t>（</w:t>
                  </w:r>
                  <w:r>
                    <w:rPr>
                      <w:rFonts w:hint="default" w:ascii="Times New Roman" w:hAnsi="Times New Roman" w:eastAsia="仿宋" w:cs="Times New Roman"/>
                      <w:color w:val="000000" w:themeColor="text1"/>
                      <w:szCs w:val="21"/>
                      <w:highlight w:val="none"/>
                      <w14:textFill>
                        <w14:solidFill>
                          <w14:schemeClr w14:val="tx1"/>
                        </w14:solidFill>
                      </w14:textFill>
                    </w:rPr>
                    <w:t>以NO</w:t>
                  </w:r>
                  <w:r>
                    <w:rPr>
                      <w:rFonts w:hint="default" w:ascii="Times New Roman" w:hAnsi="Times New Roman" w:eastAsia="仿宋" w:cs="Times New Roman"/>
                      <w:color w:val="000000" w:themeColor="text1"/>
                      <w:szCs w:val="21"/>
                      <w:highlight w:val="none"/>
                      <w:vertAlign w:val="subscript"/>
                      <w14:textFill>
                        <w14:solidFill>
                          <w14:schemeClr w14:val="tx1"/>
                        </w14:solidFill>
                      </w14:textFill>
                    </w:rPr>
                    <w:t>2</w:t>
                  </w:r>
                  <w:r>
                    <w:rPr>
                      <w:rFonts w:hint="default" w:ascii="Times New Roman" w:hAnsi="Times New Roman" w:eastAsia="仿宋" w:cs="Times New Roman"/>
                      <w:color w:val="000000" w:themeColor="text1"/>
                      <w:szCs w:val="21"/>
                      <w:highlight w:val="none"/>
                      <w14:textFill>
                        <w14:solidFill>
                          <w14:schemeClr w14:val="tx1"/>
                        </w14:solidFill>
                      </w14:textFill>
                    </w:rPr>
                    <w:t>计</w:t>
                  </w:r>
                  <w:r>
                    <w:rPr>
                      <w:rFonts w:hint="eastAsia" w:eastAsia="仿宋" w:cs="Times New Roman"/>
                      <w:color w:val="000000" w:themeColor="text1"/>
                      <w:szCs w:val="21"/>
                      <w:highlight w:val="none"/>
                      <w:lang w:eastAsia="zh-CN"/>
                      <w14:textFill>
                        <w14:solidFill>
                          <w14:schemeClr w14:val="tx1"/>
                        </w14:solidFill>
                      </w14:textFill>
                    </w:rPr>
                    <w:t>）</w:t>
                  </w:r>
                </w:p>
              </w:tc>
              <w:tc>
                <w:tcPr>
                  <w:tcW w:w="1675" w:type="dxa"/>
                  <w:tcBorders>
                    <w:tl2br w:val="nil"/>
                    <w:tr2bl w:val="nil"/>
                  </w:tcBorders>
                  <w:noWrap w:val="0"/>
                  <w:vAlign w:val="center"/>
                </w:tcPr>
                <w:p w14:paraId="122CCCF5">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14:textFill>
                        <w14:solidFill>
                          <w14:schemeClr w14:val="tx1"/>
                        </w14:solidFill>
                      </w14:textFill>
                    </w:rPr>
                  </w:pPr>
                  <w:r>
                    <w:rPr>
                      <w:rFonts w:hint="default" w:ascii="Times New Roman" w:hAnsi="Times New Roman" w:eastAsia="仿宋" w:cs="Times New Roman"/>
                      <w:color w:val="000000" w:themeColor="text1"/>
                      <w:szCs w:val="21"/>
                      <w:highlight w:val="none"/>
                      <w14:textFill>
                        <w14:solidFill>
                          <w14:schemeClr w14:val="tx1"/>
                        </w14:solidFill>
                      </w14:textFill>
                    </w:rPr>
                    <w:t>粉尘</w:t>
                  </w:r>
                </w:p>
              </w:tc>
            </w:tr>
            <w:tr w14:paraId="062666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716" w:type="dxa"/>
                  <w:tcBorders>
                    <w:tl2br w:val="nil"/>
                    <w:tr2bl w:val="nil"/>
                  </w:tcBorders>
                  <w:noWrap w:val="0"/>
                  <w:vAlign w:val="center"/>
                </w:tcPr>
                <w:p w14:paraId="7E50B2BF">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14:textFill>
                        <w14:solidFill>
                          <w14:schemeClr w14:val="tx1"/>
                        </w14:solidFill>
                      </w14:textFill>
                    </w:rPr>
                  </w:pPr>
                  <w:r>
                    <w:rPr>
                      <w:rFonts w:hint="default" w:ascii="Times New Roman" w:hAnsi="Times New Roman" w:eastAsia="仿宋" w:cs="Times New Roman"/>
                      <w:color w:val="000000" w:themeColor="text1"/>
                      <w:szCs w:val="21"/>
                      <w:highlight w:val="none"/>
                      <w14:textFill>
                        <w14:solidFill>
                          <w14:schemeClr w14:val="tx1"/>
                        </w14:solidFill>
                      </w14:textFill>
                    </w:rPr>
                    <w:t>产生系数（</w:t>
                  </w:r>
                  <w:r>
                    <w:rPr>
                      <w:rFonts w:hint="eastAsia" w:eastAsia="仿宋" w:cs="Times New Roman"/>
                      <w:color w:val="000000" w:themeColor="text1"/>
                      <w:szCs w:val="21"/>
                      <w:highlight w:val="none"/>
                      <w:lang w:val="en-US" w:eastAsia="zh-CN"/>
                      <w14:textFill>
                        <w14:solidFill>
                          <w14:schemeClr w14:val="tx1"/>
                        </w14:solidFill>
                      </w14:textFill>
                    </w:rPr>
                    <w:t>kg</w:t>
                  </w:r>
                  <w:r>
                    <w:rPr>
                      <w:rFonts w:hint="default" w:ascii="Times New Roman" w:hAnsi="Times New Roman" w:eastAsia="仿宋" w:cs="Times New Roman"/>
                      <w:color w:val="000000" w:themeColor="text1"/>
                      <w:szCs w:val="21"/>
                      <w:highlight w:val="none"/>
                      <w14:textFill>
                        <w14:solidFill>
                          <w14:schemeClr w14:val="tx1"/>
                        </w14:solidFill>
                      </w14:textFill>
                    </w:rPr>
                    <w:t>/</w:t>
                  </w:r>
                  <w:r>
                    <w:rPr>
                      <w:rFonts w:hint="eastAsia" w:eastAsia="仿宋" w:cs="Times New Roman"/>
                      <w:color w:val="000000" w:themeColor="text1"/>
                      <w:szCs w:val="21"/>
                      <w:highlight w:val="none"/>
                      <w:lang w:val="en-US" w:eastAsia="zh-CN"/>
                      <w14:textFill>
                        <w14:solidFill>
                          <w14:schemeClr w14:val="tx1"/>
                        </w14:solidFill>
                      </w14:textFill>
                    </w:rPr>
                    <w:t>t</w:t>
                  </w:r>
                  <w:r>
                    <w:rPr>
                      <w:rFonts w:hint="default" w:ascii="Times New Roman" w:hAnsi="Times New Roman" w:eastAsia="仿宋" w:cs="Times New Roman"/>
                      <w:color w:val="000000" w:themeColor="text1"/>
                      <w:szCs w:val="21"/>
                      <w:highlight w:val="none"/>
                      <w14:textFill>
                        <w14:solidFill>
                          <w14:schemeClr w14:val="tx1"/>
                        </w14:solidFill>
                      </w14:textFill>
                    </w:rPr>
                    <w:t>炸药）</w:t>
                  </w:r>
                </w:p>
              </w:tc>
              <w:tc>
                <w:tcPr>
                  <w:tcW w:w="1745" w:type="dxa"/>
                  <w:tcBorders>
                    <w:tl2br w:val="nil"/>
                    <w:tr2bl w:val="nil"/>
                  </w:tcBorders>
                  <w:noWrap w:val="0"/>
                  <w:vAlign w:val="center"/>
                </w:tcPr>
                <w:p w14:paraId="6144FFD0">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14:textFill>
                        <w14:solidFill>
                          <w14:schemeClr w14:val="tx1"/>
                        </w14:solidFill>
                      </w14:textFill>
                    </w:rPr>
                  </w:pPr>
                  <w:r>
                    <w:rPr>
                      <w:rFonts w:hint="default" w:ascii="Times New Roman" w:hAnsi="Times New Roman" w:eastAsia="仿宋" w:cs="Times New Roman"/>
                      <w:color w:val="000000" w:themeColor="text1"/>
                      <w:szCs w:val="21"/>
                      <w:highlight w:val="none"/>
                      <w14:textFill>
                        <w14:solidFill>
                          <w14:schemeClr w14:val="tx1"/>
                        </w14:solidFill>
                      </w14:textFill>
                    </w:rPr>
                    <w:t>34</w:t>
                  </w:r>
                </w:p>
              </w:tc>
              <w:tc>
                <w:tcPr>
                  <w:tcW w:w="1888" w:type="dxa"/>
                  <w:tcBorders>
                    <w:tl2br w:val="nil"/>
                    <w:tr2bl w:val="nil"/>
                  </w:tcBorders>
                  <w:noWrap w:val="0"/>
                  <w:vAlign w:val="center"/>
                </w:tcPr>
                <w:p w14:paraId="59028760">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14:textFill>
                        <w14:solidFill>
                          <w14:schemeClr w14:val="tx1"/>
                        </w14:solidFill>
                      </w14:textFill>
                    </w:rPr>
                  </w:pPr>
                  <w:r>
                    <w:rPr>
                      <w:rFonts w:hint="default" w:ascii="Times New Roman" w:hAnsi="Times New Roman" w:eastAsia="仿宋" w:cs="Times New Roman"/>
                      <w:color w:val="000000" w:themeColor="text1"/>
                      <w:szCs w:val="21"/>
                      <w:highlight w:val="none"/>
                      <w14:textFill>
                        <w14:solidFill>
                          <w14:schemeClr w14:val="tx1"/>
                        </w14:solidFill>
                      </w14:textFill>
                    </w:rPr>
                    <w:t>8</w:t>
                  </w:r>
                </w:p>
              </w:tc>
              <w:tc>
                <w:tcPr>
                  <w:tcW w:w="1675" w:type="dxa"/>
                  <w:tcBorders>
                    <w:tl2br w:val="nil"/>
                    <w:tr2bl w:val="nil"/>
                  </w:tcBorders>
                  <w:noWrap w:val="0"/>
                  <w:vAlign w:val="center"/>
                </w:tcPr>
                <w:p w14:paraId="592D62A2">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14:textFill>
                        <w14:solidFill>
                          <w14:schemeClr w14:val="tx1"/>
                        </w14:solidFill>
                      </w14:textFill>
                    </w:rPr>
                  </w:pPr>
                  <w:r>
                    <w:rPr>
                      <w:rFonts w:hint="default" w:ascii="Times New Roman" w:hAnsi="Times New Roman" w:eastAsia="仿宋" w:cs="Times New Roman"/>
                      <w:color w:val="000000" w:themeColor="text1"/>
                      <w:szCs w:val="21"/>
                      <w:highlight w:val="none"/>
                      <w14:textFill>
                        <w14:solidFill>
                          <w14:schemeClr w14:val="tx1"/>
                        </w14:solidFill>
                      </w14:textFill>
                    </w:rPr>
                    <w:t>54.2</w:t>
                  </w:r>
                </w:p>
              </w:tc>
            </w:tr>
            <w:tr w14:paraId="2F8C92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716" w:type="dxa"/>
                  <w:tcBorders>
                    <w:tl2br w:val="nil"/>
                    <w:tr2bl w:val="nil"/>
                  </w:tcBorders>
                  <w:noWrap w:val="0"/>
                  <w:vAlign w:val="center"/>
                </w:tcPr>
                <w:p w14:paraId="5C236CA2">
                  <w:pPr>
                    <w:widowControl/>
                    <w:tabs>
                      <w:tab w:val="left" w:pos="900"/>
                    </w:tabs>
                    <w:adjustRightInd w:val="0"/>
                    <w:snapToGrid w:val="0"/>
                    <w:jc w:val="center"/>
                    <w:rPr>
                      <w:rFonts w:hint="default" w:ascii="Times New Roman" w:hAnsi="Times New Roman" w:eastAsia="仿宋" w:cs="Times New Roman"/>
                      <w:color w:val="000000" w:themeColor="text1"/>
                      <w:szCs w:val="21"/>
                      <w:highlight w:val="none"/>
                      <w14:textFill>
                        <w14:solidFill>
                          <w14:schemeClr w14:val="tx1"/>
                        </w14:solidFill>
                      </w14:textFill>
                    </w:rPr>
                  </w:pPr>
                  <w:r>
                    <w:rPr>
                      <w:rFonts w:hint="default" w:ascii="Times New Roman" w:hAnsi="Times New Roman" w:eastAsia="仿宋" w:cs="Times New Roman"/>
                      <w:color w:val="000000" w:themeColor="text1"/>
                      <w:szCs w:val="21"/>
                      <w:highlight w:val="none"/>
                      <w14:textFill>
                        <w14:solidFill>
                          <w14:schemeClr w14:val="tx1"/>
                        </w14:solidFill>
                      </w14:textFill>
                    </w:rPr>
                    <w:t>产生量（t/a）</w:t>
                  </w:r>
                </w:p>
              </w:tc>
              <w:tc>
                <w:tcPr>
                  <w:tcW w:w="1745" w:type="dxa"/>
                  <w:tcBorders>
                    <w:tl2br w:val="nil"/>
                    <w:tr2bl w:val="nil"/>
                  </w:tcBorders>
                  <w:noWrap w:val="0"/>
                  <w:vAlign w:val="center"/>
                </w:tcPr>
                <w:p w14:paraId="3EEBB9F1">
                  <w:pPr>
                    <w:widowControl/>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eastAsia="仿宋" w:cs="Times New Roman"/>
                      <w:color w:val="000000" w:themeColor="text1"/>
                      <w:szCs w:val="21"/>
                      <w:highlight w:val="none"/>
                      <w:lang w:val="en-US" w:eastAsia="zh-CN"/>
                      <w14:textFill>
                        <w14:solidFill>
                          <w14:schemeClr w14:val="tx1"/>
                        </w14:solidFill>
                      </w14:textFill>
                    </w:rPr>
                    <w:t>0.67</w:t>
                  </w:r>
                </w:p>
              </w:tc>
              <w:tc>
                <w:tcPr>
                  <w:tcW w:w="1888" w:type="dxa"/>
                  <w:tcBorders>
                    <w:tl2br w:val="nil"/>
                    <w:tr2bl w:val="nil"/>
                  </w:tcBorders>
                  <w:noWrap w:val="0"/>
                  <w:vAlign w:val="center"/>
                </w:tcPr>
                <w:p w14:paraId="33754BE3">
                  <w:pPr>
                    <w:widowControl/>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eastAsia="仿宋" w:cs="Times New Roman"/>
                      <w:color w:val="000000" w:themeColor="text1"/>
                      <w:szCs w:val="21"/>
                      <w:highlight w:val="none"/>
                      <w:lang w:val="en-US" w:eastAsia="zh-CN"/>
                      <w14:textFill>
                        <w14:solidFill>
                          <w14:schemeClr w14:val="tx1"/>
                        </w14:solidFill>
                      </w14:textFill>
                    </w:rPr>
                    <w:t>0.16</w:t>
                  </w:r>
                </w:p>
              </w:tc>
              <w:tc>
                <w:tcPr>
                  <w:tcW w:w="1675" w:type="dxa"/>
                  <w:tcBorders>
                    <w:tl2br w:val="nil"/>
                    <w:tr2bl w:val="nil"/>
                  </w:tcBorders>
                  <w:noWrap w:val="0"/>
                  <w:vAlign w:val="center"/>
                </w:tcPr>
                <w:p w14:paraId="3CAF98D6">
                  <w:pPr>
                    <w:widowControl/>
                    <w:adjustRightInd w:val="0"/>
                    <w:snapToGrid w:val="0"/>
                    <w:jc w:val="center"/>
                    <w:rPr>
                      <w:rFonts w:hint="default" w:ascii="Times New Roman" w:hAnsi="Times New Roman" w:eastAsia="仿宋" w:cs="Times New Roman"/>
                      <w:color w:val="000000" w:themeColor="text1"/>
                      <w:szCs w:val="21"/>
                      <w:highlight w:val="none"/>
                      <w:lang w:val="en-US" w:eastAsia="zh-CN"/>
                      <w14:textFill>
                        <w14:solidFill>
                          <w14:schemeClr w14:val="tx1"/>
                        </w14:solidFill>
                      </w14:textFill>
                    </w:rPr>
                  </w:pPr>
                  <w:r>
                    <w:rPr>
                      <w:rFonts w:hint="eastAsia" w:eastAsia="仿宋" w:cs="Times New Roman"/>
                      <w:color w:val="000000" w:themeColor="text1"/>
                      <w:szCs w:val="21"/>
                      <w:highlight w:val="none"/>
                      <w:lang w:val="en-US" w:eastAsia="zh-CN"/>
                      <w14:textFill>
                        <w14:solidFill>
                          <w14:schemeClr w14:val="tx1"/>
                        </w14:solidFill>
                      </w14:textFill>
                    </w:rPr>
                    <w:t>1.08</w:t>
                  </w:r>
                </w:p>
              </w:tc>
            </w:tr>
          </w:tbl>
          <w:p w14:paraId="69B43376">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④液压锤</w:t>
            </w:r>
            <w:r>
              <w:rPr>
                <w:rFonts w:hint="eastAsia" w:eastAsia="仿宋" w:cs="Times New Roman"/>
                <w:color w:val="000000" w:themeColor="text1"/>
                <w:sz w:val="24"/>
                <w:highlight w:val="none"/>
                <w:lang w:val="en-US" w:eastAsia="zh-CN"/>
                <w14:textFill>
                  <w14:solidFill>
                    <w14:schemeClr w14:val="tx1"/>
                  </w14:solidFill>
                </w14:textFill>
              </w:rPr>
              <w:t>二次</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破碎粉尘（G4）</w:t>
            </w:r>
          </w:p>
          <w:p w14:paraId="2D34F91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pPr>
            <w:r>
              <w:rPr>
                <w:rFonts w:hint="eastAsia" w:eastAsia="仿宋" w:cs="Times New Roman"/>
                <w:color w:val="000000" w:themeColor="text1"/>
                <w:sz w:val="24"/>
                <w:highlight w:val="none"/>
                <w:lang w:val="en-US" w:eastAsia="zh-CN"/>
                <w14:textFill>
                  <w14:solidFill>
                    <w14:schemeClr w14:val="tx1"/>
                  </w14:solidFill>
                </w14:textFill>
              </w:rPr>
              <w:t>本项目</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开采爆破后难免产生个别大块矿石，这些大块矿石需要进行二次破碎处理，本项目采用</w:t>
            </w:r>
            <w:r>
              <w:rPr>
                <w:rFonts w:hint="eastAsia" w:eastAsia="仿宋" w:cs="Times New Roman"/>
                <w:color w:val="000000" w:themeColor="text1"/>
                <w:sz w:val="24"/>
                <w:highlight w:val="none"/>
                <w:lang w:val="en-US" w:eastAsia="zh-CN"/>
                <w14:textFill>
                  <w14:solidFill>
                    <w14:schemeClr w14:val="tx1"/>
                  </w14:solidFill>
                </w14:textFill>
              </w:rPr>
              <w:t>挖掘机</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液压锤对大块矿石进行二次破碎处理。破碎粉尘主要在液压锤锤破那一瞬间，粉尘产生量较小，</w:t>
            </w:r>
            <w:r>
              <w:rPr>
                <w:rFonts w:hint="eastAsia" w:eastAsia="仿宋" w:cs="Times New Roman"/>
                <w:color w:val="000000" w:themeColor="text1"/>
                <w:sz w:val="24"/>
                <w:highlight w:val="none"/>
                <w:lang w:val="en-US" w:eastAsia="zh-CN"/>
                <w14:textFill>
                  <w14:solidFill>
                    <w14:schemeClr w14:val="tx1"/>
                  </w14:solidFill>
                </w14:textFill>
              </w:rPr>
              <w:t>环评要求</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在破碎过程中采用雾炮机喷雾降尘，采取上述措施后，破碎粉尘排放量较小，可忽略不计。</w:t>
            </w:r>
          </w:p>
          <w:p w14:paraId="58E9C3B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sz w:val="24"/>
                <w:highlight w:val="none"/>
                <w:lang w:val="en-US" w:eastAsia="zh-CN"/>
              </w:rPr>
            </w:pPr>
            <w:r>
              <w:rPr>
                <w:rFonts w:hint="default" w:ascii="Times New Roman" w:hAnsi="Times New Roman" w:eastAsia="仿宋" w:cs="Times New Roman"/>
                <w:color w:val="FF0000"/>
                <w:sz w:val="24"/>
                <w:highlight w:val="none"/>
                <w:lang w:val="en-US" w:eastAsia="zh-CN"/>
              </w:rPr>
              <w:t>⑤铲装粉尘（G5）</w:t>
            </w:r>
          </w:p>
          <w:p w14:paraId="60404AA2">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仿宋" w:cs="Times New Roman"/>
                <w:color w:val="FF0000"/>
                <w:kern w:val="0"/>
                <w:sz w:val="24"/>
                <w:highlight w:val="none"/>
              </w:rPr>
            </w:pPr>
            <w:r>
              <w:rPr>
                <w:rFonts w:hint="eastAsia" w:eastAsia="仿宋" w:cs="Times New Roman"/>
                <w:color w:val="FF0000"/>
                <w:kern w:val="0"/>
                <w:sz w:val="24"/>
                <w:highlight w:val="none"/>
                <w:lang w:val="en-US" w:eastAsia="zh-CN"/>
              </w:rPr>
              <w:t>本</w:t>
            </w:r>
            <w:r>
              <w:rPr>
                <w:rFonts w:hint="default" w:ascii="Times New Roman" w:hAnsi="Times New Roman" w:eastAsia="仿宋" w:cs="Times New Roman"/>
                <w:color w:val="FF0000"/>
                <w:kern w:val="0"/>
                <w:sz w:val="24"/>
                <w:highlight w:val="none"/>
              </w:rPr>
              <w:t>项目矿山山体爆破后的石料</w:t>
            </w:r>
            <w:r>
              <w:rPr>
                <w:rFonts w:hint="eastAsia" w:eastAsia="仿宋" w:cs="Times New Roman"/>
                <w:color w:val="FF0000"/>
                <w:kern w:val="0"/>
                <w:sz w:val="24"/>
                <w:highlight w:val="none"/>
                <w:lang w:eastAsia="zh-CN"/>
              </w:rPr>
              <w:t>、</w:t>
            </w:r>
            <w:r>
              <w:rPr>
                <w:rFonts w:hint="eastAsia" w:eastAsia="仿宋" w:cs="Times New Roman"/>
                <w:color w:val="FF0000"/>
                <w:kern w:val="0"/>
                <w:sz w:val="24"/>
                <w:highlight w:val="none"/>
                <w:lang w:val="en-US" w:eastAsia="zh-CN"/>
              </w:rPr>
              <w:t>废料等</w:t>
            </w:r>
            <w:r>
              <w:rPr>
                <w:rFonts w:hint="default" w:ascii="Times New Roman" w:hAnsi="Times New Roman" w:eastAsia="仿宋" w:cs="Times New Roman"/>
                <w:color w:val="FF0000"/>
                <w:kern w:val="0"/>
                <w:sz w:val="24"/>
                <w:highlight w:val="none"/>
              </w:rPr>
              <w:t>在装车时，需用铲车铲装</w:t>
            </w:r>
            <w:r>
              <w:rPr>
                <w:rFonts w:hint="default" w:ascii="Times New Roman" w:hAnsi="Times New Roman" w:eastAsia="仿宋" w:cs="Times New Roman"/>
                <w:color w:val="FF0000"/>
                <w:spacing w:val="0"/>
                <w:kern w:val="0"/>
                <w:position w:val="0"/>
                <w:sz w:val="24"/>
                <w:szCs w:val="24"/>
                <w:highlight w:val="none"/>
                <w:lang w:val="en-US" w:eastAsia="zh-CN" w:bidi="ar"/>
              </w:rPr>
              <w:t>，铲装过程将产生粉尘，工作面相对较大，工作时会产生一定量的粉尘，是无组织粉尘主要的产生环节之一。本项目物料装车机械落差的起尘量采用</w:t>
            </w:r>
            <w:r>
              <w:rPr>
                <w:rFonts w:hint="eastAsia" w:eastAsia="仿宋" w:cs="Times New Roman"/>
                <w:color w:val="FF0000"/>
                <w:spacing w:val="0"/>
                <w:kern w:val="0"/>
                <w:position w:val="0"/>
                <w:sz w:val="24"/>
                <w:szCs w:val="24"/>
                <w:highlight w:val="none"/>
                <w:lang w:val="en-US" w:eastAsia="zh-CN" w:bidi="ar"/>
              </w:rPr>
              <w:t>交通运输部</w:t>
            </w:r>
            <w:r>
              <w:rPr>
                <w:rFonts w:hint="default" w:ascii="Times New Roman" w:hAnsi="Times New Roman" w:eastAsia="仿宋" w:cs="Times New Roman"/>
                <w:color w:val="FF0000"/>
                <w:spacing w:val="0"/>
                <w:kern w:val="0"/>
                <w:position w:val="0"/>
                <w:sz w:val="24"/>
                <w:szCs w:val="24"/>
                <w:highlight w:val="none"/>
                <w:lang w:val="en-US" w:eastAsia="zh-CN" w:bidi="ar"/>
              </w:rPr>
              <w:t>水运研究所和武汉工程学院提出的装卸起尘量的经验公式进行估算，</w:t>
            </w:r>
            <w:r>
              <w:rPr>
                <w:rFonts w:hint="default" w:ascii="Times New Roman" w:hAnsi="Times New Roman" w:eastAsia="仿宋" w:cs="Times New Roman"/>
                <w:color w:val="FF0000"/>
                <w:kern w:val="0"/>
                <w:sz w:val="24"/>
                <w:highlight w:val="none"/>
              </w:rPr>
              <w:t>经验公式为：</w:t>
            </w:r>
          </w:p>
          <w:p w14:paraId="1642AAF1">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仿宋" w:cs="Times New Roman"/>
                <w:color w:val="FF0000"/>
                <w:kern w:val="0"/>
                <w:sz w:val="24"/>
                <w:highlight w:val="none"/>
              </w:rPr>
            </w:pPr>
            <w:r>
              <w:rPr>
                <w:rFonts w:hint="default" w:ascii="Times New Roman" w:hAnsi="Times New Roman" w:eastAsia="仿宋" w:cs="Times New Roman"/>
                <w:color w:val="FF0000"/>
                <w:kern w:val="0"/>
                <w:sz w:val="24"/>
                <w:highlight w:val="none"/>
              </w:rPr>
              <w:t>式中：Q——物料装车时机械落差起尘量，kg/s；</w:t>
            </w:r>
          </w:p>
          <w:p w14:paraId="755E1D1C">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textAlignment w:val="auto"/>
              <w:rPr>
                <w:rFonts w:hint="default" w:ascii="Times New Roman" w:hAnsi="Times New Roman" w:eastAsia="仿宋" w:cs="Times New Roman"/>
                <w:color w:val="FF0000"/>
                <w:kern w:val="0"/>
                <w:sz w:val="24"/>
                <w:highlight w:val="none"/>
              </w:rPr>
            </w:pPr>
            <w:r>
              <w:rPr>
                <w:rFonts w:hint="default" w:ascii="Times New Roman" w:hAnsi="Times New Roman" w:eastAsia="仿宋" w:cs="Times New Roman"/>
                <w:color w:val="FF0000"/>
                <w:kern w:val="0"/>
                <w:sz w:val="24"/>
                <w:highlight w:val="none"/>
              </w:rPr>
              <w:t>u——平均风速，m/s；</w:t>
            </w:r>
          </w:p>
          <w:p w14:paraId="57013661">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textAlignment w:val="auto"/>
              <w:rPr>
                <w:rFonts w:hint="default" w:ascii="Times New Roman" w:hAnsi="Times New Roman" w:eastAsia="仿宋" w:cs="Times New Roman"/>
                <w:color w:val="FF0000"/>
                <w:kern w:val="0"/>
                <w:sz w:val="24"/>
                <w:highlight w:val="none"/>
              </w:rPr>
            </w:pPr>
            <w:r>
              <w:rPr>
                <w:rFonts w:hint="default" w:ascii="Times New Roman" w:hAnsi="Times New Roman" w:eastAsia="仿宋" w:cs="Times New Roman"/>
                <w:color w:val="FF0000"/>
                <w:kern w:val="0"/>
                <w:sz w:val="24"/>
                <w:highlight w:val="none"/>
              </w:rPr>
              <w:t>H——物料落差，m；</w:t>
            </w:r>
          </w:p>
          <w:p w14:paraId="2825EEB4">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textAlignment w:val="auto"/>
              <w:rPr>
                <w:rFonts w:hint="default" w:ascii="Times New Roman" w:hAnsi="Times New Roman" w:eastAsia="仿宋" w:cs="Times New Roman"/>
                <w:color w:val="FF0000"/>
                <w:kern w:val="0"/>
                <w:sz w:val="24"/>
                <w:highlight w:val="none"/>
              </w:rPr>
            </w:pPr>
            <w:r>
              <w:rPr>
                <w:rFonts w:hint="default" w:ascii="Times New Roman" w:hAnsi="Times New Roman" w:eastAsia="仿宋" w:cs="Times New Roman"/>
                <w:color w:val="FF0000"/>
                <w:kern w:val="0"/>
                <w:sz w:val="24"/>
                <w:highlight w:val="none"/>
              </w:rPr>
              <w:t>w——物料含水率，%；</w:t>
            </w:r>
          </w:p>
          <w:p w14:paraId="31AEF4FD">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textAlignment w:val="auto"/>
              <w:rPr>
                <w:rFonts w:hint="default" w:ascii="Times New Roman" w:hAnsi="Times New Roman" w:eastAsia="仿宋" w:cs="Times New Roman"/>
                <w:color w:val="FF0000"/>
                <w:kern w:val="0"/>
                <w:sz w:val="24"/>
                <w:highlight w:val="none"/>
              </w:rPr>
            </w:pPr>
            <w:r>
              <w:rPr>
                <w:rFonts w:hint="default" w:ascii="Times New Roman" w:hAnsi="Times New Roman" w:eastAsia="仿宋" w:cs="Times New Roman"/>
                <w:color w:val="FF0000"/>
                <w:kern w:val="0"/>
                <w:sz w:val="24"/>
                <w:highlight w:val="none"/>
              </w:rPr>
              <w:t>t——物料装车所用时间，s。</w:t>
            </w:r>
          </w:p>
          <w:p w14:paraId="3881AC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FF0000"/>
                <w:kern w:val="0"/>
                <w:sz w:val="24"/>
                <w:highlight w:val="none"/>
              </w:rPr>
            </w:pPr>
            <w:r>
              <w:rPr>
                <w:rFonts w:hint="default" w:ascii="Times New Roman" w:hAnsi="Times New Roman" w:eastAsia="仿宋" w:cs="Times New Roman"/>
                <w:color w:val="FF0000"/>
                <w:kern w:val="0"/>
                <w:sz w:val="24"/>
                <w:highlight w:val="none"/>
              </w:rPr>
              <w:t>依据本项目的情况及当地气象条件，u取2.5m/s，H取</w:t>
            </w:r>
            <w:r>
              <w:rPr>
                <w:rFonts w:hint="default" w:ascii="Times New Roman" w:hAnsi="Times New Roman" w:eastAsia="仿宋" w:cs="Times New Roman"/>
                <w:color w:val="FF0000"/>
                <w:kern w:val="0"/>
                <w:sz w:val="24"/>
                <w:highlight w:val="none"/>
                <w:lang w:val="en-US" w:eastAsia="zh-CN"/>
              </w:rPr>
              <w:t>2.0</w:t>
            </w:r>
            <w:r>
              <w:rPr>
                <w:rFonts w:hint="default" w:ascii="Times New Roman" w:hAnsi="Times New Roman" w:eastAsia="仿宋" w:cs="Times New Roman"/>
                <w:color w:val="FF0000"/>
                <w:kern w:val="0"/>
                <w:sz w:val="24"/>
                <w:highlight w:val="none"/>
              </w:rPr>
              <w:t>m，物料含水率约为</w:t>
            </w:r>
            <w:r>
              <w:rPr>
                <w:rFonts w:hint="default" w:ascii="Times New Roman" w:hAnsi="Times New Roman" w:eastAsia="仿宋" w:cs="Times New Roman"/>
                <w:color w:val="FF0000"/>
                <w:kern w:val="0"/>
                <w:sz w:val="24"/>
                <w:highlight w:val="none"/>
                <w:lang w:val="en-US" w:eastAsia="zh-CN"/>
              </w:rPr>
              <w:t>8</w:t>
            </w:r>
            <w:r>
              <w:rPr>
                <w:rFonts w:hint="default" w:ascii="Times New Roman" w:hAnsi="Times New Roman" w:eastAsia="仿宋" w:cs="Times New Roman"/>
                <w:color w:val="FF0000"/>
                <w:kern w:val="0"/>
                <w:sz w:val="24"/>
                <w:highlight w:val="none"/>
              </w:rPr>
              <w:t>%，装车平均时间t取300s/车，通过计算装卸起尘量为0.</w:t>
            </w:r>
            <w:r>
              <w:rPr>
                <w:rFonts w:hint="default" w:ascii="Times New Roman" w:hAnsi="Times New Roman" w:eastAsia="仿宋" w:cs="Times New Roman"/>
                <w:color w:val="FF0000"/>
                <w:kern w:val="0"/>
                <w:sz w:val="24"/>
                <w:highlight w:val="none"/>
                <w:lang w:val="en-US" w:eastAsia="zh-CN"/>
              </w:rPr>
              <w:t>99</w:t>
            </w:r>
            <w:r>
              <w:rPr>
                <w:rFonts w:hint="default" w:ascii="Times New Roman" w:hAnsi="Times New Roman" w:eastAsia="仿宋" w:cs="Times New Roman"/>
                <w:color w:val="FF0000"/>
                <w:kern w:val="0"/>
                <w:sz w:val="24"/>
                <w:highlight w:val="none"/>
              </w:rPr>
              <w:t>g/s</w:t>
            </w:r>
            <w:r>
              <w:rPr>
                <w:rFonts w:hint="default" w:ascii="Times New Roman" w:hAnsi="Times New Roman" w:eastAsia="仿宋" w:cs="Times New Roman"/>
                <w:color w:val="FF0000"/>
                <w:kern w:val="0"/>
                <w:sz w:val="24"/>
                <w:highlight w:val="none"/>
                <w:lang w:eastAsia="zh-CN"/>
              </w:rPr>
              <w:t>。</w:t>
            </w:r>
            <w:r>
              <w:rPr>
                <w:rFonts w:hint="default" w:ascii="Times New Roman" w:hAnsi="Times New Roman" w:eastAsia="仿宋" w:cs="Times New Roman"/>
                <w:color w:val="FF0000"/>
                <w:spacing w:val="0"/>
                <w:position w:val="0"/>
                <w:sz w:val="24"/>
                <w:szCs w:val="22"/>
                <w:highlight w:val="none"/>
              </w:rPr>
              <w:t>本项目开采规模为</w:t>
            </w:r>
            <w:r>
              <w:rPr>
                <w:rFonts w:hint="eastAsia" w:eastAsia="仿宋" w:cs="Times New Roman"/>
                <w:color w:val="FF0000"/>
                <w:spacing w:val="0"/>
                <w:position w:val="0"/>
                <w:sz w:val="24"/>
                <w:szCs w:val="22"/>
                <w:highlight w:val="none"/>
                <w:lang w:val="en-US" w:eastAsia="zh-CN"/>
              </w:rPr>
              <w:t>10</w:t>
            </w:r>
            <w:r>
              <w:rPr>
                <w:rFonts w:hint="default" w:ascii="Times New Roman" w:hAnsi="Times New Roman" w:eastAsia="仿宋" w:cs="Times New Roman"/>
                <w:color w:val="FF0000"/>
                <w:spacing w:val="0"/>
                <w:position w:val="0"/>
                <w:sz w:val="24"/>
                <w:szCs w:val="22"/>
                <w:highlight w:val="none"/>
                <w:lang w:val="en-US" w:eastAsia="zh-CN"/>
              </w:rPr>
              <w:t>万</w:t>
            </w:r>
            <w:r>
              <w:rPr>
                <w:rFonts w:hint="default" w:ascii="Times New Roman" w:hAnsi="Times New Roman" w:eastAsia="仿宋" w:cs="Times New Roman"/>
                <w:color w:val="FF0000"/>
                <w:spacing w:val="0"/>
                <w:position w:val="0"/>
                <w:sz w:val="24"/>
                <w:szCs w:val="22"/>
                <w:highlight w:val="none"/>
              </w:rPr>
              <w:t>t</w:t>
            </w:r>
            <w:r>
              <w:rPr>
                <w:rFonts w:hint="eastAsia" w:eastAsia="仿宋" w:cs="Times New Roman"/>
                <w:color w:val="FF0000"/>
                <w:spacing w:val="0"/>
                <w:position w:val="0"/>
                <w:sz w:val="24"/>
                <w:szCs w:val="22"/>
                <w:highlight w:val="none"/>
                <w:lang w:val="en-US" w:eastAsia="zh-CN"/>
              </w:rPr>
              <w:t>/a</w:t>
            </w:r>
            <w:r>
              <w:rPr>
                <w:rFonts w:hint="eastAsia" w:eastAsia="仿宋" w:cs="Times New Roman"/>
                <w:color w:val="FF0000"/>
                <w:spacing w:val="0"/>
                <w:position w:val="0"/>
                <w:sz w:val="24"/>
                <w:szCs w:val="22"/>
                <w:highlight w:val="none"/>
                <w:lang w:eastAsia="zh-CN"/>
              </w:rPr>
              <w:t>，</w:t>
            </w:r>
            <w:r>
              <w:rPr>
                <w:rFonts w:hint="eastAsia" w:eastAsia="仿宋" w:cs="Times New Roman"/>
                <w:color w:val="FF0000"/>
                <w:spacing w:val="0"/>
                <w:position w:val="0"/>
                <w:sz w:val="24"/>
                <w:szCs w:val="22"/>
                <w:highlight w:val="none"/>
                <w:lang w:val="en-US" w:eastAsia="zh-CN"/>
              </w:rPr>
              <w:t>废石和表土产生量为74.1万t/a，</w:t>
            </w:r>
            <w:r>
              <w:rPr>
                <w:rFonts w:hint="default" w:ascii="Times New Roman" w:hAnsi="Times New Roman" w:eastAsia="仿宋" w:cs="Times New Roman"/>
                <w:color w:val="FF0000"/>
                <w:kern w:val="0"/>
                <w:sz w:val="24"/>
                <w:highlight w:val="none"/>
              </w:rPr>
              <w:t>项目运输车辆运输能力为</w:t>
            </w:r>
            <w:r>
              <w:rPr>
                <w:rFonts w:hint="default" w:ascii="Times New Roman" w:hAnsi="Times New Roman" w:eastAsia="仿宋" w:cs="Times New Roman"/>
                <w:color w:val="FF0000"/>
                <w:kern w:val="0"/>
                <w:sz w:val="24"/>
                <w:highlight w:val="none"/>
                <w:lang w:val="en-US" w:eastAsia="zh-CN"/>
              </w:rPr>
              <w:t>25</w:t>
            </w:r>
            <w:r>
              <w:rPr>
                <w:rFonts w:hint="default" w:ascii="Times New Roman" w:hAnsi="Times New Roman" w:eastAsia="仿宋" w:cs="Times New Roman"/>
                <w:color w:val="FF0000"/>
                <w:kern w:val="0"/>
                <w:sz w:val="24"/>
                <w:highlight w:val="none"/>
              </w:rPr>
              <w:t>t/车</w:t>
            </w:r>
            <w:r>
              <w:rPr>
                <w:rFonts w:hint="default" w:ascii="Times New Roman" w:hAnsi="Times New Roman" w:eastAsia="仿宋" w:cs="Times New Roman"/>
                <w:color w:val="FF0000"/>
                <w:kern w:val="0"/>
                <w:sz w:val="24"/>
                <w:highlight w:val="none"/>
                <w:lang w:eastAsia="zh-CN"/>
              </w:rPr>
              <w:t>，</w:t>
            </w:r>
            <w:r>
              <w:rPr>
                <w:rFonts w:hint="default" w:ascii="Times New Roman" w:hAnsi="Times New Roman" w:eastAsia="仿宋" w:cs="Times New Roman"/>
                <w:color w:val="FF0000"/>
                <w:kern w:val="0"/>
                <w:sz w:val="24"/>
                <w:highlight w:val="none"/>
              </w:rPr>
              <w:t>平均每天运输量为</w:t>
            </w:r>
            <w:r>
              <w:rPr>
                <w:rFonts w:hint="eastAsia" w:eastAsia="仿宋" w:cs="Times New Roman"/>
                <w:color w:val="FF0000"/>
                <w:kern w:val="0"/>
                <w:sz w:val="24"/>
                <w:highlight w:val="none"/>
                <w:lang w:val="en-US" w:eastAsia="zh-CN"/>
              </w:rPr>
              <w:t>135</w:t>
            </w:r>
            <w:r>
              <w:rPr>
                <w:rFonts w:hint="default" w:ascii="Times New Roman" w:hAnsi="Times New Roman" w:eastAsia="仿宋" w:cs="Times New Roman"/>
                <w:color w:val="FF0000"/>
                <w:kern w:val="0"/>
                <w:sz w:val="24"/>
                <w:highlight w:val="none"/>
              </w:rPr>
              <w:t>辆。按装车时间计算，项目每天装车</w:t>
            </w:r>
            <w:r>
              <w:rPr>
                <w:rFonts w:hint="eastAsia" w:eastAsia="仿宋" w:cs="Times New Roman"/>
                <w:color w:val="FF0000"/>
                <w:kern w:val="0"/>
                <w:sz w:val="24"/>
                <w:highlight w:val="none"/>
                <w:lang w:eastAsia="zh-CN"/>
              </w:rPr>
              <w:t>累计</w:t>
            </w:r>
            <w:r>
              <w:rPr>
                <w:rFonts w:hint="default" w:ascii="Times New Roman" w:hAnsi="Times New Roman" w:eastAsia="仿宋" w:cs="Times New Roman"/>
                <w:color w:val="FF0000"/>
                <w:kern w:val="0"/>
                <w:sz w:val="24"/>
                <w:highlight w:val="none"/>
              </w:rPr>
              <w:t>时间为</w:t>
            </w:r>
            <w:r>
              <w:rPr>
                <w:rFonts w:hint="eastAsia" w:eastAsia="仿宋" w:cs="Times New Roman"/>
                <w:color w:val="FF0000"/>
                <w:kern w:val="0"/>
                <w:sz w:val="24"/>
                <w:highlight w:val="none"/>
                <w:lang w:val="en-US" w:eastAsia="zh-CN"/>
              </w:rPr>
              <w:t>4800</w:t>
            </w:r>
            <w:r>
              <w:rPr>
                <w:rFonts w:hint="default" w:ascii="Times New Roman" w:hAnsi="Times New Roman" w:eastAsia="仿宋" w:cs="Times New Roman"/>
                <w:color w:val="FF0000"/>
                <w:kern w:val="0"/>
                <w:sz w:val="24"/>
                <w:highlight w:val="none"/>
              </w:rPr>
              <w:t>s。因此，项目矿石装载过程中产生的粉尘量为</w:t>
            </w:r>
            <w:r>
              <w:rPr>
                <w:rFonts w:hint="eastAsia" w:eastAsia="仿宋" w:cs="Times New Roman"/>
                <w:color w:val="FF0000"/>
                <w:kern w:val="0"/>
                <w:sz w:val="24"/>
                <w:highlight w:val="none"/>
                <w:lang w:val="en-US" w:eastAsia="zh-CN"/>
              </w:rPr>
              <w:t>10</w:t>
            </w:r>
            <w:r>
              <w:rPr>
                <w:rFonts w:hint="default" w:ascii="Times New Roman" w:hAnsi="Times New Roman" w:eastAsia="仿宋" w:cs="Times New Roman"/>
                <w:color w:val="FF0000"/>
                <w:kern w:val="0"/>
                <w:sz w:val="24"/>
                <w:highlight w:val="none"/>
              </w:rPr>
              <w:t>t/a。</w:t>
            </w:r>
          </w:p>
          <w:p w14:paraId="6A883CA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sz w:val="24"/>
                <w:highlight w:val="none"/>
                <w:lang w:val="en-US" w:eastAsia="zh-CN"/>
              </w:rPr>
            </w:pPr>
            <w:r>
              <w:rPr>
                <w:rFonts w:hint="eastAsia" w:ascii="Times New Roman" w:hAnsi="Times New Roman" w:eastAsia="仿宋" w:cs="Times New Roman"/>
                <w:color w:val="FF0000"/>
                <w:sz w:val="24"/>
                <w:highlight w:val="none"/>
                <w:lang w:val="en-US" w:eastAsia="zh-CN"/>
              </w:rPr>
              <w:t>环评要求铲装采用</w:t>
            </w:r>
            <w:r>
              <w:rPr>
                <w:rFonts w:hint="eastAsia" w:eastAsia="仿宋" w:cs="Times New Roman"/>
                <w:color w:val="FF0000"/>
                <w:sz w:val="24"/>
                <w:highlight w:val="none"/>
                <w:lang w:val="en-US" w:eastAsia="zh-CN"/>
              </w:rPr>
              <w:t>雾炮机进行降尘</w:t>
            </w:r>
            <w:r>
              <w:rPr>
                <w:rFonts w:hint="eastAsia" w:ascii="Times New Roman" w:hAnsi="Times New Roman" w:eastAsia="仿宋" w:cs="Times New Roman"/>
                <w:color w:val="FF0000"/>
                <w:sz w:val="24"/>
                <w:highlight w:val="none"/>
                <w:lang w:val="en-US" w:eastAsia="zh-CN"/>
              </w:rPr>
              <w:t>，</w:t>
            </w:r>
            <w:r>
              <w:rPr>
                <w:rFonts w:hint="eastAsia" w:eastAsia="仿宋" w:cs="Times New Roman"/>
                <w:color w:val="FF0000"/>
                <w:sz w:val="24"/>
                <w:highlight w:val="none"/>
                <w:lang w:val="en-US" w:eastAsia="zh-CN"/>
              </w:rPr>
              <w:t>参考</w:t>
            </w:r>
            <w:r>
              <w:rPr>
                <w:rFonts w:hint="default" w:ascii="Times New Roman" w:hAnsi="Times New Roman" w:eastAsia="仿宋" w:cs="Times New Roman"/>
                <w:color w:val="FF0000"/>
                <w:sz w:val="24"/>
              </w:rPr>
              <w:t>《固体物料堆存颗粒物产排污核算系数手册》</w:t>
            </w:r>
            <w:r>
              <w:rPr>
                <w:rFonts w:hint="eastAsia" w:eastAsia="仿宋" w:cs="Times New Roman"/>
                <w:color w:val="FF0000"/>
                <w:sz w:val="24"/>
                <w:highlight w:val="none"/>
                <w:lang w:val="en-US" w:eastAsia="zh-CN"/>
              </w:rPr>
              <w:t>，洒水控制效率为74</w:t>
            </w:r>
            <w:r>
              <w:rPr>
                <w:rFonts w:hint="default" w:ascii="Times New Roman" w:hAnsi="Times New Roman" w:eastAsia="仿宋" w:cs="Times New Roman"/>
                <w:color w:val="FF0000"/>
                <w:sz w:val="24"/>
                <w:highlight w:val="none"/>
                <w:lang w:val="en-US" w:eastAsia="zh-CN"/>
              </w:rPr>
              <w:t>%</w:t>
            </w:r>
            <w:r>
              <w:rPr>
                <w:rFonts w:hint="eastAsia" w:ascii="Times New Roman" w:hAnsi="Times New Roman" w:eastAsia="仿宋" w:cs="Times New Roman"/>
                <w:color w:val="FF0000"/>
                <w:sz w:val="24"/>
                <w:highlight w:val="none"/>
                <w:lang w:val="en-US" w:eastAsia="zh-CN"/>
              </w:rPr>
              <w:t>，则铲装粉尘排放量为</w:t>
            </w:r>
            <w:r>
              <w:rPr>
                <w:rFonts w:hint="eastAsia" w:eastAsia="仿宋" w:cs="Times New Roman"/>
                <w:color w:val="FF0000"/>
                <w:sz w:val="24"/>
                <w:highlight w:val="none"/>
                <w:lang w:val="en-US" w:eastAsia="zh-CN"/>
              </w:rPr>
              <w:t>2.6</w:t>
            </w:r>
            <w:r>
              <w:rPr>
                <w:rFonts w:hint="default" w:ascii="Times New Roman" w:hAnsi="Times New Roman" w:eastAsia="仿宋" w:cs="Times New Roman"/>
                <w:color w:val="FF0000"/>
                <w:sz w:val="24"/>
                <w:highlight w:val="none"/>
                <w:lang w:val="en-US" w:eastAsia="zh-CN"/>
              </w:rPr>
              <w:t>t/a</w:t>
            </w:r>
            <w:r>
              <w:rPr>
                <w:rFonts w:hint="eastAsia" w:ascii="Times New Roman" w:hAnsi="Times New Roman" w:eastAsia="仿宋" w:cs="Times New Roman"/>
                <w:color w:val="FF0000"/>
                <w:sz w:val="24"/>
                <w:highlight w:val="none"/>
                <w:lang w:val="en-US" w:eastAsia="zh-CN"/>
              </w:rPr>
              <w:t>。</w:t>
            </w:r>
          </w:p>
          <w:p w14:paraId="795372F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⑥运输扬尘（G</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6</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w:t>
            </w:r>
          </w:p>
          <w:p w14:paraId="2631474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本项目开采出的</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石料</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需通过矿区内部道路运输，车辆行驶产生的扬尘，其强度与路面种类、季节干湿以及汽车运行速度等因素有关，本项目原矿石运输过程中的路面为碎石路面。</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本项目运输道路起尘量参考上海港环境保护中心、武汉水运工程学院提出的经验公式估算：</w:t>
            </w:r>
          </w:p>
          <w:p w14:paraId="3789C85D">
            <w:pPr>
              <w:keepNext w:val="0"/>
              <w:keepLines w:val="0"/>
              <w:pageBreakBefore w:val="0"/>
              <w:widowControl w:val="0"/>
              <w:kinsoku/>
              <w:wordWrap/>
              <w:overflowPunct/>
              <w:topLinePunct/>
              <w:autoSpaceDE/>
              <w:autoSpaceDN w:val="0"/>
              <w:bidi w:val="0"/>
              <w:adjustRightInd w:val="0"/>
              <w:snapToGrid w:val="0"/>
              <w:spacing w:line="360" w:lineRule="auto"/>
              <w:ind w:leftChars="0" w:firstLine="420" w:firstLineChars="200"/>
              <w:jc w:val="both"/>
              <w:textAlignment w:val="center"/>
              <w:rPr>
                <w:rFonts w:hint="default" w:ascii="Times New Roman" w:hAnsi="Times New Roman" w:eastAsia="仿宋" w:cs="Times New Roman"/>
                <w:b w:val="0"/>
                <w:bCs/>
                <w:color w:val="000000" w:themeColor="text1"/>
                <w:sz w:val="24"/>
                <w:highlight w:val="none"/>
                <w:lang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3686175" cy="533400"/>
                  <wp:effectExtent l="0" t="0" r="9525" b="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17"/>
                          <a:stretch>
                            <a:fillRect/>
                          </a:stretch>
                        </pic:blipFill>
                        <pic:spPr>
                          <a:xfrm>
                            <a:off x="0" y="0"/>
                            <a:ext cx="3686175" cy="533400"/>
                          </a:xfrm>
                          <a:prstGeom prst="rect">
                            <a:avLst/>
                          </a:prstGeom>
                          <a:noFill/>
                          <a:ln>
                            <a:noFill/>
                          </a:ln>
                        </pic:spPr>
                      </pic:pic>
                    </a:graphicData>
                  </a:graphic>
                </wp:inline>
              </w:drawing>
            </w:r>
          </w:p>
          <w:p w14:paraId="55B4D9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式中：</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Qy——</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运输起尘量，</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 xml:space="preserve">kg/km </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辆；</w:t>
            </w:r>
          </w:p>
          <w:p w14:paraId="56CE79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Qt——</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总运输起尘量，</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 xml:space="preserve">； </w:t>
            </w:r>
          </w:p>
          <w:p w14:paraId="1780886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V——</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运行速度，</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km/h</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，本项目取</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10km/h</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 xml:space="preserve">； </w:t>
            </w:r>
          </w:p>
          <w:p w14:paraId="5F72F6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P——</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道路表面粉尘量，</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kg/m</w:t>
            </w:r>
            <w:r>
              <w:rPr>
                <w:rFonts w:hint="default" w:ascii="Times New Roman" w:hAnsi="Times New Roman" w:eastAsia="仿宋" w:cs="Times New Roman"/>
                <w:color w:val="000000" w:themeColor="text1"/>
                <w:sz w:val="24"/>
                <w:highlight w:val="none"/>
                <w:vertAlign w:val="superscript"/>
                <w:lang w:val="en-US" w:eastAsia="zh-CN"/>
                <w14:textFill>
                  <w14:solidFill>
                    <w14:schemeClr w14:val="tx1"/>
                  </w14:solidFill>
                </w14:textFill>
              </w:rPr>
              <w:t>2</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，取</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0.2</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 xml:space="preserve">； </w:t>
            </w:r>
          </w:p>
          <w:p w14:paraId="2885FF2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L——</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运输距离，</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km</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 xml:space="preserve">；取 </w:t>
            </w:r>
            <w:r>
              <w:rPr>
                <w:rFonts w:hint="eastAsia" w:eastAsia="仿宋"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km</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 xml:space="preserve">； </w:t>
            </w:r>
          </w:p>
          <w:p w14:paraId="300BB7C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Q——</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运输量，本项目</w:t>
            </w:r>
            <w:r>
              <w:rPr>
                <w:rFonts w:hint="eastAsia" w:eastAsia="仿宋" w:cs="Times New Roman"/>
                <w:color w:val="000000" w:themeColor="text1"/>
                <w:sz w:val="24"/>
                <w:highlight w:val="none"/>
                <w:lang w:val="en-US" w:eastAsia="zh-CN"/>
                <w14:textFill>
                  <w14:solidFill>
                    <w14:schemeClr w14:val="tx1"/>
                  </w14:solidFill>
                </w14:textFill>
              </w:rPr>
              <w:t>石料、废石、表土</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运输总量：</w:t>
            </w:r>
            <w:r>
              <w:rPr>
                <w:rFonts w:hint="eastAsia" w:eastAsia="仿宋" w:cs="Times New Roman"/>
                <w:color w:val="000000" w:themeColor="text1"/>
                <w:sz w:val="24"/>
                <w:highlight w:val="none"/>
                <w:lang w:val="en-US" w:eastAsia="zh-CN"/>
                <w14:textFill>
                  <w14:solidFill>
                    <w14:schemeClr w14:val="tx1"/>
                  </w14:solidFill>
                </w14:textFill>
              </w:rPr>
              <w:t>841000</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 xml:space="preserve">； </w:t>
            </w:r>
          </w:p>
          <w:p w14:paraId="3DEFF7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M——</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汽车载重量，</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，满载时重约</w:t>
            </w:r>
            <w:r>
              <w:rPr>
                <w:rFonts w:hint="eastAsia" w:eastAsia="仿宋" w:cs="Times New Roman"/>
                <w:color w:val="000000" w:themeColor="text1"/>
                <w:sz w:val="24"/>
                <w:highlight w:val="none"/>
                <w:lang w:val="en-US" w:eastAsia="zh-CN"/>
                <w14:textFill>
                  <w14:solidFill>
                    <w14:schemeClr w14:val="tx1"/>
                  </w14:solidFill>
                </w14:textFill>
              </w:rPr>
              <w:t>25</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 xml:space="preserve">计； </w:t>
            </w:r>
          </w:p>
          <w:p w14:paraId="1B5FBAA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本项目道路扬尘产生量为</w:t>
            </w:r>
            <w:r>
              <w:rPr>
                <w:rFonts w:hint="eastAsia" w:eastAsia="仿宋" w:cs="Times New Roman"/>
                <w:color w:val="000000" w:themeColor="text1"/>
                <w:sz w:val="24"/>
                <w:highlight w:val="none"/>
                <w:lang w:val="en-US" w:eastAsia="zh-CN"/>
                <w14:textFill>
                  <w14:solidFill>
                    <w14:schemeClr w14:val="tx1"/>
                  </w14:solidFill>
                </w14:textFill>
              </w:rPr>
              <w:t>0.7</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kg/km·</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辆，年扬尘产生总量为</w:t>
            </w:r>
            <w:r>
              <w:rPr>
                <w:rFonts w:hint="eastAsia" w:eastAsia="仿宋" w:cs="Times New Roman"/>
                <w:color w:val="000000" w:themeColor="text1"/>
                <w:sz w:val="24"/>
                <w:highlight w:val="none"/>
                <w:lang w:val="en-US" w:eastAsia="zh-CN"/>
                <w14:textFill>
                  <w14:solidFill>
                    <w14:schemeClr w14:val="tx1"/>
                  </w14:solidFill>
                </w14:textFill>
              </w:rPr>
              <w:t>23.5</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w:t>
            </w:r>
          </w:p>
          <w:p w14:paraId="54F5212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环评要求每天对矿区运输道路采取</w:t>
            </w:r>
            <w:r>
              <w:rPr>
                <w:rFonts w:hint="eastAsia" w:eastAsia="仿宋" w:cs="Times New Roman"/>
                <w:color w:val="000000" w:themeColor="text1"/>
                <w:sz w:val="24"/>
                <w:highlight w:val="none"/>
                <w:lang w:val="en-US" w:eastAsia="zh-CN"/>
                <w14:textFill>
                  <w14:solidFill>
                    <w14:schemeClr w14:val="tx1"/>
                  </w14:solidFill>
                </w14:textFill>
              </w:rPr>
              <w:t>洒水车</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洒水降尘，</w:t>
            </w:r>
            <w:r>
              <w:rPr>
                <w:rFonts w:hint="eastAsia" w:eastAsia="仿宋" w:cs="Times New Roman"/>
                <w:color w:val="000000" w:themeColor="text1"/>
                <w:sz w:val="24"/>
                <w:highlight w:val="none"/>
                <w:lang w:val="en-US" w:eastAsia="zh-CN"/>
                <w14:textFill>
                  <w14:solidFill>
                    <w14:schemeClr w14:val="tx1"/>
                  </w14:solidFill>
                </w14:textFill>
              </w:rPr>
              <w:t>参考</w:t>
            </w:r>
            <w:r>
              <w:rPr>
                <w:rFonts w:hint="default" w:ascii="Times New Roman" w:hAnsi="Times New Roman" w:eastAsia="仿宋" w:cs="Times New Roman"/>
                <w:color w:val="000000" w:themeColor="text1"/>
                <w:sz w:val="24"/>
                <w14:textFill>
                  <w14:solidFill>
                    <w14:schemeClr w14:val="tx1"/>
                  </w14:solidFill>
                </w14:textFill>
              </w:rPr>
              <w:t>《固体物料堆存颗粒物产排污核算系数手册》</w:t>
            </w:r>
            <w:r>
              <w:rPr>
                <w:rFonts w:hint="eastAsia" w:eastAsia="仿宋" w:cs="Times New Roman"/>
                <w:color w:val="000000" w:themeColor="text1"/>
                <w:sz w:val="24"/>
                <w:highlight w:val="none"/>
                <w:lang w:val="en-US" w:eastAsia="zh-CN"/>
                <w14:textFill>
                  <w14:solidFill>
                    <w14:schemeClr w14:val="tx1"/>
                  </w14:solidFill>
                </w14:textFill>
              </w:rPr>
              <w:t>，洒水控制效率为74</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，则矿区运输道路粉尘排放量为</w:t>
            </w:r>
            <w:r>
              <w:rPr>
                <w:rFonts w:hint="eastAsia" w:eastAsia="仿宋" w:cs="Times New Roman"/>
                <w:color w:val="000000" w:themeColor="text1"/>
                <w:sz w:val="24"/>
                <w:highlight w:val="none"/>
                <w:lang w:val="en-US" w:eastAsia="zh-CN"/>
                <w14:textFill>
                  <w14:solidFill>
                    <w14:schemeClr w14:val="tx1"/>
                  </w14:solidFill>
                </w14:textFill>
              </w:rPr>
              <w:t>6.1</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w:t>
            </w:r>
          </w:p>
          <w:p w14:paraId="71D1D3B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sz w:val="24"/>
                <w:highlight w:val="none"/>
                <w:lang w:val="en-US" w:eastAsia="zh-CN"/>
              </w:rPr>
            </w:pPr>
            <w:r>
              <w:rPr>
                <w:rFonts w:hint="default" w:ascii="Times New Roman" w:hAnsi="Times New Roman" w:eastAsia="微软雅黑" w:cs="Times New Roman"/>
                <w:color w:val="FF0000"/>
                <w:sz w:val="24"/>
                <w:highlight w:val="none"/>
                <w:lang w:val="en-US" w:eastAsia="zh-CN"/>
              </w:rPr>
              <w:t>⑦</w:t>
            </w:r>
            <w:r>
              <w:rPr>
                <w:rFonts w:hint="default" w:ascii="Times New Roman" w:hAnsi="Times New Roman" w:eastAsia="仿宋" w:cs="Times New Roman"/>
                <w:color w:val="FF0000"/>
                <w:sz w:val="24"/>
                <w:highlight w:val="none"/>
                <w:lang w:val="en-US" w:eastAsia="zh-CN"/>
              </w:rPr>
              <w:t>排土场粉尘（G16）</w:t>
            </w:r>
          </w:p>
          <w:p w14:paraId="13B70EF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sz w:val="24"/>
                <w:highlight w:val="none"/>
                <w:lang w:val="en-US" w:eastAsia="zh-CN"/>
              </w:rPr>
            </w:pPr>
            <w:r>
              <w:rPr>
                <w:rFonts w:hint="eastAsia" w:ascii="Times New Roman" w:hAnsi="Times New Roman" w:eastAsia="仿宋" w:cs="Times New Roman"/>
                <w:color w:val="FF0000"/>
                <w:sz w:val="24"/>
                <w:highlight w:val="none"/>
                <w:lang w:val="en-US" w:eastAsia="zh-CN"/>
              </w:rPr>
              <w:t>本项目开采过程中剥离表土量为</w:t>
            </w:r>
            <w:r>
              <w:rPr>
                <w:rFonts w:hint="eastAsia" w:eastAsia="仿宋" w:cs="Times New Roman"/>
                <w:color w:val="FF0000"/>
                <w:sz w:val="24"/>
                <w:highlight w:val="none"/>
                <w:lang w:val="en-US" w:eastAsia="zh-CN"/>
              </w:rPr>
              <w:t>18750</w:t>
            </w:r>
            <w:r>
              <w:rPr>
                <w:rFonts w:hint="default" w:ascii="Times New Roman" w:hAnsi="Times New Roman" w:eastAsia="仿宋" w:cs="Times New Roman"/>
                <w:color w:val="FF0000"/>
                <w:sz w:val="24"/>
                <w:highlight w:val="none"/>
                <w:lang w:val="en-US" w:eastAsia="zh-CN"/>
              </w:rPr>
              <w:t>t/a</w:t>
            </w:r>
            <w:r>
              <w:rPr>
                <w:rFonts w:hint="eastAsia" w:eastAsia="仿宋" w:cs="Times New Roman"/>
                <w:color w:val="FF0000"/>
                <w:sz w:val="24"/>
                <w:highlight w:val="none"/>
                <w:lang w:val="en-US" w:eastAsia="zh-CN"/>
              </w:rPr>
              <w:t>，废石量为54.6万t/a，1#排土场面积为25000m</w:t>
            </w:r>
            <w:r>
              <w:rPr>
                <w:rFonts w:hint="eastAsia" w:eastAsia="仿宋" w:cs="Times New Roman"/>
                <w:color w:val="FF0000"/>
                <w:sz w:val="24"/>
                <w:highlight w:val="none"/>
                <w:vertAlign w:val="superscript"/>
                <w:lang w:val="en-US" w:eastAsia="zh-CN"/>
              </w:rPr>
              <w:t>2</w:t>
            </w:r>
            <w:r>
              <w:rPr>
                <w:rFonts w:hint="eastAsia" w:eastAsia="仿宋" w:cs="Times New Roman"/>
                <w:color w:val="FF0000"/>
                <w:sz w:val="24"/>
                <w:highlight w:val="none"/>
                <w:lang w:val="en-US" w:eastAsia="zh-CN"/>
              </w:rPr>
              <w:t>，2#排土场面积为30000m</w:t>
            </w:r>
            <w:r>
              <w:rPr>
                <w:rFonts w:hint="eastAsia" w:eastAsia="仿宋" w:cs="Times New Roman"/>
                <w:color w:val="FF0000"/>
                <w:sz w:val="24"/>
                <w:highlight w:val="none"/>
                <w:vertAlign w:val="superscript"/>
                <w:lang w:val="en-US" w:eastAsia="zh-CN"/>
              </w:rPr>
              <w:t>2</w:t>
            </w:r>
            <w:r>
              <w:rPr>
                <w:rFonts w:hint="eastAsia" w:eastAsia="仿宋" w:cs="Times New Roman"/>
                <w:color w:val="FF0000"/>
                <w:sz w:val="24"/>
                <w:highlight w:val="none"/>
                <w:lang w:val="en-US" w:eastAsia="zh-CN"/>
              </w:rPr>
              <w:t>，排土场堆料产生的粉尘量与地面平均风速和堆场表面积等有关，采用清华大学现场试验的公式：</w:t>
            </w:r>
          </w:p>
          <w:p w14:paraId="5944CEFA">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微软雅黑" w:cs="Times New Roman"/>
                <w:b w:val="0"/>
                <w:bCs/>
                <w:color w:val="FF0000"/>
                <w:sz w:val="24"/>
                <w:highlight w:val="none"/>
                <w:lang w:val="en-US" w:eastAsia="zh-CN"/>
              </w:rPr>
            </w:pPr>
            <w:r>
              <w:rPr>
                <w:rFonts w:hint="eastAsia" w:ascii="Times New Roman" w:hAnsi="Times New Roman" w:eastAsia="微软雅黑" w:cs="Times New Roman"/>
                <w:b w:val="0"/>
                <w:bCs/>
                <w:color w:val="FF0000"/>
                <w:sz w:val="24"/>
                <w:highlight w:val="none"/>
                <w:lang w:val="en-US" w:eastAsia="zh-CN"/>
              </w:rPr>
              <w:t>Q=11.7×U</w:t>
            </w:r>
            <w:r>
              <w:rPr>
                <w:rFonts w:hint="eastAsia" w:ascii="Times New Roman" w:hAnsi="Times New Roman" w:eastAsia="微软雅黑" w:cs="Times New Roman"/>
                <w:b w:val="0"/>
                <w:bCs/>
                <w:color w:val="FF0000"/>
                <w:sz w:val="24"/>
                <w:highlight w:val="none"/>
                <w:vertAlign w:val="superscript"/>
                <w:lang w:val="en-US" w:eastAsia="zh-CN"/>
              </w:rPr>
              <w:t>2.45</w:t>
            </w:r>
            <w:r>
              <w:rPr>
                <w:rFonts w:hint="eastAsia" w:ascii="Times New Roman" w:hAnsi="Times New Roman" w:eastAsia="微软雅黑" w:cs="Times New Roman"/>
                <w:b w:val="0"/>
                <w:bCs/>
                <w:color w:val="FF0000"/>
                <w:sz w:val="24"/>
                <w:highlight w:val="none"/>
                <w:lang w:val="en-US" w:eastAsia="zh-CN"/>
              </w:rPr>
              <w:t>×</w:t>
            </w:r>
            <w:r>
              <w:rPr>
                <w:rFonts w:hint="eastAsia" w:eastAsia="微软雅黑" w:cs="Times New Roman"/>
                <w:b w:val="0"/>
                <w:bCs/>
                <w:color w:val="FF0000"/>
                <w:sz w:val="24"/>
                <w:highlight w:val="none"/>
                <w:lang w:val="en-US" w:eastAsia="zh-CN"/>
              </w:rPr>
              <w:t>S</w:t>
            </w:r>
            <w:r>
              <w:rPr>
                <w:rFonts w:hint="eastAsia" w:eastAsia="微软雅黑" w:cs="Times New Roman"/>
                <w:b w:val="0"/>
                <w:bCs/>
                <w:color w:val="FF0000"/>
                <w:sz w:val="24"/>
                <w:highlight w:val="none"/>
                <w:vertAlign w:val="superscript"/>
                <w:lang w:val="en-US" w:eastAsia="zh-CN"/>
              </w:rPr>
              <w:t>0.345</w:t>
            </w:r>
            <w:r>
              <w:rPr>
                <w:rFonts w:hint="eastAsia" w:ascii="Times New Roman" w:hAnsi="Times New Roman" w:eastAsia="微软雅黑" w:cs="Times New Roman"/>
                <w:b w:val="0"/>
                <w:bCs/>
                <w:color w:val="FF0000"/>
                <w:sz w:val="24"/>
                <w:highlight w:val="none"/>
                <w:lang w:val="en-US" w:eastAsia="zh-CN"/>
              </w:rPr>
              <w:t>×</w:t>
            </w:r>
            <w:r>
              <w:rPr>
                <w:rFonts w:hint="eastAsia" w:eastAsia="微软雅黑" w:cs="Times New Roman"/>
                <w:b w:val="0"/>
                <w:bCs/>
                <w:color w:val="FF0000"/>
                <w:sz w:val="24"/>
                <w:highlight w:val="none"/>
                <w:lang w:val="en-US" w:eastAsia="zh-CN"/>
              </w:rPr>
              <w:t>e</w:t>
            </w:r>
            <w:r>
              <w:rPr>
                <w:rFonts w:hint="eastAsia" w:eastAsia="微软雅黑" w:cs="Times New Roman"/>
                <w:b w:val="0"/>
                <w:bCs/>
                <w:color w:val="FF0000"/>
                <w:sz w:val="24"/>
                <w:highlight w:val="none"/>
                <w:vertAlign w:val="superscript"/>
                <w:lang w:val="en-US" w:eastAsia="zh-CN"/>
              </w:rPr>
              <w:t>-0.5w</w:t>
            </w:r>
          </w:p>
          <w:p w14:paraId="650D65D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sz w:val="24"/>
                <w:highlight w:val="none"/>
                <w:lang w:val="en-US" w:eastAsia="zh-CN"/>
              </w:rPr>
            </w:pPr>
            <w:r>
              <w:rPr>
                <w:rFonts w:hint="eastAsia" w:ascii="Times New Roman" w:hAnsi="Times New Roman" w:eastAsia="仿宋" w:cs="Times New Roman"/>
                <w:color w:val="FF0000"/>
                <w:sz w:val="24"/>
                <w:highlight w:val="none"/>
                <w:lang w:val="en-US" w:eastAsia="zh-CN"/>
              </w:rPr>
              <w:t>式中：Q——起尘量，mg/s；</w:t>
            </w:r>
          </w:p>
          <w:p w14:paraId="184C1625">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FF0000"/>
                <w:sz w:val="24"/>
                <w:highlight w:val="none"/>
                <w:lang w:val="en-US" w:eastAsia="zh-CN"/>
              </w:rPr>
            </w:pPr>
            <w:r>
              <w:rPr>
                <w:rFonts w:hint="eastAsia" w:ascii="Times New Roman" w:hAnsi="Times New Roman" w:eastAsia="仿宋" w:cs="Times New Roman"/>
                <w:b w:val="0"/>
                <w:bCs/>
                <w:color w:val="FF0000"/>
                <w:sz w:val="24"/>
                <w:highlight w:val="none"/>
                <w:lang w:val="en-US" w:eastAsia="zh-CN"/>
              </w:rPr>
              <w:t>U——地面平均风速，m/s，U取2.5；</w:t>
            </w:r>
          </w:p>
          <w:p w14:paraId="5D67B2C0">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FF0000"/>
                <w:sz w:val="24"/>
                <w:highlight w:val="none"/>
                <w:lang w:val="en-US" w:eastAsia="zh-CN"/>
              </w:rPr>
            </w:pPr>
            <w:r>
              <w:rPr>
                <w:rFonts w:hint="eastAsia" w:ascii="Times New Roman" w:hAnsi="Times New Roman" w:eastAsia="仿宋" w:cs="Times New Roman"/>
                <w:b w:val="0"/>
                <w:bCs/>
                <w:color w:val="FF0000"/>
                <w:sz w:val="24"/>
                <w:highlight w:val="none"/>
                <w:lang w:val="en-US" w:eastAsia="zh-CN"/>
              </w:rPr>
              <w:t>S——堆场表面积，取</w:t>
            </w:r>
            <w:r>
              <w:rPr>
                <w:rFonts w:hint="eastAsia" w:eastAsia="仿宋" w:cs="Times New Roman"/>
                <w:b w:val="0"/>
                <w:bCs/>
                <w:color w:val="FF0000"/>
                <w:sz w:val="24"/>
                <w:highlight w:val="none"/>
                <w:lang w:val="en-US" w:eastAsia="zh-CN"/>
              </w:rPr>
              <w:t>55000</w:t>
            </w:r>
            <w:r>
              <w:rPr>
                <w:rFonts w:hint="eastAsia" w:ascii="Times New Roman" w:hAnsi="Times New Roman" w:eastAsia="仿宋" w:cs="Times New Roman"/>
                <w:b w:val="0"/>
                <w:bCs/>
                <w:color w:val="FF0000"/>
                <w:sz w:val="24"/>
                <w:highlight w:val="none"/>
                <w:lang w:val="en-US" w:eastAsia="zh-CN"/>
              </w:rPr>
              <w:t>m</w:t>
            </w:r>
            <w:r>
              <w:rPr>
                <w:rFonts w:hint="eastAsia" w:ascii="Times New Roman" w:hAnsi="Times New Roman" w:eastAsia="仿宋" w:cs="Times New Roman"/>
                <w:b w:val="0"/>
                <w:bCs/>
                <w:color w:val="FF0000"/>
                <w:sz w:val="24"/>
                <w:highlight w:val="none"/>
                <w:vertAlign w:val="superscript"/>
                <w:lang w:val="en-US" w:eastAsia="zh-CN"/>
              </w:rPr>
              <w:t>2</w:t>
            </w:r>
            <w:r>
              <w:rPr>
                <w:rFonts w:hint="eastAsia" w:ascii="Times New Roman" w:hAnsi="Times New Roman" w:eastAsia="仿宋" w:cs="Times New Roman"/>
                <w:b w:val="0"/>
                <w:bCs/>
                <w:color w:val="FF0000"/>
                <w:sz w:val="24"/>
                <w:highlight w:val="none"/>
                <w:lang w:val="en-US" w:eastAsia="zh-CN"/>
              </w:rPr>
              <w:t>；</w:t>
            </w:r>
          </w:p>
          <w:p w14:paraId="034B26BF">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FF0000"/>
                <w:sz w:val="24"/>
                <w:highlight w:val="none"/>
                <w:lang w:val="en-US" w:eastAsia="zh-CN"/>
              </w:rPr>
            </w:pPr>
            <w:r>
              <w:rPr>
                <w:rFonts w:hint="eastAsia" w:ascii="Times New Roman" w:hAnsi="Times New Roman" w:eastAsia="仿宋" w:cs="Times New Roman"/>
                <w:b w:val="0"/>
                <w:bCs/>
                <w:color w:val="FF0000"/>
                <w:sz w:val="24"/>
                <w:highlight w:val="none"/>
                <w:lang w:val="en-US" w:eastAsia="zh-CN"/>
              </w:rPr>
              <w:t>W——物料含水率，%，W取6。</w:t>
            </w:r>
          </w:p>
          <w:p w14:paraId="42B36AD5">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eastAsia" w:eastAsia="仿宋" w:cs="Times New Roman"/>
                <w:b w:val="0"/>
                <w:bCs/>
                <w:color w:val="FF0000"/>
                <w:sz w:val="24"/>
                <w:highlight w:val="none"/>
                <w:lang w:val="en-US" w:eastAsia="zh-CN"/>
              </w:rPr>
            </w:pPr>
            <w:r>
              <w:rPr>
                <w:rFonts w:hint="eastAsia" w:eastAsia="仿宋" w:cs="Times New Roman"/>
                <w:b w:val="0"/>
                <w:bCs/>
                <w:color w:val="FF0000"/>
                <w:sz w:val="24"/>
                <w:highlight w:val="none"/>
                <w:lang w:val="en-US" w:eastAsia="zh-CN"/>
              </w:rPr>
              <w:t>由上式计算出排土场起尘量为238mg/s，本项目排土场粉尘产生量为7.5t/a。</w:t>
            </w:r>
          </w:p>
          <w:p w14:paraId="1D68CF99">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FF0000"/>
                <w:sz w:val="24"/>
                <w:highlight w:val="none"/>
                <w:lang w:val="en-US" w:eastAsia="zh-CN"/>
              </w:rPr>
            </w:pPr>
            <w:r>
              <w:rPr>
                <w:rFonts w:hint="eastAsia" w:ascii="Times New Roman" w:hAnsi="Times New Roman" w:eastAsia="仿宋" w:cs="Times New Roman"/>
                <w:color w:val="FF0000"/>
                <w:sz w:val="24"/>
                <w:highlight w:val="none"/>
                <w:lang w:val="en-US" w:eastAsia="zh-CN"/>
              </w:rPr>
              <w:t>环评要求</w:t>
            </w:r>
            <w:r>
              <w:rPr>
                <w:rFonts w:hint="eastAsia" w:eastAsia="仿宋" w:cs="Times New Roman"/>
                <w:b w:val="0"/>
                <w:bCs/>
                <w:color w:val="FF0000"/>
                <w:sz w:val="24"/>
                <w:highlight w:val="none"/>
                <w:lang w:val="en-US" w:eastAsia="zh-CN"/>
              </w:rPr>
              <w:t>排土场采取防尘网苫盖和洒水降尘（洒水车），</w:t>
            </w:r>
            <w:r>
              <w:rPr>
                <w:rFonts w:hint="eastAsia" w:eastAsia="仿宋" w:cs="Times New Roman"/>
                <w:color w:val="FF0000"/>
                <w:sz w:val="24"/>
                <w:highlight w:val="none"/>
                <w:lang w:val="en-US" w:eastAsia="zh-CN"/>
              </w:rPr>
              <w:t>参考</w:t>
            </w:r>
            <w:r>
              <w:rPr>
                <w:rFonts w:hint="default" w:ascii="Times New Roman" w:hAnsi="Times New Roman" w:eastAsia="仿宋" w:cs="Times New Roman"/>
                <w:color w:val="FF0000"/>
                <w:sz w:val="24"/>
              </w:rPr>
              <w:t>《固体物料堆存颗粒物产排污核算系数手册》</w:t>
            </w:r>
            <w:r>
              <w:rPr>
                <w:rFonts w:hint="eastAsia" w:eastAsia="仿宋" w:cs="Times New Roman"/>
                <w:color w:val="FF0000"/>
                <w:sz w:val="24"/>
                <w:highlight w:val="none"/>
                <w:lang w:val="en-US" w:eastAsia="zh-CN"/>
              </w:rPr>
              <w:t>，洒水控制效率为74</w:t>
            </w:r>
            <w:r>
              <w:rPr>
                <w:rFonts w:hint="default" w:ascii="Times New Roman" w:hAnsi="Times New Roman" w:eastAsia="仿宋" w:cs="Times New Roman"/>
                <w:color w:val="FF0000"/>
                <w:sz w:val="24"/>
                <w:highlight w:val="none"/>
                <w:lang w:val="en-US" w:eastAsia="zh-CN"/>
              </w:rPr>
              <w:t>%</w:t>
            </w:r>
            <w:r>
              <w:rPr>
                <w:rFonts w:hint="eastAsia" w:ascii="Times New Roman" w:hAnsi="Times New Roman" w:eastAsia="仿宋" w:cs="Times New Roman"/>
                <w:color w:val="FF0000"/>
                <w:sz w:val="24"/>
                <w:highlight w:val="none"/>
                <w:lang w:val="en-US" w:eastAsia="zh-CN"/>
              </w:rPr>
              <w:t>，编织覆盖控制效率为86%，</w:t>
            </w:r>
            <w:r>
              <w:rPr>
                <w:rFonts w:hint="eastAsia" w:eastAsia="仿宋" w:cs="Times New Roman"/>
                <w:b w:val="0"/>
                <w:bCs/>
                <w:color w:val="FF0000"/>
                <w:sz w:val="24"/>
                <w:highlight w:val="none"/>
                <w:lang w:val="en-US" w:eastAsia="zh-CN"/>
              </w:rPr>
              <w:t>则本项目排土场粉尘排放量为0.27t/a。</w:t>
            </w:r>
          </w:p>
          <w:p w14:paraId="2EDB34D3">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pPr>
          </w:p>
          <w:p w14:paraId="330F9ABE">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⑵石料</w:t>
            </w:r>
            <w:r>
              <w:rPr>
                <w:rFonts w:hint="eastAsia" w:eastAsia="仿宋" w:cs="Times New Roman"/>
                <w:b w:val="0"/>
                <w:bCs/>
                <w:color w:val="000000" w:themeColor="text1"/>
                <w:sz w:val="24"/>
                <w:highlight w:val="none"/>
                <w:lang w:val="en-US" w:eastAsia="zh-CN"/>
                <w14:textFill>
                  <w14:solidFill>
                    <w14:schemeClr w14:val="tx1"/>
                  </w14:solidFill>
                </w14:textFill>
              </w:rPr>
              <w:t>破碎场</w:t>
            </w:r>
          </w:p>
          <w:p w14:paraId="24E11FAC">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FF0000"/>
                <w:sz w:val="24"/>
                <w:highlight w:val="none"/>
                <w:lang w:val="en-US" w:eastAsia="zh-CN"/>
              </w:rPr>
            </w:pPr>
            <w:r>
              <w:rPr>
                <w:rFonts w:hint="default" w:ascii="Times New Roman" w:hAnsi="Times New Roman" w:eastAsia="仿宋" w:cs="Times New Roman"/>
                <w:b w:val="0"/>
                <w:bCs/>
                <w:color w:val="FF0000"/>
                <w:sz w:val="24"/>
                <w:highlight w:val="none"/>
                <w:lang w:val="en-US" w:eastAsia="zh-CN"/>
              </w:rPr>
              <w:t>①</w:t>
            </w:r>
            <w:r>
              <w:rPr>
                <w:rFonts w:hint="eastAsia" w:ascii="Times New Roman" w:hAnsi="Times New Roman" w:eastAsia="仿宋" w:cs="Times New Roman"/>
                <w:b w:val="0"/>
                <w:bCs/>
                <w:color w:val="FF0000"/>
                <w:sz w:val="24"/>
                <w:highlight w:val="none"/>
                <w:lang w:val="en-US" w:eastAsia="zh-CN"/>
              </w:rPr>
              <w:t>石料生产线</w:t>
            </w:r>
            <w:r>
              <w:rPr>
                <w:rFonts w:hint="eastAsia" w:eastAsia="仿宋" w:cs="Times New Roman"/>
                <w:b w:val="0"/>
                <w:bCs/>
                <w:color w:val="FF0000"/>
                <w:sz w:val="24"/>
                <w:highlight w:val="none"/>
                <w:lang w:val="en-US" w:eastAsia="zh-CN"/>
              </w:rPr>
              <w:t>投料、破碎、筛分粉尘（G7、G8、G9、G10、G11、G12、G13）</w:t>
            </w:r>
          </w:p>
          <w:p w14:paraId="66DBAC24">
            <w:pPr>
              <w:pStyle w:val="6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ascii="Times New Roman" w:hAnsi="Times New Roman" w:eastAsia="仿宋" w:cs="Times New Roman"/>
                <w:b w:val="0"/>
                <w:bCs/>
                <w:color w:val="FF0000"/>
                <w:kern w:val="2"/>
                <w:sz w:val="24"/>
                <w:szCs w:val="24"/>
                <w:highlight w:val="none"/>
                <w:lang w:val="en-US" w:eastAsia="zh-CN" w:bidi="ar-SA"/>
              </w:rPr>
            </w:pPr>
            <w:r>
              <w:rPr>
                <w:rFonts w:hint="eastAsia" w:ascii="Times New Roman" w:hAnsi="Times New Roman" w:eastAsia="仿宋" w:cs="Times New Roman"/>
                <w:b w:val="0"/>
                <w:bCs/>
                <w:color w:val="FF0000"/>
                <w:kern w:val="2"/>
                <w:sz w:val="24"/>
                <w:szCs w:val="24"/>
                <w:highlight w:val="none"/>
                <w:lang w:val="en-US" w:eastAsia="zh-CN" w:bidi="ar-SA"/>
              </w:rPr>
              <w:t>本项目物料在投料、</w:t>
            </w:r>
            <w:r>
              <w:rPr>
                <w:rFonts w:hint="eastAsia" w:eastAsia="仿宋" w:cs="Times New Roman"/>
                <w:b w:val="0"/>
                <w:bCs/>
                <w:color w:val="FF0000"/>
                <w:kern w:val="2"/>
                <w:sz w:val="24"/>
                <w:szCs w:val="24"/>
                <w:highlight w:val="none"/>
                <w:lang w:val="en-US" w:eastAsia="zh-CN" w:bidi="ar-SA"/>
              </w:rPr>
              <w:t>破碎和筛分</w:t>
            </w:r>
            <w:r>
              <w:rPr>
                <w:rFonts w:hint="eastAsia" w:ascii="Times New Roman" w:hAnsi="Times New Roman" w:eastAsia="仿宋" w:cs="Times New Roman"/>
                <w:b w:val="0"/>
                <w:bCs/>
                <w:color w:val="FF0000"/>
                <w:kern w:val="2"/>
                <w:sz w:val="24"/>
                <w:szCs w:val="24"/>
                <w:highlight w:val="none"/>
                <w:lang w:val="en-US" w:eastAsia="zh-CN" w:bidi="ar-SA"/>
              </w:rPr>
              <w:t>过</w:t>
            </w:r>
            <w:r>
              <w:rPr>
                <w:rFonts w:hint="eastAsia" w:eastAsia="仿宋" w:cs="Times New Roman"/>
                <w:b w:val="0"/>
                <w:bCs/>
                <w:color w:val="FF0000"/>
                <w:kern w:val="2"/>
                <w:sz w:val="24"/>
                <w:szCs w:val="24"/>
                <w:highlight w:val="none"/>
                <w:lang w:val="en-US" w:eastAsia="zh-CN" w:bidi="ar-SA"/>
              </w:rPr>
              <w:t>程中</w:t>
            </w:r>
            <w:r>
              <w:rPr>
                <w:rFonts w:hint="eastAsia" w:ascii="Times New Roman" w:hAnsi="Times New Roman" w:eastAsia="仿宋" w:cs="Times New Roman"/>
                <w:b w:val="0"/>
                <w:bCs/>
                <w:color w:val="FF0000"/>
                <w:kern w:val="2"/>
                <w:sz w:val="24"/>
                <w:szCs w:val="24"/>
                <w:highlight w:val="none"/>
                <w:lang w:val="en-US" w:eastAsia="zh-CN" w:bidi="ar-SA"/>
              </w:rPr>
              <w:t>会有颗粒物产生。</w:t>
            </w:r>
          </w:p>
          <w:p w14:paraId="31F6F8C4">
            <w:pPr>
              <w:pStyle w:val="6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ascii="Times New Roman" w:hAnsi="Times New Roman" w:eastAsia="仿宋" w:cs="Times New Roman"/>
                <w:b w:val="0"/>
                <w:bCs/>
                <w:color w:val="FF0000"/>
                <w:kern w:val="2"/>
                <w:sz w:val="24"/>
                <w:szCs w:val="24"/>
                <w:highlight w:val="none"/>
                <w:lang w:val="en-US" w:eastAsia="zh-CN" w:bidi="ar-SA"/>
              </w:rPr>
            </w:pPr>
            <w:r>
              <w:rPr>
                <w:rFonts w:hint="eastAsia" w:ascii="Times New Roman" w:hAnsi="Times New Roman" w:eastAsia="仿宋" w:cs="Times New Roman"/>
                <w:b w:val="0"/>
                <w:bCs/>
                <w:color w:val="FF0000"/>
                <w:kern w:val="2"/>
                <w:sz w:val="24"/>
                <w:szCs w:val="24"/>
                <w:highlight w:val="none"/>
                <w:lang w:val="en-US" w:eastAsia="zh-CN" w:bidi="ar-SA"/>
              </w:rPr>
              <w:t>参考《逸散性工业粉尘控制技术》中产污系数0.02kg/t-卸料进行核算，卸料量为</w:t>
            </w:r>
            <w:r>
              <w:rPr>
                <w:rFonts w:hint="eastAsia" w:eastAsia="仿宋" w:cs="Times New Roman"/>
                <w:b w:val="0"/>
                <w:bCs/>
                <w:color w:val="FF0000"/>
                <w:kern w:val="2"/>
                <w:sz w:val="24"/>
                <w:szCs w:val="24"/>
                <w:highlight w:val="none"/>
                <w:lang w:val="en-US" w:eastAsia="zh-CN" w:bidi="ar-SA"/>
              </w:rPr>
              <w:t>100000</w:t>
            </w:r>
            <w:r>
              <w:rPr>
                <w:rFonts w:hint="eastAsia" w:ascii="Times New Roman" w:hAnsi="Times New Roman" w:eastAsia="仿宋" w:cs="Times New Roman"/>
                <w:b w:val="0"/>
                <w:bCs/>
                <w:color w:val="FF0000"/>
                <w:kern w:val="2"/>
                <w:sz w:val="24"/>
                <w:szCs w:val="24"/>
                <w:highlight w:val="none"/>
                <w:lang w:val="en-US" w:eastAsia="zh-CN" w:bidi="ar-SA"/>
              </w:rPr>
              <w:t>t/a，投料过程颗粒物产生量为</w:t>
            </w:r>
            <w:r>
              <w:rPr>
                <w:rFonts w:hint="eastAsia" w:eastAsia="仿宋" w:cs="Times New Roman"/>
                <w:b w:val="0"/>
                <w:bCs/>
                <w:color w:val="FF0000"/>
                <w:kern w:val="2"/>
                <w:sz w:val="24"/>
                <w:szCs w:val="24"/>
                <w:highlight w:val="none"/>
                <w:lang w:val="en-US" w:eastAsia="zh-CN" w:bidi="ar-SA"/>
              </w:rPr>
              <w:t>2</w:t>
            </w:r>
            <w:r>
              <w:rPr>
                <w:rFonts w:hint="eastAsia" w:ascii="Times New Roman" w:hAnsi="Times New Roman" w:eastAsia="仿宋" w:cs="Times New Roman"/>
                <w:b w:val="0"/>
                <w:bCs/>
                <w:color w:val="FF0000"/>
                <w:kern w:val="2"/>
                <w:sz w:val="24"/>
                <w:szCs w:val="24"/>
                <w:highlight w:val="none"/>
                <w:lang w:val="en-US" w:eastAsia="zh-CN" w:bidi="ar-SA"/>
              </w:rPr>
              <w:t>t/a。</w:t>
            </w:r>
          </w:p>
          <w:p w14:paraId="2539BD53">
            <w:pPr>
              <w:pStyle w:val="6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ascii="Times New Roman" w:hAnsi="Times New Roman" w:eastAsia="仿宋" w:cs="Times New Roman"/>
                <w:b w:val="0"/>
                <w:bCs/>
                <w:color w:val="FF0000"/>
                <w:kern w:val="2"/>
                <w:sz w:val="24"/>
                <w:szCs w:val="24"/>
                <w:highlight w:val="none"/>
                <w:lang w:val="en-US" w:eastAsia="zh-CN" w:bidi="ar-SA"/>
              </w:rPr>
            </w:pPr>
            <w:r>
              <w:rPr>
                <w:rFonts w:hint="eastAsia" w:ascii="Times New Roman" w:hAnsi="Times New Roman" w:eastAsia="仿宋" w:cs="Times New Roman"/>
                <w:b w:val="0"/>
                <w:bCs/>
                <w:color w:val="FF0000"/>
                <w:kern w:val="2"/>
                <w:sz w:val="24"/>
                <w:szCs w:val="24"/>
                <w:highlight w:val="none"/>
                <w:lang w:val="en-US" w:eastAsia="zh-CN" w:bidi="ar-SA"/>
              </w:rPr>
              <w:t>参考《排放源统计调查产排污核算方法和系数手册》303砖瓦、石材等建筑材料制造行业，3039 其他建筑材料制造行业，</w:t>
            </w:r>
            <w:r>
              <w:rPr>
                <w:rFonts w:hint="eastAsia" w:eastAsia="仿宋" w:cs="Times New Roman"/>
                <w:b w:val="0"/>
                <w:bCs/>
                <w:color w:val="FF0000"/>
                <w:kern w:val="2"/>
                <w:sz w:val="24"/>
                <w:szCs w:val="24"/>
                <w:highlight w:val="none"/>
                <w:lang w:val="en-US" w:eastAsia="zh-CN" w:bidi="ar-SA"/>
              </w:rPr>
              <w:t>破碎、筛分</w:t>
            </w:r>
            <w:r>
              <w:rPr>
                <w:rFonts w:hint="eastAsia" w:ascii="Times New Roman" w:hAnsi="Times New Roman" w:eastAsia="仿宋" w:cs="Times New Roman"/>
                <w:b w:val="0"/>
                <w:bCs/>
                <w:color w:val="FF0000"/>
                <w:kern w:val="2"/>
                <w:sz w:val="24"/>
                <w:szCs w:val="24"/>
                <w:highlight w:val="none"/>
                <w:lang w:val="en-US" w:eastAsia="zh-CN" w:bidi="ar-SA"/>
              </w:rPr>
              <w:t>产污系数为1.89千克/吨－产品，经计算颗粒物产生量为</w:t>
            </w:r>
            <w:r>
              <w:rPr>
                <w:rFonts w:hint="eastAsia" w:eastAsia="仿宋" w:cs="Times New Roman"/>
                <w:b w:val="0"/>
                <w:bCs/>
                <w:color w:val="FF0000"/>
                <w:kern w:val="2"/>
                <w:sz w:val="24"/>
                <w:szCs w:val="24"/>
                <w:highlight w:val="none"/>
                <w:lang w:val="en-US" w:eastAsia="zh-CN" w:bidi="ar-SA"/>
              </w:rPr>
              <w:t>189</w:t>
            </w:r>
            <w:r>
              <w:rPr>
                <w:rFonts w:hint="eastAsia" w:ascii="Times New Roman" w:hAnsi="Times New Roman" w:eastAsia="仿宋" w:cs="Times New Roman"/>
                <w:b w:val="0"/>
                <w:bCs/>
                <w:color w:val="FF0000"/>
                <w:kern w:val="2"/>
                <w:sz w:val="24"/>
                <w:szCs w:val="24"/>
                <w:highlight w:val="none"/>
                <w:lang w:val="en-US" w:eastAsia="zh-CN" w:bidi="ar-SA"/>
              </w:rPr>
              <w:t>t/a。</w:t>
            </w:r>
          </w:p>
          <w:p w14:paraId="18BE7328">
            <w:pPr>
              <w:pStyle w:val="6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仿宋" w:cs="Times New Roman"/>
                <w:b w:val="0"/>
                <w:bCs/>
                <w:color w:val="FF0000"/>
                <w:kern w:val="2"/>
                <w:sz w:val="24"/>
                <w:szCs w:val="24"/>
                <w:highlight w:val="none"/>
                <w:lang w:val="en-US" w:eastAsia="zh-CN" w:bidi="ar-SA"/>
              </w:rPr>
            </w:pPr>
            <w:r>
              <w:rPr>
                <w:rFonts w:hint="eastAsia" w:eastAsia="仿宋" w:cs="Times New Roman"/>
                <w:b w:val="0"/>
                <w:bCs/>
                <w:color w:val="FF0000"/>
                <w:kern w:val="2"/>
                <w:sz w:val="24"/>
                <w:szCs w:val="24"/>
                <w:highlight w:val="none"/>
                <w:lang w:val="en-US" w:eastAsia="zh-CN" w:bidi="ar-SA"/>
              </w:rPr>
              <w:t>环评要求投料和破碎工序设置在封闭式车间内，投料和破碎设备设置集气罩（收集效率为80%），粉尘经集气罩收集后通过1#布袋除尘器（除尘效率99%）处理然后经15m排气筒排放（DA001），工业废气量为1215标立方米/吨</w:t>
            </w:r>
            <w:r>
              <w:rPr>
                <w:rFonts w:hint="eastAsia" w:ascii="Times New Roman" w:hAnsi="Times New Roman" w:eastAsia="仿宋" w:cs="Times New Roman"/>
                <w:b w:val="0"/>
                <w:bCs/>
                <w:color w:val="FF0000"/>
                <w:kern w:val="2"/>
                <w:sz w:val="24"/>
                <w:szCs w:val="24"/>
                <w:highlight w:val="none"/>
                <w:lang w:val="en-US" w:eastAsia="zh-CN" w:bidi="ar-SA"/>
              </w:rPr>
              <w:t>－产品，则废气量为12150万m</w:t>
            </w:r>
            <w:r>
              <w:rPr>
                <w:rFonts w:hint="eastAsia" w:ascii="Times New Roman" w:hAnsi="Times New Roman" w:eastAsia="仿宋" w:cs="Times New Roman"/>
                <w:b w:val="0"/>
                <w:bCs/>
                <w:color w:val="FF0000"/>
                <w:kern w:val="2"/>
                <w:sz w:val="24"/>
                <w:szCs w:val="24"/>
                <w:highlight w:val="none"/>
                <w:vertAlign w:val="superscript"/>
                <w:lang w:val="en-US" w:eastAsia="zh-CN" w:bidi="ar-SA"/>
              </w:rPr>
              <w:t>3</w:t>
            </w:r>
            <w:r>
              <w:rPr>
                <w:rFonts w:hint="eastAsia" w:ascii="Times New Roman" w:hAnsi="Times New Roman" w:eastAsia="仿宋" w:cs="Times New Roman"/>
                <w:b w:val="0"/>
                <w:bCs/>
                <w:color w:val="FF0000"/>
                <w:kern w:val="2"/>
                <w:sz w:val="24"/>
                <w:szCs w:val="24"/>
                <w:highlight w:val="none"/>
                <w:lang w:val="en-US" w:eastAsia="zh-CN" w:bidi="ar-SA"/>
              </w:rPr>
              <w:t>/a。集气罩收集的粉尘量为</w:t>
            </w:r>
            <w:r>
              <w:rPr>
                <w:rFonts w:hint="eastAsia" w:eastAsia="仿宋" w:cs="Times New Roman"/>
                <w:b w:val="0"/>
                <w:bCs/>
                <w:color w:val="FF0000"/>
                <w:kern w:val="2"/>
                <w:sz w:val="24"/>
                <w:szCs w:val="24"/>
                <w:highlight w:val="none"/>
                <w:lang w:val="en-US" w:eastAsia="zh-CN" w:bidi="ar-SA"/>
              </w:rPr>
              <w:t>152.8</w:t>
            </w:r>
            <w:r>
              <w:rPr>
                <w:rFonts w:hint="eastAsia" w:ascii="Times New Roman" w:hAnsi="Times New Roman" w:eastAsia="仿宋" w:cs="Times New Roman"/>
                <w:b w:val="0"/>
                <w:bCs/>
                <w:color w:val="FF0000"/>
                <w:kern w:val="2"/>
                <w:sz w:val="24"/>
                <w:szCs w:val="24"/>
                <w:highlight w:val="none"/>
                <w:lang w:val="en-US" w:eastAsia="zh-CN" w:bidi="ar-SA"/>
              </w:rPr>
              <w:t>t/a，粉尘产生速率为</w:t>
            </w:r>
            <w:r>
              <w:rPr>
                <w:rFonts w:hint="eastAsia" w:eastAsia="仿宋" w:cs="Times New Roman"/>
                <w:b w:val="0"/>
                <w:bCs/>
                <w:color w:val="FF0000"/>
                <w:kern w:val="2"/>
                <w:sz w:val="24"/>
                <w:szCs w:val="24"/>
                <w:highlight w:val="none"/>
                <w:lang w:val="en-US" w:eastAsia="zh-CN" w:bidi="ar-SA"/>
              </w:rPr>
              <w:t>76.4</w:t>
            </w:r>
            <w:r>
              <w:rPr>
                <w:rFonts w:hint="eastAsia" w:ascii="Times New Roman" w:hAnsi="Times New Roman" w:eastAsia="仿宋" w:cs="Times New Roman"/>
                <w:b w:val="0"/>
                <w:bCs/>
                <w:color w:val="FF0000"/>
                <w:kern w:val="2"/>
                <w:sz w:val="24"/>
                <w:szCs w:val="24"/>
                <w:highlight w:val="none"/>
                <w:lang w:val="en-US" w:eastAsia="zh-CN" w:bidi="ar-SA"/>
              </w:rPr>
              <w:t>kg/h，粉尘的产生浓度为</w:t>
            </w:r>
            <w:r>
              <w:rPr>
                <w:rFonts w:hint="eastAsia" w:eastAsia="仿宋" w:cs="Times New Roman"/>
                <w:b w:val="0"/>
                <w:bCs/>
                <w:color w:val="FF0000"/>
                <w:kern w:val="2"/>
                <w:sz w:val="24"/>
                <w:szCs w:val="24"/>
                <w:highlight w:val="none"/>
                <w:lang w:val="en-US" w:eastAsia="zh-CN" w:bidi="ar-SA"/>
              </w:rPr>
              <w:t>1258</w:t>
            </w:r>
            <w:r>
              <w:rPr>
                <w:rFonts w:hint="eastAsia" w:ascii="Times New Roman" w:hAnsi="Times New Roman" w:eastAsia="仿宋" w:cs="Times New Roman"/>
                <w:b w:val="0"/>
                <w:bCs/>
                <w:color w:val="FF0000"/>
                <w:kern w:val="2"/>
                <w:sz w:val="24"/>
                <w:szCs w:val="24"/>
                <w:highlight w:val="none"/>
                <w:lang w:val="en-US" w:eastAsia="zh-CN" w:bidi="ar-SA"/>
              </w:rPr>
              <w:t>mg/m</w:t>
            </w:r>
            <w:r>
              <w:rPr>
                <w:rFonts w:hint="eastAsia" w:ascii="Times New Roman" w:hAnsi="Times New Roman" w:eastAsia="仿宋" w:cs="Times New Roman"/>
                <w:b w:val="0"/>
                <w:bCs/>
                <w:color w:val="FF0000"/>
                <w:kern w:val="2"/>
                <w:sz w:val="24"/>
                <w:szCs w:val="24"/>
                <w:highlight w:val="none"/>
                <w:vertAlign w:val="superscript"/>
                <w:lang w:val="en-US" w:eastAsia="zh-CN" w:bidi="ar-SA"/>
              </w:rPr>
              <w:t>3</w:t>
            </w:r>
            <w:r>
              <w:rPr>
                <w:rFonts w:hint="eastAsia" w:ascii="Times New Roman" w:hAnsi="Times New Roman" w:eastAsia="仿宋" w:cs="Times New Roman"/>
                <w:b w:val="0"/>
                <w:bCs/>
                <w:color w:val="FF0000"/>
                <w:kern w:val="2"/>
                <w:sz w:val="24"/>
                <w:szCs w:val="24"/>
                <w:highlight w:val="none"/>
                <w:lang w:val="en-US" w:eastAsia="zh-CN" w:bidi="ar-SA"/>
              </w:rPr>
              <w:t>，经布袋除尘器处理后粉尘的排放量为1.</w:t>
            </w:r>
            <w:r>
              <w:rPr>
                <w:rFonts w:hint="eastAsia" w:eastAsia="仿宋" w:cs="Times New Roman"/>
                <w:b w:val="0"/>
                <w:bCs/>
                <w:color w:val="FF0000"/>
                <w:kern w:val="2"/>
                <w:sz w:val="24"/>
                <w:szCs w:val="24"/>
                <w:highlight w:val="none"/>
                <w:lang w:val="en-US" w:eastAsia="zh-CN" w:bidi="ar-SA"/>
              </w:rPr>
              <w:t>5</w:t>
            </w:r>
            <w:r>
              <w:rPr>
                <w:rFonts w:hint="eastAsia" w:ascii="Times New Roman" w:hAnsi="Times New Roman" w:eastAsia="仿宋" w:cs="Times New Roman"/>
                <w:b w:val="0"/>
                <w:bCs/>
                <w:color w:val="FF0000"/>
                <w:kern w:val="2"/>
                <w:sz w:val="24"/>
                <w:szCs w:val="24"/>
                <w:highlight w:val="none"/>
                <w:lang w:val="en-US" w:eastAsia="zh-CN" w:bidi="ar-SA"/>
              </w:rPr>
              <w:t>t/a，粉尘排放速率为0.</w:t>
            </w:r>
            <w:r>
              <w:rPr>
                <w:rFonts w:hint="eastAsia" w:eastAsia="仿宋" w:cs="Times New Roman"/>
                <w:b w:val="0"/>
                <w:bCs/>
                <w:color w:val="FF0000"/>
                <w:kern w:val="2"/>
                <w:sz w:val="24"/>
                <w:szCs w:val="24"/>
                <w:highlight w:val="none"/>
                <w:lang w:val="en-US" w:eastAsia="zh-CN" w:bidi="ar-SA"/>
              </w:rPr>
              <w:t>76</w:t>
            </w:r>
            <w:r>
              <w:rPr>
                <w:rFonts w:hint="eastAsia" w:ascii="Times New Roman" w:hAnsi="Times New Roman" w:eastAsia="仿宋" w:cs="Times New Roman"/>
                <w:b w:val="0"/>
                <w:bCs/>
                <w:color w:val="FF0000"/>
                <w:kern w:val="2"/>
                <w:sz w:val="24"/>
                <w:szCs w:val="24"/>
                <w:highlight w:val="none"/>
                <w:lang w:val="en-US" w:eastAsia="zh-CN" w:bidi="ar-SA"/>
              </w:rPr>
              <w:t>kg/h，粉尘的排放浓度为</w:t>
            </w:r>
            <w:r>
              <w:rPr>
                <w:rFonts w:hint="eastAsia" w:eastAsia="仿宋" w:cs="Times New Roman"/>
                <w:b w:val="0"/>
                <w:bCs/>
                <w:color w:val="FF0000"/>
                <w:kern w:val="2"/>
                <w:sz w:val="24"/>
                <w:szCs w:val="24"/>
                <w:highlight w:val="none"/>
                <w:lang w:val="en-US" w:eastAsia="zh-CN" w:bidi="ar-SA"/>
              </w:rPr>
              <w:t>13</w:t>
            </w:r>
            <w:r>
              <w:rPr>
                <w:rFonts w:hint="eastAsia" w:ascii="Times New Roman" w:hAnsi="Times New Roman" w:eastAsia="仿宋" w:cs="Times New Roman"/>
                <w:b w:val="0"/>
                <w:bCs/>
                <w:color w:val="FF0000"/>
                <w:kern w:val="2"/>
                <w:sz w:val="24"/>
                <w:szCs w:val="24"/>
                <w:highlight w:val="none"/>
                <w:lang w:val="en-US" w:eastAsia="zh-CN" w:bidi="ar-SA"/>
              </w:rPr>
              <w:t>mg/m</w:t>
            </w:r>
            <w:r>
              <w:rPr>
                <w:rFonts w:hint="eastAsia" w:ascii="Times New Roman" w:hAnsi="Times New Roman" w:eastAsia="仿宋" w:cs="Times New Roman"/>
                <w:b w:val="0"/>
                <w:bCs/>
                <w:color w:val="FF0000"/>
                <w:kern w:val="2"/>
                <w:sz w:val="24"/>
                <w:szCs w:val="24"/>
                <w:highlight w:val="none"/>
                <w:vertAlign w:val="superscript"/>
                <w:lang w:val="en-US" w:eastAsia="zh-CN" w:bidi="ar-SA"/>
              </w:rPr>
              <w:t>3</w:t>
            </w:r>
            <w:r>
              <w:rPr>
                <w:rFonts w:hint="eastAsia" w:ascii="Times New Roman" w:hAnsi="Times New Roman" w:eastAsia="仿宋" w:cs="Times New Roman"/>
                <w:b w:val="0"/>
                <w:bCs/>
                <w:color w:val="FF0000"/>
                <w:kern w:val="2"/>
                <w:sz w:val="24"/>
                <w:szCs w:val="24"/>
                <w:highlight w:val="none"/>
                <w:lang w:val="en-US" w:eastAsia="zh-CN" w:bidi="ar-SA"/>
              </w:rPr>
              <w:t>。</w:t>
            </w:r>
          </w:p>
          <w:p w14:paraId="1ED2F51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color w:val="FF0000"/>
                <w:sz w:val="24"/>
                <w:highlight w:val="none"/>
                <w:lang w:val="en-US" w:eastAsia="zh-CN"/>
              </w:rPr>
            </w:pPr>
            <w:r>
              <w:rPr>
                <w:rFonts w:hint="eastAsia" w:eastAsia="仿宋" w:cs="Times New Roman"/>
                <w:b w:val="0"/>
                <w:bCs/>
                <w:color w:val="FF0000"/>
                <w:sz w:val="24"/>
                <w:highlight w:val="none"/>
                <w:lang w:val="en-US" w:eastAsia="zh-CN"/>
              </w:rPr>
              <w:t>未被集气罩收集的粉尘量为38.2t/a，</w:t>
            </w:r>
            <w:r>
              <w:rPr>
                <w:rFonts w:hint="eastAsia" w:eastAsia="仿宋" w:cs="Times New Roman"/>
                <w:b w:val="0"/>
                <w:bCs/>
                <w:color w:val="FF0000"/>
                <w:kern w:val="2"/>
                <w:sz w:val="24"/>
                <w:szCs w:val="24"/>
                <w:highlight w:val="none"/>
                <w:lang w:val="en-US" w:eastAsia="zh-CN" w:bidi="ar-SA"/>
              </w:rPr>
              <w:t>环评要求破碎及筛分工序设置在封闭式车间内，</w:t>
            </w:r>
            <w:r>
              <w:rPr>
                <w:rFonts w:hint="eastAsia" w:eastAsia="仿宋" w:cs="Times New Roman"/>
                <w:color w:val="FF0000"/>
                <w:sz w:val="24"/>
                <w:highlight w:val="none"/>
                <w:lang w:val="en-US" w:eastAsia="zh-CN"/>
              </w:rPr>
              <w:t>参考</w:t>
            </w:r>
            <w:r>
              <w:rPr>
                <w:rFonts w:hint="default" w:ascii="Times New Roman" w:hAnsi="Times New Roman" w:eastAsia="仿宋" w:cs="Times New Roman"/>
                <w:color w:val="FF0000"/>
                <w:sz w:val="24"/>
              </w:rPr>
              <w:t>《固体物料堆存颗粒物产排污核算系数手册》</w:t>
            </w:r>
            <w:r>
              <w:rPr>
                <w:rFonts w:hint="eastAsia" w:eastAsia="仿宋" w:cs="Times New Roman"/>
                <w:color w:val="FF0000"/>
                <w:sz w:val="24"/>
                <w:highlight w:val="none"/>
                <w:lang w:val="en-US" w:eastAsia="zh-CN"/>
              </w:rPr>
              <w:t>，封闭式车间控制效率为99</w:t>
            </w:r>
            <w:r>
              <w:rPr>
                <w:rFonts w:hint="default" w:ascii="Times New Roman" w:hAnsi="Times New Roman" w:eastAsia="仿宋" w:cs="Times New Roman"/>
                <w:color w:val="FF0000"/>
                <w:sz w:val="24"/>
                <w:highlight w:val="none"/>
                <w:lang w:val="en-US" w:eastAsia="zh-CN"/>
              </w:rPr>
              <w:t>%</w:t>
            </w:r>
            <w:r>
              <w:rPr>
                <w:rFonts w:hint="eastAsia" w:ascii="Times New Roman" w:hAnsi="Times New Roman" w:eastAsia="仿宋" w:cs="Times New Roman"/>
                <w:color w:val="FF0000"/>
                <w:sz w:val="24"/>
                <w:highlight w:val="none"/>
                <w:lang w:val="en-US" w:eastAsia="zh-CN"/>
              </w:rPr>
              <w:t>，则粉尘排放量为</w:t>
            </w:r>
            <w:r>
              <w:rPr>
                <w:rFonts w:hint="eastAsia" w:eastAsia="仿宋" w:cs="Times New Roman"/>
                <w:color w:val="FF0000"/>
                <w:sz w:val="24"/>
                <w:highlight w:val="none"/>
                <w:lang w:val="en-US" w:eastAsia="zh-CN"/>
              </w:rPr>
              <w:t>0.38</w:t>
            </w:r>
            <w:r>
              <w:rPr>
                <w:rFonts w:hint="default" w:ascii="Times New Roman" w:hAnsi="Times New Roman" w:eastAsia="仿宋" w:cs="Times New Roman"/>
                <w:color w:val="FF0000"/>
                <w:sz w:val="24"/>
                <w:highlight w:val="none"/>
                <w:lang w:val="en-US" w:eastAsia="zh-CN"/>
              </w:rPr>
              <w:t>t/a</w:t>
            </w:r>
            <w:r>
              <w:rPr>
                <w:rFonts w:hint="eastAsia" w:ascii="Times New Roman" w:hAnsi="Times New Roman" w:eastAsia="仿宋" w:cs="Times New Roman"/>
                <w:color w:val="FF0000"/>
                <w:sz w:val="24"/>
                <w:highlight w:val="none"/>
                <w:lang w:val="en-US" w:eastAsia="zh-CN"/>
              </w:rPr>
              <w:t>。</w:t>
            </w:r>
          </w:p>
          <w:p w14:paraId="52457DB2">
            <w:pPr>
              <w:pStyle w:val="6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ascii="Times New Roman" w:hAnsi="Times New Roman" w:eastAsia="仿宋" w:cs="Times New Roman"/>
                <w:b w:val="0"/>
                <w:bCs/>
                <w:color w:val="FF0000"/>
                <w:kern w:val="2"/>
                <w:sz w:val="24"/>
                <w:szCs w:val="24"/>
                <w:highlight w:val="none"/>
                <w:lang w:val="en-US" w:eastAsia="zh-CN" w:bidi="ar-SA"/>
              </w:rPr>
            </w:pPr>
            <w:r>
              <w:rPr>
                <w:rFonts w:hint="eastAsia" w:ascii="Times New Roman" w:hAnsi="Times New Roman" w:eastAsia="仿宋" w:cs="Times New Roman"/>
                <w:b w:val="0"/>
                <w:bCs/>
                <w:color w:val="FF0000"/>
                <w:kern w:val="2"/>
                <w:sz w:val="24"/>
                <w:szCs w:val="24"/>
                <w:highlight w:val="none"/>
                <w:lang w:val="en-US" w:eastAsia="zh-CN" w:bidi="ar-SA"/>
              </w:rPr>
              <w:t>参考《排放源统计调查产排污核算方法和系数手册》303砖瓦、石材等建筑材料制造行业，3039 其他建筑材料制造行业，</w:t>
            </w:r>
            <w:r>
              <w:rPr>
                <w:rFonts w:hint="eastAsia" w:eastAsia="仿宋" w:cs="Times New Roman"/>
                <w:b w:val="0"/>
                <w:bCs/>
                <w:color w:val="FF0000"/>
                <w:kern w:val="2"/>
                <w:sz w:val="24"/>
                <w:szCs w:val="24"/>
                <w:highlight w:val="none"/>
                <w:lang w:val="en-US" w:eastAsia="zh-CN" w:bidi="ar-SA"/>
              </w:rPr>
              <w:t>筛分</w:t>
            </w:r>
            <w:r>
              <w:rPr>
                <w:rFonts w:hint="eastAsia" w:ascii="Times New Roman" w:hAnsi="Times New Roman" w:eastAsia="仿宋" w:cs="Times New Roman"/>
                <w:b w:val="0"/>
                <w:bCs/>
                <w:color w:val="FF0000"/>
                <w:kern w:val="2"/>
                <w:sz w:val="24"/>
                <w:szCs w:val="24"/>
                <w:highlight w:val="none"/>
                <w:lang w:val="en-US" w:eastAsia="zh-CN" w:bidi="ar-SA"/>
              </w:rPr>
              <w:t>产污系数为1.89千克/吨－产品，经计算颗粒物产生量为</w:t>
            </w:r>
            <w:r>
              <w:rPr>
                <w:rFonts w:hint="eastAsia" w:eastAsia="仿宋" w:cs="Times New Roman"/>
                <w:b w:val="0"/>
                <w:bCs/>
                <w:color w:val="FF0000"/>
                <w:kern w:val="2"/>
                <w:sz w:val="24"/>
                <w:szCs w:val="24"/>
                <w:highlight w:val="none"/>
                <w:lang w:val="en-US" w:eastAsia="zh-CN" w:bidi="ar-SA"/>
              </w:rPr>
              <w:t>189</w:t>
            </w:r>
            <w:r>
              <w:rPr>
                <w:rFonts w:hint="eastAsia" w:ascii="Times New Roman" w:hAnsi="Times New Roman" w:eastAsia="仿宋" w:cs="Times New Roman"/>
                <w:b w:val="0"/>
                <w:bCs/>
                <w:color w:val="FF0000"/>
                <w:kern w:val="2"/>
                <w:sz w:val="24"/>
                <w:szCs w:val="24"/>
                <w:highlight w:val="none"/>
                <w:lang w:val="en-US" w:eastAsia="zh-CN" w:bidi="ar-SA"/>
              </w:rPr>
              <w:t>t/a。</w:t>
            </w:r>
          </w:p>
          <w:p w14:paraId="51336646">
            <w:pPr>
              <w:pStyle w:val="6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仿宋" w:cs="Times New Roman"/>
                <w:b w:val="0"/>
                <w:bCs/>
                <w:color w:val="FF0000"/>
                <w:kern w:val="2"/>
                <w:sz w:val="24"/>
                <w:szCs w:val="24"/>
                <w:highlight w:val="none"/>
                <w:lang w:val="en-US" w:eastAsia="zh-CN" w:bidi="ar-SA"/>
              </w:rPr>
            </w:pPr>
            <w:r>
              <w:rPr>
                <w:rFonts w:hint="eastAsia" w:eastAsia="仿宋" w:cs="Times New Roman"/>
                <w:b w:val="0"/>
                <w:bCs/>
                <w:color w:val="FF0000"/>
                <w:kern w:val="2"/>
                <w:sz w:val="24"/>
                <w:szCs w:val="24"/>
                <w:highlight w:val="none"/>
                <w:lang w:val="en-US" w:eastAsia="zh-CN" w:bidi="ar-SA"/>
              </w:rPr>
              <w:t>环评要求筛分工序设置在封闭式车间内，筛分设备设置集气罩（收集效率为80%），粉尘经集气罩收集后通过2#布袋除尘器（除尘效率99%）处理然后经15m排气筒排放（DA002），工业废气量为1215标立方米/吨</w:t>
            </w:r>
            <w:r>
              <w:rPr>
                <w:rFonts w:hint="eastAsia" w:ascii="Times New Roman" w:hAnsi="Times New Roman" w:eastAsia="仿宋" w:cs="Times New Roman"/>
                <w:b w:val="0"/>
                <w:bCs/>
                <w:color w:val="FF0000"/>
                <w:kern w:val="2"/>
                <w:sz w:val="24"/>
                <w:szCs w:val="24"/>
                <w:highlight w:val="none"/>
                <w:lang w:val="en-US" w:eastAsia="zh-CN" w:bidi="ar-SA"/>
              </w:rPr>
              <w:t>－产品，则废气量为12150万m</w:t>
            </w:r>
            <w:r>
              <w:rPr>
                <w:rFonts w:hint="eastAsia" w:ascii="Times New Roman" w:hAnsi="Times New Roman" w:eastAsia="仿宋" w:cs="Times New Roman"/>
                <w:b w:val="0"/>
                <w:bCs/>
                <w:color w:val="FF0000"/>
                <w:kern w:val="2"/>
                <w:sz w:val="24"/>
                <w:szCs w:val="24"/>
                <w:highlight w:val="none"/>
                <w:vertAlign w:val="superscript"/>
                <w:lang w:val="en-US" w:eastAsia="zh-CN" w:bidi="ar-SA"/>
              </w:rPr>
              <w:t>3</w:t>
            </w:r>
            <w:r>
              <w:rPr>
                <w:rFonts w:hint="eastAsia" w:ascii="Times New Roman" w:hAnsi="Times New Roman" w:eastAsia="仿宋" w:cs="Times New Roman"/>
                <w:b w:val="0"/>
                <w:bCs/>
                <w:color w:val="FF0000"/>
                <w:kern w:val="2"/>
                <w:sz w:val="24"/>
                <w:szCs w:val="24"/>
                <w:highlight w:val="none"/>
                <w:lang w:val="en-US" w:eastAsia="zh-CN" w:bidi="ar-SA"/>
              </w:rPr>
              <w:t>/a。集气罩收集的粉尘量为</w:t>
            </w:r>
            <w:r>
              <w:rPr>
                <w:rFonts w:hint="eastAsia" w:eastAsia="仿宋" w:cs="Times New Roman"/>
                <w:b w:val="0"/>
                <w:bCs/>
                <w:color w:val="FF0000"/>
                <w:kern w:val="2"/>
                <w:sz w:val="24"/>
                <w:szCs w:val="24"/>
                <w:highlight w:val="none"/>
                <w:lang w:val="en-US" w:eastAsia="zh-CN" w:bidi="ar-SA"/>
              </w:rPr>
              <w:t>151.2</w:t>
            </w:r>
            <w:r>
              <w:rPr>
                <w:rFonts w:hint="eastAsia" w:ascii="Times New Roman" w:hAnsi="Times New Roman" w:eastAsia="仿宋" w:cs="Times New Roman"/>
                <w:b w:val="0"/>
                <w:bCs/>
                <w:color w:val="FF0000"/>
                <w:kern w:val="2"/>
                <w:sz w:val="24"/>
                <w:szCs w:val="24"/>
                <w:highlight w:val="none"/>
                <w:lang w:val="en-US" w:eastAsia="zh-CN" w:bidi="ar-SA"/>
              </w:rPr>
              <w:t>1t/a，粉尘产生速率为</w:t>
            </w:r>
            <w:r>
              <w:rPr>
                <w:rFonts w:hint="eastAsia" w:eastAsia="仿宋" w:cs="Times New Roman"/>
                <w:b w:val="0"/>
                <w:bCs/>
                <w:color w:val="FF0000"/>
                <w:kern w:val="2"/>
                <w:sz w:val="24"/>
                <w:szCs w:val="24"/>
                <w:highlight w:val="none"/>
                <w:lang w:val="en-US" w:eastAsia="zh-CN" w:bidi="ar-SA"/>
              </w:rPr>
              <w:t>75.6</w:t>
            </w:r>
            <w:r>
              <w:rPr>
                <w:rFonts w:hint="eastAsia" w:ascii="Times New Roman" w:hAnsi="Times New Roman" w:eastAsia="仿宋" w:cs="Times New Roman"/>
                <w:b w:val="0"/>
                <w:bCs/>
                <w:color w:val="FF0000"/>
                <w:kern w:val="2"/>
                <w:sz w:val="24"/>
                <w:szCs w:val="24"/>
                <w:highlight w:val="none"/>
                <w:lang w:val="en-US" w:eastAsia="zh-CN" w:bidi="ar-SA"/>
              </w:rPr>
              <w:t>kg/h，粉尘的产生浓度为</w:t>
            </w:r>
            <w:r>
              <w:rPr>
                <w:rFonts w:hint="eastAsia" w:eastAsia="仿宋" w:cs="Times New Roman"/>
                <w:b w:val="0"/>
                <w:bCs/>
                <w:color w:val="FF0000"/>
                <w:kern w:val="2"/>
                <w:sz w:val="24"/>
                <w:szCs w:val="24"/>
                <w:highlight w:val="none"/>
                <w:lang w:val="en-US" w:eastAsia="zh-CN" w:bidi="ar-SA"/>
              </w:rPr>
              <w:t>1244</w:t>
            </w:r>
            <w:r>
              <w:rPr>
                <w:rFonts w:hint="eastAsia" w:ascii="Times New Roman" w:hAnsi="Times New Roman" w:eastAsia="仿宋" w:cs="Times New Roman"/>
                <w:b w:val="0"/>
                <w:bCs/>
                <w:color w:val="FF0000"/>
                <w:kern w:val="2"/>
                <w:sz w:val="24"/>
                <w:szCs w:val="24"/>
                <w:highlight w:val="none"/>
                <w:lang w:val="en-US" w:eastAsia="zh-CN" w:bidi="ar-SA"/>
              </w:rPr>
              <w:t>mg/m</w:t>
            </w:r>
            <w:r>
              <w:rPr>
                <w:rFonts w:hint="eastAsia" w:ascii="Times New Roman" w:hAnsi="Times New Roman" w:eastAsia="仿宋" w:cs="Times New Roman"/>
                <w:b w:val="0"/>
                <w:bCs/>
                <w:color w:val="FF0000"/>
                <w:kern w:val="2"/>
                <w:sz w:val="24"/>
                <w:szCs w:val="24"/>
                <w:highlight w:val="none"/>
                <w:vertAlign w:val="superscript"/>
                <w:lang w:val="en-US" w:eastAsia="zh-CN" w:bidi="ar-SA"/>
              </w:rPr>
              <w:t>3</w:t>
            </w:r>
            <w:r>
              <w:rPr>
                <w:rFonts w:hint="eastAsia" w:ascii="Times New Roman" w:hAnsi="Times New Roman" w:eastAsia="仿宋" w:cs="Times New Roman"/>
                <w:b w:val="0"/>
                <w:bCs/>
                <w:color w:val="FF0000"/>
                <w:kern w:val="2"/>
                <w:sz w:val="24"/>
                <w:szCs w:val="24"/>
                <w:highlight w:val="none"/>
                <w:lang w:val="en-US" w:eastAsia="zh-CN" w:bidi="ar-SA"/>
              </w:rPr>
              <w:t>，经布袋除尘器处理后粉尘的排放量为</w:t>
            </w:r>
            <w:r>
              <w:rPr>
                <w:rFonts w:hint="eastAsia" w:eastAsia="仿宋" w:cs="Times New Roman"/>
                <w:b w:val="0"/>
                <w:bCs/>
                <w:color w:val="FF0000"/>
                <w:kern w:val="2"/>
                <w:sz w:val="24"/>
                <w:szCs w:val="24"/>
                <w:highlight w:val="none"/>
                <w:lang w:val="en-US" w:eastAsia="zh-CN" w:bidi="ar-SA"/>
              </w:rPr>
              <w:t>1.5</w:t>
            </w:r>
            <w:r>
              <w:rPr>
                <w:rFonts w:hint="eastAsia" w:ascii="Times New Roman" w:hAnsi="Times New Roman" w:eastAsia="仿宋" w:cs="Times New Roman"/>
                <w:b w:val="0"/>
                <w:bCs/>
                <w:color w:val="FF0000"/>
                <w:kern w:val="2"/>
                <w:sz w:val="24"/>
                <w:szCs w:val="24"/>
                <w:highlight w:val="none"/>
                <w:lang w:val="en-US" w:eastAsia="zh-CN" w:bidi="ar-SA"/>
              </w:rPr>
              <w:t>t/a，粉尘排放速率为</w:t>
            </w:r>
            <w:r>
              <w:rPr>
                <w:rFonts w:hint="eastAsia" w:eastAsia="仿宋" w:cs="Times New Roman"/>
                <w:b w:val="0"/>
                <w:bCs/>
                <w:color w:val="FF0000"/>
                <w:kern w:val="2"/>
                <w:sz w:val="24"/>
                <w:szCs w:val="24"/>
                <w:highlight w:val="none"/>
                <w:lang w:val="en-US" w:eastAsia="zh-CN" w:bidi="ar-SA"/>
              </w:rPr>
              <w:t>0.76</w:t>
            </w:r>
            <w:r>
              <w:rPr>
                <w:rFonts w:hint="eastAsia" w:ascii="Times New Roman" w:hAnsi="Times New Roman" w:eastAsia="仿宋" w:cs="Times New Roman"/>
                <w:b w:val="0"/>
                <w:bCs/>
                <w:color w:val="FF0000"/>
                <w:kern w:val="2"/>
                <w:sz w:val="24"/>
                <w:szCs w:val="24"/>
                <w:highlight w:val="none"/>
                <w:lang w:val="en-US" w:eastAsia="zh-CN" w:bidi="ar-SA"/>
              </w:rPr>
              <w:t>kg/h，粉尘的排放浓度为</w:t>
            </w:r>
            <w:r>
              <w:rPr>
                <w:rFonts w:hint="eastAsia" w:eastAsia="仿宋" w:cs="Times New Roman"/>
                <w:b w:val="0"/>
                <w:bCs/>
                <w:color w:val="FF0000"/>
                <w:kern w:val="2"/>
                <w:sz w:val="24"/>
                <w:szCs w:val="24"/>
                <w:highlight w:val="none"/>
                <w:lang w:val="en-US" w:eastAsia="zh-CN" w:bidi="ar-SA"/>
              </w:rPr>
              <w:t>12</w:t>
            </w:r>
            <w:r>
              <w:rPr>
                <w:rFonts w:hint="eastAsia" w:ascii="Times New Roman" w:hAnsi="Times New Roman" w:eastAsia="仿宋" w:cs="Times New Roman"/>
                <w:b w:val="0"/>
                <w:bCs/>
                <w:color w:val="FF0000"/>
                <w:kern w:val="2"/>
                <w:sz w:val="24"/>
                <w:szCs w:val="24"/>
                <w:highlight w:val="none"/>
                <w:lang w:val="en-US" w:eastAsia="zh-CN" w:bidi="ar-SA"/>
              </w:rPr>
              <w:t>mg/m</w:t>
            </w:r>
            <w:r>
              <w:rPr>
                <w:rFonts w:hint="eastAsia" w:ascii="Times New Roman" w:hAnsi="Times New Roman" w:eastAsia="仿宋" w:cs="Times New Roman"/>
                <w:b w:val="0"/>
                <w:bCs/>
                <w:color w:val="FF0000"/>
                <w:kern w:val="2"/>
                <w:sz w:val="24"/>
                <w:szCs w:val="24"/>
                <w:highlight w:val="none"/>
                <w:vertAlign w:val="superscript"/>
                <w:lang w:val="en-US" w:eastAsia="zh-CN" w:bidi="ar-SA"/>
              </w:rPr>
              <w:t>3</w:t>
            </w:r>
            <w:r>
              <w:rPr>
                <w:rFonts w:hint="eastAsia" w:ascii="Times New Roman" w:hAnsi="Times New Roman" w:eastAsia="仿宋" w:cs="Times New Roman"/>
                <w:b w:val="0"/>
                <w:bCs/>
                <w:color w:val="FF0000"/>
                <w:kern w:val="2"/>
                <w:sz w:val="24"/>
                <w:szCs w:val="24"/>
                <w:highlight w:val="none"/>
                <w:lang w:val="en-US" w:eastAsia="zh-CN" w:bidi="ar-SA"/>
              </w:rPr>
              <w:t>。</w:t>
            </w:r>
          </w:p>
          <w:p w14:paraId="663949B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color w:val="FF0000"/>
                <w:sz w:val="24"/>
                <w:highlight w:val="none"/>
                <w:lang w:val="en-US" w:eastAsia="zh-CN"/>
              </w:rPr>
            </w:pPr>
            <w:r>
              <w:rPr>
                <w:rFonts w:hint="eastAsia" w:eastAsia="仿宋" w:cs="Times New Roman"/>
                <w:b w:val="0"/>
                <w:bCs/>
                <w:color w:val="FF0000"/>
                <w:sz w:val="24"/>
                <w:highlight w:val="none"/>
                <w:lang w:val="en-US" w:eastAsia="zh-CN"/>
              </w:rPr>
              <w:t>未被集气罩收集的粉尘量为37.8t/a，</w:t>
            </w:r>
            <w:r>
              <w:rPr>
                <w:rFonts w:hint="eastAsia" w:eastAsia="仿宋" w:cs="Times New Roman"/>
                <w:b w:val="0"/>
                <w:bCs/>
                <w:color w:val="FF0000"/>
                <w:kern w:val="2"/>
                <w:sz w:val="24"/>
                <w:szCs w:val="24"/>
                <w:highlight w:val="none"/>
                <w:lang w:val="en-US" w:eastAsia="zh-CN" w:bidi="ar-SA"/>
              </w:rPr>
              <w:t>环评要求破碎及筛分工序设置在封闭式车间内，</w:t>
            </w:r>
            <w:r>
              <w:rPr>
                <w:rFonts w:hint="eastAsia" w:eastAsia="仿宋" w:cs="Times New Roman"/>
                <w:color w:val="FF0000"/>
                <w:sz w:val="24"/>
                <w:highlight w:val="none"/>
                <w:lang w:val="en-US" w:eastAsia="zh-CN"/>
              </w:rPr>
              <w:t>参考</w:t>
            </w:r>
            <w:r>
              <w:rPr>
                <w:rFonts w:hint="default" w:ascii="Times New Roman" w:hAnsi="Times New Roman" w:eastAsia="仿宋" w:cs="Times New Roman"/>
                <w:color w:val="FF0000"/>
                <w:sz w:val="24"/>
              </w:rPr>
              <w:t>《固体物料堆存颗粒物产排污核算系数手册》</w:t>
            </w:r>
            <w:r>
              <w:rPr>
                <w:rFonts w:hint="eastAsia" w:eastAsia="仿宋" w:cs="Times New Roman"/>
                <w:color w:val="FF0000"/>
                <w:sz w:val="24"/>
                <w:highlight w:val="none"/>
                <w:lang w:val="en-US" w:eastAsia="zh-CN"/>
              </w:rPr>
              <w:t>，封闭式车间控制效率为99</w:t>
            </w:r>
            <w:r>
              <w:rPr>
                <w:rFonts w:hint="default" w:ascii="Times New Roman" w:hAnsi="Times New Roman" w:eastAsia="仿宋" w:cs="Times New Roman"/>
                <w:color w:val="FF0000"/>
                <w:sz w:val="24"/>
                <w:highlight w:val="none"/>
                <w:lang w:val="en-US" w:eastAsia="zh-CN"/>
              </w:rPr>
              <w:t>%</w:t>
            </w:r>
            <w:r>
              <w:rPr>
                <w:rFonts w:hint="eastAsia" w:ascii="Times New Roman" w:hAnsi="Times New Roman" w:eastAsia="仿宋" w:cs="Times New Roman"/>
                <w:color w:val="FF0000"/>
                <w:sz w:val="24"/>
                <w:highlight w:val="none"/>
                <w:lang w:val="en-US" w:eastAsia="zh-CN"/>
              </w:rPr>
              <w:t>，则粉尘排放量为</w:t>
            </w:r>
            <w:r>
              <w:rPr>
                <w:rFonts w:hint="eastAsia" w:eastAsia="仿宋" w:cs="Times New Roman"/>
                <w:color w:val="FF0000"/>
                <w:sz w:val="24"/>
                <w:highlight w:val="none"/>
                <w:lang w:val="en-US" w:eastAsia="zh-CN"/>
              </w:rPr>
              <w:t>0.38</w:t>
            </w:r>
            <w:r>
              <w:rPr>
                <w:rFonts w:hint="default" w:ascii="Times New Roman" w:hAnsi="Times New Roman" w:eastAsia="仿宋" w:cs="Times New Roman"/>
                <w:color w:val="FF0000"/>
                <w:sz w:val="24"/>
                <w:highlight w:val="none"/>
                <w:lang w:val="en-US" w:eastAsia="zh-CN"/>
              </w:rPr>
              <w:t>t/a</w:t>
            </w:r>
            <w:r>
              <w:rPr>
                <w:rFonts w:hint="eastAsia" w:ascii="Times New Roman" w:hAnsi="Times New Roman" w:eastAsia="仿宋" w:cs="Times New Roman"/>
                <w:color w:val="FF0000"/>
                <w:sz w:val="24"/>
                <w:highlight w:val="none"/>
                <w:lang w:val="en-US" w:eastAsia="zh-CN"/>
              </w:rPr>
              <w:t>。</w:t>
            </w:r>
          </w:p>
          <w:p w14:paraId="3E689EEA">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b w:val="0"/>
                <w:bCs/>
                <w:color w:val="000000" w:themeColor="text1"/>
                <w:sz w:val="24"/>
                <w:highlight w:val="none"/>
                <w:lang w:eastAsia="zh-CN"/>
                <w14:textFill>
                  <w14:solidFill>
                    <w14:schemeClr w14:val="tx1"/>
                  </w14:solidFill>
                </w14:textFill>
              </w:rPr>
              <w:t>②</w:t>
            </w:r>
            <w:r>
              <w:rPr>
                <w:rFonts w:hint="eastAsia" w:eastAsia="仿宋" w:cs="Times New Roman"/>
                <w:b w:val="0"/>
                <w:bCs/>
                <w:color w:val="000000" w:themeColor="text1"/>
                <w:sz w:val="24"/>
                <w:highlight w:val="none"/>
                <w:lang w:val="en-US" w:eastAsia="zh-CN"/>
                <w14:textFill>
                  <w14:solidFill>
                    <w14:schemeClr w14:val="tx1"/>
                  </w14:solidFill>
                </w14:textFill>
              </w:rPr>
              <w:t>成品</w:t>
            </w: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堆场粉尘（G</w:t>
            </w:r>
            <w:r>
              <w:rPr>
                <w:rFonts w:hint="eastAsia" w:eastAsia="仿宋" w:cs="Times New Roman"/>
                <w:b w:val="0"/>
                <w:bCs/>
                <w:color w:val="000000" w:themeColor="text1"/>
                <w:sz w:val="24"/>
                <w:highlight w:val="none"/>
                <w:lang w:val="en-US" w:eastAsia="zh-CN"/>
                <w14:textFill>
                  <w14:solidFill>
                    <w14:schemeClr w14:val="tx1"/>
                  </w14:solidFill>
                </w14:textFill>
              </w:rPr>
              <w:t>14、G15</w:t>
            </w: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w:t>
            </w:r>
          </w:p>
          <w:p w14:paraId="304A0DF3">
            <w:pPr>
              <w:adjustRightInd w:val="0"/>
              <w:snapToGrid w:val="0"/>
              <w:spacing w:line="360" w:lineRule="auto"/>
              <w:ind w:firstLine="480" w:firstLineChars="200"/>
              <w:jc w:val="both"/>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本项目</w:t>
            </w:r>
            <w:r>
              <w:rPr>
                <w:rFonts w:hint="eastAsia" w:eastAsia="仿宋" w:cs="Times New Roman"/>
                <w:b w:val="0"/>
                <w:bCs/>
                <w:color w:val="000000" w:themeColor="text1"/>
                <w:sz w:val="24"/>
                <w:highlight w:val="none"/>
                <w:lang w:val="en-US" w:eastAsia="zh-CN"/>
                <w14:textFill>
                  <w14:solidFill>
                    <w14:schemeClr w14:val="tx1"/>
                  </w14:solidFill>
                </w14:textFill>
              </w:rPr>
              <w:t>成品</w:t>
            </w: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堆场</w:t>
            </w:r>
            <w:r>
              <w:rPr>
                <w:rFonts w:hint="default" w:ascii="Times New Roman" w:hAnsi="Times New Roman" w:eastAsia="仿宋" w:cs="Times New Roman"/>
                <w:color w:val="000000" w:themeColor="text1"/>
                <w:sz w:val="24"/>
                <w14:textFill>
                  <w14:solidFill>
                    <w14:schemeClr w14:val="tx1"/>
                  </w14:solidFill>
                </w14:textFill>
              </w:rPr>
              <w:t>面源排放量根据《固体物料堆存颗粒物产排污核算系数手册》工业企业固体物料堆存颗粒物包括装卸扬尘和风蚀扬尘，颗粒物产生量核算如下：</w:t>
            </w:r>
          </w:p>
          <w:p w14:paraId="78A08BE0">
            <w:pPr>
              <w:adjustRightInd w:val="0"/>
              <w:snapToGrid w:val="0"/>
              <w:spacing w:line="360" w:lineRule="auto"/>
              <w:ind w:firstLine="420" w:firstLineChars="200"/>
              <w:jc w:val="both"/>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anchor distT="0" distB="0" distL="114300" distR="114300" simplePos="0" relativeHeight="251660288" behindDoc="0" locked="0" layoutInCell="1" allowOverlap="1">
                  <wp:simplePos x="0" y="0"/>
                  <wp:positionH relativeFrom="column">
                    <wp:posOffset>234950</wp:posOffset>
                  </wp:positionH>
                  <wp:positionV relativeFrom="paragraph">
                    <wp:posOffset>37465</wp:posOffset>
                  </wp:positionV>
                  <wp:extent cx="3676650" cy="390525"/>
                  <wp:effectExtent l="0" t="0" r="0" b="9525"/>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8"/>
                          <a:stretch>
                            <a:fillRect/>
                          </a:stretch>
                        </pic:blipFill>
                        <pic:spPr>
                          <a:xfrm>
                            <a:off x="0" y="0"/>
                            <a:ext cx="3676650" cy="390525"/>
                          </a:xfrm>
                          <a:prstGeom prst="rect">
                            <a:avLst/>
                          </a:prstGeom>
                          <a:noFill/>
                          <a:ln>
                            <a:noFill/>
                          </a:ln>
                        </pic:spPr>
                      </pic:pic>
                    </a:graphicData>
                  </a:graphic>
                </wp:anchor>
              </w:drawing>
            </w:r>
          </w:p>
          <w:p w14:paraId="5E320FC7">
            <w:pPr>
              <w:adjustRightInd w:val="0"/>
              <w:snapToGrid w:val="0"/>
              <w:spacing w:line="360" w:lineRule="auto"/>
              <w:ind w:firstLine="480" w:firstLineChars="200"/>
              <w:jc w:val="both"/>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 xml:space="preserve"> </w:t>
            </w:r>
          </w:p>
          <w:p w14:paraId="5290277B">
            <w:pPr>
              <w:pStyle w:val="18"/>
              <w:adjustRightInd w:val="0"/>
              <w:snapToGrid w:val="0"/>
              <w:spacing w:line="360" w:lineRule="auto"/>
              <w:ind w:left="420" w:firstLine="0" w:firstLineChars="0"/>
              <w:jc w:val="both"/>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式中：P指颗粒物产生量（单位：吨）；</w:t>
            </w:r>
          </w:p>
          <w:p w14:paraId="600D39CA">
            <w:pPr>
              <w:pStyle w:val="18"/>
              <w:adjustRightInd w:val="0"/>
              <w:snapToGrid w:val="0"/>
              <w:spacing w:line="360" w:lineRule="auto"/>
              <w:ind w:left="0" w:leftChars="0" w:firstLine="840" w:firstLineChars="4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ZCy</w:t>
            </w:r>
            <w:r>
              <w:rPr>
                <w:rFonts w:hint="default" w:ascii="Times New Roman" w:hAnsi="Times New Roman" w:eastAsia="仿宋" w:cs="Times New Roman"/>
                <w:color w:val="000000" w:themeColor="text1"/>
                <w:sz w:val="24"/>
                <w14:textFill>
                  <w14:solidFill>
                    <w14:schemeClr w14:val="tx1"/>
                  </w14:solidFill>
                </w14:textFill>
              </w:rPr>
              <w:t>指装卸扬尘产生量（单位：吨）；</w:t>
            </w:r>
          </w:p>
          <w:p w14:paraId="1F9200D1">
            <w:pPr>
              <w:pStyle w:val="18"/>
              <w:adjustRightInd w:val="0"/>
              <w:snapToGrid w:val="0"/>
              <w:spacing w:line="360" w:lineRule="auto"/>
              <w:ind w:left="0" w:leftChars="0" w:firstLine="840" w:firstLineChars="4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FCy</w:t>
            </w:r>
            <w:r>
              <w:rPr>
                <w:rFonts w:hint="default" w:ascii="Times New Roman" w:hAnsi="Times New Roman" w:eastAsia="仿宋" w:cs="Times New Roman"/>
                <w:color w:val="000000" w:themeColor="text1"/>
                <w:sz w:val="24"/>
                <w14:textFill>
                  <w14:solidFill>
                    <w14:schemeClr w14:val="tx1"/>
                  </w14:solidFill>
                </w14:textFill>
              </w:rPr>
              <w:t>指风蚀扬尘产生量（单位：吨）；</w:t>
            </w:r>
          </w:p>
          <w:p w14:paraId="082D991C">
            <w:pPr>
              <w:pStyle w:val="18"/>
              <w:adjustRightInd w:val="0"/>
              <w:snapToGrid w:val="0"/>
              <w:spacing w:line="360" w:lineRule="auto"/>
              <w:ind w:left="0" w:leftChars="0" w:firstLine="840" w:firstLineChars="4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Nc</w:t>
            </w:r>
            <w:r>
              <w:rPr>
                <w:rFonts w:hint="default" w:ascii="Times New Roman" w:hAnsi="Times New Roman" w:eastAsia="仿宋" w:cs="Times New Roman"/>
                <w:color w:val="000000" w:themeColor="text1"/>
                <w:sz w:val="24"/>
                <w14:textFill>
                  <w14:solidFill>
                    <w14:schemeClr w14:val="tx1"/>
                  </w14:solidFill>
                </w14:textFill>
              </w:rPr>
              <w:t>指年物料转运车次（单位：车），本项目取</w:t>
            </w:r>
            <w:r>
              <w:rPr>
                <w:rFonts w:hint="eastAsia" w:eastAsia="仿宋" w:cs="Times New Roman"/>
                <w:color w:val="000000" w:themeColor="text1"/>
                <w:sz w:val="24"/>
                <w:lang w:val="en-US" w:eastAsia="zh-CN"/>
                <w14:textFill>
                  <w14:solidFill>
                    <w14:schemeClr w14:val="tx1"/>
                  </w14:solidFill>
                </w14:textFill>
              </w:rPr>
              <w:t>3333.4</w:t>
            </w:r>
            <w:r>
              <w:rPr>
                <w:rFonts w:hint="default" w:ascii="Times New Roman" w:hAnsi="Times New Roman" w:eastAsia="仿宋" w:cs="Times New Roman"/>
                <w:color w:val="000000" w:themeColor="text1"/>
                <w:sz w:val="24"/>
                <w14:textFill>
                  <w14:solidFill>
                    <w14:schemeClr w14:val="tx1"/>
                  </w14:solidFill>
                </w14:textFill>
              </w:rPr>
              <w:t>；</w:t>
            </w:r>
          </w:p>
          <w:p w14:paraId="498F368E">
            <w:pPr>
              <w:pStyle w:val="18"/>
              <w:adjustRightInd w:val="0"/>
              <w:snapToGrid w:val="0"/>
              <w:spacing w:line="360" w:lineRule="auto"/>
              <w:ind w:left="0" w:leftChars="0" w:firstLine="840" w:firstLineChars="4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w:t>
            </w:r>
            <w:r>
              <w:rPr>
                <w:rFonts w:hint="default" w:ascii="Times New Roman" w:hAnsi="Times New Roman" w:eastAsia="仿宋" w:cs="Times New Roman"/>
                <w:color w:val="000000" w:themeColor="text1"/>
                <w:sz w:val="24"/>
                <w14:textFill>
                  <w14:solidFill>
                    <w14:schemeClr w14:val="tx1"/>
                  </w14:solidFill>
                </w14:textFill>
              </w:rPr>
              <w:t>指单车平均运载量（单位：吨/车），本项目取30；</w:t>
            </w:r>
          </w:p>
          <w:p w14:paraId="79E7B982">
            <w:pPr>
              <w:pStyle w:val="18"/>
              <w:adjustRightInd w:val="0"/>
              <w:snapToGrid w:val="0"/>
              <w:spacing w:line="360" w:lineRule="auto"/>
              <w:ind w:left="0" w:leftChars="0" w:firstLine="720" w:firstLineChars="300"/>
              <w:jc w:val="both"/>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（a/b）指装卸扬尘概化系数（单位：千克/吨），a指各省风速概化系数，本项目取0.0011，b指物料含水率概化系数，本项目取0.00</w:t>
            </w:r>
            <w:r>
              <w:rPr>
                <w:rFonts w:hint="eastAsia" w:ascii="Times New Roman" w:hAnsi="Times New Roman" w:eastAsia="仿宋" w:cs="Times New Roman"/>
                <w:color w:val="000000" w:themeColor="text1"/>
                <w:sz w:val="24"/>
                <w:lang w:val="en-US" w:eastAsia="zh-CN"/>
                <w14:textFill>
                  <w14:solidFill>
                    <w14:schemeClr w14:val="tx1"/>
                  </w14:solidFill>
                </w14:textFill>
              </w:rPr>
              <w:t>84</w:t>
            </w:r>
            <w:r>
              <w:rPr>
                <w:rFonts w:hint="default" w:ascii="Times New Roman" w:hAnsi="Times New Roman" w:eastAsia="仿宋" w:cs="Times New Roman"/>
                <w:color w:val="000000" w:themeColor="text1"/>
                <w:sz w:val="24"/>
                <w14:textFill>
                  <w14:solidFill>
                    <w14:schemeClr w14:val="tx1"/>
                  </w14:solidFill>
                </w14:textFill>
              </w:rPr>
              <w:t>；</w:t>
            </w:r>
          </w:p>
          <w:p w14:paraId="334B8654">
            <w:pPr>
              <w:pStyle w:val="18"/>
              <w:adjustRightInd w:val="0"/>
              <w:snapToGrid w:val="0"/>
              <w:spacing w:line="360" w:lineRule="auto"/>
              <w:ind w:left="0" w:leftChars="0" w:firstLine="42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Ef</w:t>
            </w:r>
            <w:r>
              <w:rPr>
                <w:rFonts w:hint="default" w:ascii="Times New Roman" w:hAnsi="Times New Roman" w:eastAsia="仿宋" w:cs="Times New Roman"/>
                <w:color w:val="000000" w:themeColor="text1"/>
                <w:sz w:val="24"/>
                <w14:textFill>
                  <w14:solidFill>
                    <w14:schemeClr w14:val="tx1"/>
                  </w14:solidFill>
                </w14:textFill>
              </w:rPr>
              <w:t>指堆场风蚀扬尘概化系数（单位：千克/平方米），本项目取0；</w:t>
            </w:r>
          </w:p>
          <w:p w14:paraId="4657DAD4">
            <w:pPr>
              <w:pStyle w:val="18"/>
              <w:adjustRightInd w:val="0"/>
              <w:snapToGrid w:val="0"/>
              <w:spacing w:line="360" w:lineRule="auto"/>
              <w:ind w:left="0" w:leftChars="0" w:firstLine="42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w:t>
            </w:r>
            <w:r>
              <w:rPr>
                <w:rFonts w:hint="default" w:ascii="Times New Roman" w:hAnsi="Times New Roman" w:eastAsia="仿宋" w:cs="Times New Roman"/>
                <w:color w:val="000000" w:themeColor="text1"/>
                <w:sz w:val="24"/>
                <w14:textFill>
                  <w14:solidFill>
                    <w14:schemeClr w14:val="tx1"/>
                  </w14:solidFill>
                </w14:textFill>
              </w:rPr>
              <w:t>指堆场占地面积（单位：平方米），本项目取</w:t>
            </w:r>
            <w:r>
              <w:rPr>
                <w:rFonts w:hint="eastAsia" w:eastAsia="仿宋" w:cs="Times New Roman"/>
                <w:color w:val="000000" w:themeColor="text1"/>
                <w:sz w:val="24"/>
                <w:lang w:val="en-US" w:eastAsia="zh-CN"/>
                <w14:textFill>
                  <w14:solidFill>
                    <w14:schemeClr w14:val="tx1"/>
                  </w14:solidFill>
                </w14:textFill>
              </w:rPr>
              <w:t>7434</w:t>
            </w:r>
            <w:r>
              <w:rPr>
                <w:rFonts w:hint="default" w:ascii="Times New Roman" w:hAnsi="Times New Roman" w:eastAsia="仿宋" w:cs="Times New Roman"/>
                <w:color w:val="000000" w:themeColor="text1"/>
                <w:sz w:val="24"/>
                <w14:textFill>
                  <w14:solidFill>
                    <w14:schemeClr w14:val="tx1"/>
                  </w14:solidFill>
                </w14:textFill>
              </w:rPr>
              <w:t>；</w:t>
            </w:r>
          </w:p>
          <w:p w14:paraId="13B5052E">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经计算，本项目</w:t>
            </w:r>
            <w:r>
              <w:rPr>
                <w:rFonts w:hint="eastAsia" w:ascii="Times New Roman" w:hAnsi="Times New Roman" w:eastAsia="仿宋" w:cs="Times New Roman"/>
                <w:color w:val="000000" w:themeColor="text1"/>
                <w:sz w:val="24"/>
                <w:lang w:val="en-US" w:eastAsia="zh-CN"/>
                <w14:textFill>
                  <w14:solidFill>
                    <w14:schemeClr w14:val="tx1"/>
                  </w14:solidFill>
                </w14:textFill>
              </w:rPr>
              <w:t>成品</w:t>
            </w:r>
            <w:r>
              <w:rPr>
                <w:rFonts w:hint="default" w:ascii="Times New Roman" w:hAnsi="Times New Roman" w:eastAsia="仿宋" w:cs="Times New Roman"/>
                <w:color w:val="000000" w:themeColor="text1"/>
                <w:sz w:val="24"/>
                <w14:textFill>
                  <w14:solidFill>
                    <w14:schemeClr w14:val="tx1"/>
                  </w14:solidFill>
                </w14:textFill>
              </w:rPr>
              <w:t>堆</w:t>
            </w:r>
            <w:r>
              <w:rPr>
                <w:rFonts w:hint="eastAsia" w:ascii="Times New Roman" w:hAnsi="Times New Roman" w:eastAsia="仿宋" w:cs="Times New Roman"/>
                <w:color w:val="000000" w:themeColor="text1"/>
                <w:sz w:val="24"/>
                <w:lang w:val="en-US" w:eastAsia="zh-CN"/>
                <w14:textFill>
                  <w14:solidFill>
                    <w14:schemeClr w14:val="tx1"/>
                  </w14:solidFill>
                </w14:textFill>
              </w:rPr>
              <w:t>场</w:t>
            </w:r>
            <w:r>
              <w:rPr>
                <w:rFonts w:hint="default" w:ascii="Times New Roman" w:hAnsi="Times New Roman" w:eastAsia="仿宋" w:cs="Times New Roman"/>
                <w:color w:val="000000" w:themeColor="text1"/>
                <w:sz w:val="24"/>
                <w14:textFill>
                  <w14:solidFill>
                    <w14:schemeClr w14:val="tx1"/>
                  </w14:solidFill>
                </w14:textFill>
              </w:rPr>
              <w:t>颗粒物产生量为</w:t>
            </w:r>
            <w:r>
              <w:rPr>
                <w:rFonts w:hint="eastAsia" w:eastAsia="仿宋" w:cs="Times New Roman"/>
                <w:color w:val="000000" w:themeColor="text1"/>
                <w:sz w:val="24"/>
                <w:lang w:val="en-US" w:eastAsia="zh-CN"/>
                <w14:textFill>
                  <w14:solidFill>
                    <w14:schemeClr w14:val="tx1"/>
                  </w14:solidFill>
                </w14:textFill>
              </w:rPr>
              <w:t>13.1</w:t>
            </w:r>
            <w:r>
              <w:rPr>
                <w:rFonts w:hint="default" w:ascii="Times New Roman" w:hAnsi="Times New Roman" w:eastAsia="仿宋" w:cs="Times New Roman"/>
                <w:color w:val="000000" w:themeColor="text1"/>
                <w:sz w:val="24"/>
                <w14:textFill>
                  <w14:solidFill>
                    <w14:schemeClr w14:val="tx1"/>
                  </w14:solidFill>
                </w14:textFill>
              </w:rPr>
              <w:t>t/a。</w:t>
            </w:r>
          </w:p>
          <w:p w14:paraId="363C1FCD">
            <w:pPr>
              <w:adjustRightInd w:val="0"/>
              <w:snapToGrid w:val="0"/>
              <w:spacing w:line="360" w:lineRule="auto"/>
              <w:ind w:firstLine="420" w:firstLineChars="200"/>
              <w:jc w:val="both"/>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anchor distT="0" distB="0" distL="114300" distR="114300" simplePos="0" relativeHeight="251661312" behindDoc="0" locked="0" layoutInCell="1" allowOverlap="1">
                  <wp:simplePos x="0" y="0"/>
                  <wp:positionH relativeFrom="column">
                    <wp:posOffset>558800</wp:posOffset>
                  </wp:positionH>
                  <wp:positionV relativeFrom="paragraph">
                    <wp:posOffset>273050</wp:posOffset>
                  </wp:positionV>
                  <wp:extent cx="2191385" cy="382905"/>
                  <wp:effectExtent l="0" t="0" r="18415" b="17145"/>
                  <wp:wrapNone/>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9"/>
                          <a:stretch>
                            <a:fillRect/>
                          </a:stretch>
                        </pic:blipFill>
                        <pic:spPr>
                          <a:xfrm>
                            <a:off x="0" y="0"/>
                            <a:ext cx="2191385" cy="382905"/>
                          </a:xfrm>
                          <a:prstGeom prst="rect">
                            <a:avLst/>
                          </a:prstGeom>
                          <a:noFill/>
                          <a:ln>
                            <a:noFill/>
                          </a:ln>
                        </pic:spPr>
                      </pic:pic>
                    </a:graphicData>
                  </a:graphic>
                </wp:anchor>
              </w:drawing>
            </w:r>
            <w:r>
              <w:rPr>
                <w:rFonts w:hint="default" w:ascii="Times New Roman" w:hAnsi="Times New Roman" w:eastAsia="仿宋" w:cs="Times New Roman"/>
                <w:color w:val="000000" w:themeColor="text1"/>
                <w:sz w:val="24"/>
                <w14:textFill>
                  <w14:solidFill>
                    <w14:schemeClr w14:val="tx1"/>
                  </w14:solidFill>
                </w14:textFill>
              </w:rPr>
              <w:t>颗粒物的排放量核算如下：</w:t>
            </w:r>
          </w:p>
          <w:p w14:paraId="15584D62">
            <w:pPr>
              <w:pStyle w:val="18"/>
              <w:ind w:left="840" w:hanging="420"/>
              <w:jc w:val="both"/>
              <w:rPr>
                <w:rFonts w:hint="default" w:ascii="Times New Roman" w:hAnsi="Times New Roman" w:cs="Times New Roman"/>
                <w:color w:val="000000" w:themeColor="text1"/>
                <w14:textFill>
                  <w14:solidFill>
                    <w14:schemeClr w14:val="tx1"/>
                  </w14:solidFill>
                </w14:textFill>
              </w:rPr>
            </w:pPr>
          </w:p>
          <w:p w14:paraId="67A3FC19">
            <w:pPr>
              <w:adjustRightInd w:val="0"/>
              <w:snapToGrid w:val="0"/>
              <w:spacing w:line="360" w:lineRule="auto"/>
              <w:ind w:firstLine="480" w:firstLineChars="200"/>
              <w:jc w:val="both"/>
              <w:rPr>
                <w:rFonts w:hint="default" w:ascii="Times New Roman" w:hAnsi="Times New Roman" w:cs="Times New Roman"/>
                <w:color w:val="000000" w:themeColor="text1"/>
                <w:sz w:val="24"/>
                <w14:textFill>
                  <w14:solidFill>
                    <w14:schemeClr w14:val="tx1"/>
                  </w14:solidFill>
                </w14:textFill>
              </w:rPr>
            </w:pPr>
          </w:p>
          <w:p w14:paraId="542DBE79">
            <w:pPr>
              <w:pStyle w:val="18"/>
              <w:adjustRightInd w:val="0"/>
              <w:snapToGrid w:val="0"/>
              <w:spacing w:line="360" w:lineRule="auto"/>
              <w:ind w:left="0" w:leftChars="0" w:firstLine="480" w:firstLineChars="200"/>
              <w:jc w:val="both"/>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式中：P指颗粒物产生量（单位：吨），本项目取</w:t>
            </w:r>
            <w:r>
              <w:rPr>
                <w:rFonts w:hint="eastAsia" w:eastAsia="仿宋" w:cs="Times New Roman"/>
                <w:color w:val="000000" w:themeColor="text1"/>
                <w:sz w:val="24"/>
                <w:lang w:val="en-US" w:eastAsia="zh-CN"/>
                <w14:textFill>
                  <w14:solidFill>
                    <w14:schemeClr w14:val="tx1"/>
                  </w14:solidFill>
                </w14:textFill>
              </w:rPr>
              <w:t>13.4</w:t>
            </w:r>
            <w:r>
              <w:rPr>
                <w:rFonts w:hint="default" w:ascii="Times New Roman" w:hAnsi="Times New Roman" w:eastAsia="仿宋" w:cs="Times New Roman"/>
                <w:color w:val="000000" w:themeColor="text1"/>
                <w:sz w:val="24"/>
                <w14:textFill>
                  <w14:solidFill>
                    <w14:schemeClr w14:val="tx1"/>
                  </w14:solidFill>
                </w14:textFill>
              </w:rPr>
              <w:t>；</w:t>
            </w:r>
          </w:p>
          <w:p w14:paraId="52E0611D">
            <w:pPr>
              <w:pStyle w:val="18"/>
              <w:adjustRightInd w:val="0"/>
              <w:snapToGrid w:val="0"/>
              <w:spacing w:line="360" w:lineRule="auto"/>
              <w:ind w:left="0" w:leftChars="0" w:firstLine="42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Uc</w:t>
            </w:r>
            <w:r>
              <w:rPr>
                <w:rFonts w:hint="default" w:ascii="Times New Roman" w:hAnsi="Times New Roman" w:eastAsia="仿宋" w:cs="Times New Roman"/>
                <w:color w:val="000000" w:themeColor="text1"/>
                <w:sz w:val="24"/>
                <w14:textFill>
                  <w14:solidFill>
                    <w14:schemeClr w14:val="tx1"/>
                  </w14:solidFill>
                </w14:textFill>
              </w:rPr>
              <w:t>指颗粒物排放量（单位：吨）；</w:t>
            </w:r>
          </w:p>
          <w:p w14:paraId="15F1BA89">
            <w:pPr>
              <w:pStyle w:val="18"/>
              <w:adjustRightInd w:val="0"/>
              <w:snapToGrid w:val="0"/>
              <w:spacing w:line="360" w:lineRule="auto"/>
              <w:ind w:left="0" w:leftChars="0" w:firstLine="42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Cm</w:t>
            </w:r>
            <w:r>
              <w:rPr>
                <w:rFonts w:hint="default" w:ascii="Times New Roman" w:hAnsi="Times New Roman" w:eastAsia="仿宋" w:cs="Times New Roman"/>
                <w:color w:val="000000" w:themeColor="text1"/>
                <w:sz w:val="24"/>
                <w14:textFill>
                  <w14:solidFill>
                    <w14:schemeClr w14:val="tx1"/>
                  </w14:solidFill>
                </w14:textFill>
              </w:rPr>
              <w:t>指颗粒物控制措施控制效率（单位：%），本项目取74%</w:t>
            </w:r>
            <w:r>
              <w:rPr>
                <w:rFonts w:hint="eastAsia" w:ascii="Times New Roman" w:hAnsi="Times New Roman" w:eastAsia="仿宋" w:cs="Times New Roman"/>
                <w:color w:val="000000" w:themeColor="text1"/>
                <w:sz w:val="24"/>
                <w:lang w:eastAsia="zh-CN"/>
                <w14:textFill>
                  <w14:solidFill>
                    <w14:schemeClr w14:val="tx1"/>
                  </w14:solidFill>
                </w14:textFill>
              </w:rPr>
              <w:t>（</w:t>
            </w:r>
            <w:r>
              <w:rPr>
                <w:rFonts w:hint="eastAsia" w:ascii="Times New Roman" w:hAnsi="Times New Roman" w:eastAsia="仿宋" w:cs="Times New Roman"/>
                <w:color w:val="000000" w:themeColor="text1"/>
                <w:sz w:val="24"/>
                <w:lang w:val="en-US" w:eastAsia="zh-CN"/>
                <w14:textFill>
                  <w14:solidFill>
                    <w14:schemeClr w14:val="tx1"/>
                  </w14:solidFill>
                </w14:textFill>
              </w:rPr>
              <w:t>洒水</w:t>
            </w:r>
            <w:r>
              <w:rPr>
                <w:rFonts w:hint="eastAsia" w:ascii="Times New Roman" w:hAnsi="Times New Roman" w:eastAsia="仿宋" w:cs="Times New Roman"/>
                <w:color w:val="000000" w:themeColor="text1"/>
                <w:sz w:val="24"/>
                <w:lang w:eastAsia="zh-CN"/>
                <w14:textFill>
                  <w14:solidFill>
                    <w14:schemeClr w14:val="tx1"/>
                  </w14:solidFill>
                </w14:textFill>
              </w:rPr>
              <w:t>）</w:t>
            </w:r>
            <w:r>
              <w:rPr>
                <w:rFonts w:hint="default" w:ascii="Times New Roman" w:hAnsi="Times New Roman" w:eastAsia="仿宋" w:cs="Times New Roman"/>
                <w:color w:val="000000" w:themeColor="text1"/>
                <w:sz w:val="24"/>
                <w14:textFill>
                  <w14:solidFill>
                    <w14:schemeClr w14:val="tx1"/>
                  </w14:solidFill>
                </w14:textFill>
              </w:rPr>
              <w:t>；</w:t>
            </w:r>
          </w:p>
          <w:p w14:paraId="3DB77512">
            <w:pPr>
              <w:pStyle w:val="18"/>
              <w:adjustRightInd w:val="0"/>
              <w:snapToGrid w:val="0"/>
              <w:spacing w:line="360" w:lineRule="auto"/>
              <w:ind w:left="0" w:leftChars="0" w:firstLine="480" w:firstLineChars="200"/>
              <w:jc w:val="both"/>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Tm指堆场类型控制效率（单位：%），本项目取</w:t>
            </w:r>
            <w:r>
              <w:rPr>
                <w:rFonts w:hint="eastAsia" w:ascii="Times New Roman" w:hAnsi="Times New Roman" w:eastAsia="仿宋" w:cs="Times New Roman"/>
                <w:color w:val="000000" w:themeColor="text1"/>
                <w:sz w:val="24"/>
                <w:lang w:val="en-US" w:eastAsia="zh-CN"/>
                <w14:textFill>
                  <w14:solidFill>
                    <w14:schemeClr w14:val="tx1"/>
                  </w14:solidFill>
                </w14:textFill>
              </w:rPr>
              <w:t>60%</w:t>
            </w:r>
            <w:r>
              <w:rPr>
                <w:rFonts w:hint="eastAsia" w:ascii="Times New Roman" w:hAnsi="Times New Roman" w:eastAsia="仿宋" w:cs="Times New Roman"/>
                <w:color w:val="000000" w:themeColor="text1"/>
                <w:sz w:val="24"/>
                <w:lang w:eastAsia="zh-CN"/>
                <w14:textFill>
                  <w14:solidFill>
                    <w14:schemeClr w14:val="tx1"/>
                  </w14:solidFill>
                </w14:textFill>
              </w:rPr>
              <w:t>（</w:t>
            </w:r>
            <w:r>
              <w:rPr>
                <w:rFonts w:hint="eastAsia" w:ascii="Times New Roman" w:hAnsi="Times New Roman" w:eastAsia="仿宋" w:cs="Times New Roman"/>
                <w:color w:val="000000" w:themeColor="text1"/>
                <w:sz w:val="24"/>
                <w:lang w:val="en-US" w:eastAsia="zh-CN"/>
                <w14:textFill>
                  <w14:solidFill>
                    <w14:schemeClr w14:val="tx1"/>
                  </w14:solidFill>
                </w14:textFill>
              </w:rPr>
              <w:t>三面围挡（竖型防风网）+顶部苫盖</w:t>
            </w:r>
            <w:r>
              <w:rPr>
                <w:rFonts w:hint="eastAsia" w:ascii="Times New Roman" w:hAnsi="Times New Roman" w:eastAsia="仿宋" w:cs="Times New Roman"/>
                <w:color w:val="000000" w:themeColor="text1"/>
                <w:sz w:val="24"/>
                <w:lang w:eastAsia="zh-CN"/>
                <w14:textFill>
                  <w14:solidFill>
                    <w14:schemeClr w14:val="tx1"/>
                  </w14:solidFill>
                </w14:textFill>
              </w:rPr>
              <w:t>）</w:t>
            </w:r>
            <w:r>
              <w:rPr>
                <w:rFonts w:hint="default" w:ascii="Times New Roman" w:hAnsi="Times New Roman" w:eastAsia="仿宋" w:cs="Times New Roman"/>
                <w:color w:val="000000" w:themeColor="text1"/>
                <w:sz w:val="24"/>
                <w14:textFill>
                  <w14:solidFill>
                    <w14:schemeClr w14:val="tx1"/>
                  </w14:solidFill>
                </w14:textFill>
              </w:rPr>
              <w:t>；</w:t>
            </w:r>
          </w:p>
          <w:p w14:paraId="082112A5">
            <w:pPr>
              <w:pStyle w:val="18"/>
              <w:adjustRightInd w:val="0"/>
              <w:snapToGrid w:val="0"/>
              <w:spacing w:line="360" w:lineRule="auto"/>
              <w:ind w:left="0" w:leftChars="0" w:firstLine="480" w:firstLineChars="200"/>
              <w:jc w:val="both"/>
              <w:rPr>
                <w:rFonts w:hint="default" w:ascii="Times New Roman" w:hAnsi="Times New Roman" w:eastAsia="仿宋" w:cs="Times New Roman"/>
                <w:b w:val="0"/>
                <w:bCs/>
                <w:color w:val="000000" w:themeColor="text1"/>
                <w:sz w:val="24"/>
                <w:highlight w:val="none"/>
                <w:lang w:eastAsia="zh-CN"/>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经计算，本项目</w:t>
            </w:r>
            <w:r>
              <w:rPr>
                <w:rFonts w:hint="eastAsia" w:ascii="Times New Roman" w:hAnsi="Times New Roman" w:eastAsia="仿宋" w:cs="Times New Roman"/>
                <w:color w:val="000000" w:themeColor="text1"/>
                <w:sz w:val="24"/>
                <w:lang w:val="en-US" w:eastAsia="zh-CN"/>
                <w14:textFill>
                  <w14:solidFill>
                    <w14:schemeClr w14:val="tx1"/>
                  </w14:solidFill>
                </w14:textFill>
              </w:rPr>
              <w:t>成品</w:t>
            </w:r>
            <w:r>
              <w:rPr>
                <w:rFonts w:hint="default" w:ascii="Times New Roman" w:hAnsi="Times New Roman" w:eastAsia="仿宋" w:cs="Times New Roman"/>
                <w:color w:val="000000" w:themeColor="text1"/>
                <w:sz w:val="24"/>
                <w14:textFill>
                  <w14:solidFill>
                    <w14:schemeClr w14:val="tx1"/>
                  </w14:solidFill>
                </w14:textFill>
              </w:rPr>
              <w:t>堆</w:t>
            </w:r>
            <w:r>
              <w:rPr>
                <w:rFonts w:hint="eastAsia" w:ascii="Times New Roman" w:hAnsi="Times New Roman" w:eastAsia="仿宋" w:cs="Times New Roman"/>
                <w:color w:val="000000" w:themeColor="text1"/>
                <w:sz w:val="24"/>
                <w:lang w:val="en-US" w:eastAsia="zh-CN"/>
                <w14:textFill>
                  <w14:solidFill>
                    <w14:schemeClr w14:val="tx1"/>
                  </w14:solidFill>
                </w14:textFill>
              </w:rPr>
              <w:t>场</w:t>
            </w:r>
            <w:r>
              <w:rPr>
                <w:rFonts w:hint="default" w:ascii="Times New Roman" w:hAnsi="Times New Roman" w:eastAsia="仿宋" w:cs="Times New Roman"/>
                <w:color w:val="000000" w:themeColor="text1"/>
                <w:sz w:val="24"/>
                <w14:textFill>
                  <w14:solidFill>
                    <w14:schemeClr w14:val="tx1"/>
                  </w14:solidFill>
                </w14:textFill>
              </w:rPr>
              <w:t>颗粒物排放量为</w:t>
            </w:r>
            <w:r>
              <w:rPr>
                <w:rFonts w:hint="eastAsia" w:eastAsia="仿宋" w:cs="Times New Roman"/>
                <w:color w:val="000000" w:themeColor="text1"/>
                <w:sz w:val="24"/>
                <w:lang w:val="en-US" w:eastAsia="zh-CN"/>
                <w14:textFill>
                  <w14:solidFill>
                    <w14:schemeClr w14:val="tx1"/>
                  </w14:solidFill>
                </w14:textFill>
              </w:rPr>
              <w:t>1.36</w:t>
            </w:r>
            <w:r>
              <w:rPr>
                <w:rFonts w:hint="default" w:ascii="Times New Roman" w:hAnsi="Times New Roman" w:eastAsia="仿宋" w:cs="Times New Roman"/>
                <w:color w:val="000000" w:themeColor="text1"/>
                <w:sz w:val="24"/>
                <w14:textFill>
                  <w14:solidFill>
                    <w14:schemeClr w14:val="tx1"/>
                  </w14:solidFill>
                </w14:textFill>
              </w:rPr>
              <w:t>t/a。</w:t>
            </w:r>
          </w:p>
          <w:p w14:paraId="25FD1D1E">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b w:val="0"/>
                <w:bCs/>
                <w:color w:val="000000" w:themeColor="text1"/>
                <w:sz w:val="24"/>
                <w:highlight w:val="none"/>
                <w:lang w:eastAsia="zh-CN"/>
                <w14:textFill>
                  <w14:solidFill>
                    <w14:schemeClr w14:val="tx1"/>
                  </w14:solidFill>
                </w14:textFill>
              </w:rPr>
              <w:t>③</w:t>
            </w: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皮带传输粉尘（G</w:t>
            </w:r>
            <w:r>
              <w:rPr>
                <w:rFonts w:hint="eastAsia" w:eastAsia="仿宋" w:cs="Times New Roman"/>
                <w:b w:val="0"/>
                <w:bCs/>
                <w:color w:val="000000" w:themeColor="text1"/>
                <w:sz w:val="24"/>
                <w:highlight w:val="none"/>
                <w:lang w:val="en-US" w:eastAsia="zh-CN"/>
                <w14:textFill>
                  <w14:solidFill>
                    <w14:schemeClr w14:val="tx1"/>
                  </w14:solidFill>
                </w14:textFill>
              </w:rPr>
              <w:t>17</w:t>
            </w: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w:t>
            </w:r>
          </w:p>
          <w:p w14:paraId="0762B16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kern w:val="0"/>
                <w:sz w:val="24"/>
                <w:szCs w:val="22"/>
                <w14:textFill>
                  <w14:solidFill>
                    <w14:schemeClr w14:val="tx1"/>
                  </w14:solidFill>
                </w14:textFill>
              </w:rPr>
            </w:pPr>
            <w:r>
              <w:rPr>
                <w:rFonts w:hint="default" w:ascii="Times New Roman" w:hAnsi="Times New Roman" w:eastAsia="仿宋" w:cs="Times New Roman"/>
                <w:color w:val="000000" w:themeColor="text1"/>
                <w:kern w:val="0"/>
                <w:sz w:val="24"/>
                <w:szCs w:val="22"/>
                <w14:textFill>
                  <w14:solidFill>
                    <w14:schemeClr w14:val="tx1"/>
                  </w14:solidFill>
                </w14:textFill>
              </w:rPr>
              <w:t>本项目石料加工过程中采用皮带输送机进行输送，在皮带传输过程中会产生一定量的</w:t>
            </w:r>
            <w:r>
              <w:rPr>
                <w:rFonts w:hint="eastAsia" w:ascii="Times New Roman" w:hAnsi="Times New Roman" w:eastAsia="仿宋" w:cs="Times New Roman"/>
                <w:color w:val="000000" w:themeColor="text1"/>
                <w:kern w:val="0"/>
                <w:sz w:val="24"/>
                <w:szCs w:val="22"/>
                <w:lang w:eastAsia="zh-CN"/>
                <w14:textFill>
                  <w14:solidFill>
                    <w14:schemeClr w14:val="tx1"/>
                  </w14:solidFill>
                </w14:textFill>
              </w:rPr>
              <w:t>颗粒物</w:t>
            </w:r>
            <w:r>
              <w:rPr>
                <w:rFonts w:hint="eastAsia" w:eastAsia="仿宋" w:cs="Times New Roman"/>
                <w:color w:val="000000" w:themeColor="text1"/>
                <w:kern w:val="0"/>
                <w:sz w:val="24"/>
                <w:szCs w:val="22"/>
                <w:lang w:eastAsia="zh-CN"/>
                <w14:textFill>
                  <w14:solidFill>
                    <w14:schemeClr w14:val="tx1"/>
                  </w14:solidFill>
                </w14:textFill>
              </w:rPr>
              <w:t>，</w:t>
            </w:r>
            <w:r>
              <w:rPr>
                <w:rFonts w:hint="eastAsia" w:eastAsia="仿宋" w:cs="Times New Roman"/>
                <w:color w:val="000000" w:themeColor="text1"/>
                <w:kern w:val="0"/>
                <w:sz w:val="24"/>
                <w:szCs w:val="22"/>
                <w:lang w:val="en-US" w:eastAsia="zh-CN"/>
                <w14:textFill>
                  <w14:solidFill>
                    <w14:schemeClr w14:val="tx1"/>
                  </w14:solidFill>
                </w14:textFill>
              </w:rPr>
              <w:t>本项目生产线位于封闭式生产车间内，</w:t>
            </w:r>
            <w:r>
              <w:rPr>
                <w:rFonts w:hint="default" w:ascii="Times New Roman" w:hAnsi="Times New Roman" w:eastAsia="仿宋" w:cs="Times New Roman"/>
                <w:color w:val="000000" w:themeColor="text1"/>
                <w:kern w:val="0"/>
                <w:sz w:val="24"/>
                <w:szCs w:val="22"/>
                <w:lang w:val="en-US" w:eastAsia="zh-CN"/>
                <w14:textFill>
                  <w14:solidFill>
                    <w14:schemeClr w14:val="tx1"/>
                  </w14:solidFill>
                </w14:textFill>
              </w:rPr>
              <w:t>皮带输送过程中颗粒物排放量较少</w:t>
            </w:r>
            <w:r>
              <w:rPr>
                <w:rFonts w:hint="default" w:ascii="Times New Roman" w:hAnsi="Times New Roman" w:eastAsia="仿宋" w:cs="Times New Roman"/>
                <w:color w:val="000000" w:themeColor="text1"/>
                <w:kern w:val="0"/>
                <w:sz w:val="24"/>
                <w:szCs w:val="22"/>
                <w14:textFill>
                  <w14:solidFill>
                    <w14:schemeClr w14:val="tx1"/>
                  </w14:solidFill>
                </w14:textFill>
              </w:rPr>
              <w:t>。</w:t>
            </w:r>
          </w:p>
          <w:p w14:paraId="6F39F638">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default" w:ascii="Times New Roman" w:hAnsi="Times New Roman" w:eastAsia="仿宋" w:cs="Times New Roman"/>
                <w:color w:val="000000" w:themeColor="text1"/>
                <w:sz w:val="24"/>
                <w:lang w:val="ru-RU"/>
                <w14:textFill>
                  <w14:solidFill>
                    <w14:schemeClr w14:val="tx1"/>
                  </w14:solidFill>
                </w14:textFill>
              </w:rPr>
            </w:pPr>
            <w:r>
              <w:rPr>
                <w:rFonts w:hint="default" w:ascii="Times New Roman" w:hAnsi="Times New Roman" w:eastAsia="仿宋" w:cs="Times New Roman"/>
                <w:color w:val="000000" w:themeColor="text1"/>
                <w:sz w:val="24"/>
                <w:lang w:val="ru-RU"/>
                <w14:textFill>
                  <w14:solidFill>
                    <w14:schemeClr w14:val="tx1"/>
                  </w14:solidFill>
                </w14:textFill>
              </w:rPr>
              <w:t>⑶</w:t>
            </w:r>
            <w:r>
              <w:rPr>
                <w:rFonts w:hint="default" w:ascii="Times New Roman" w:hAnsi="Times New Roman" w:eastAsia="仿宋" w:cs="Times New Roman"/>
                <w:color w:val="000000" w:themeColor="text1"/>
                <w:sz w:val="24"/>
                <w:lang w:val="en-US" w:eastAsia="zh-CN"/>
                <w14:textFill>
                  <w14:solidFill>
                    <w14:schemeClr w14:val="tx1"/>
                  </w14:solidFill>
                </w14:textFill>
              </w:rPr>
              <w:t>有</w:t>
            </w:r>
            <w:r>
              <w:rPr>
                <w:rFonts w:hint="default" w:ascii="Times New Roman" w:hAnsi="Times New Roman" w:eastAsia="仿宋" w:cs="Times New Roman"/>
                <w:color w:val="000000" w:themeColor="text1"/>
                <w:sz w:val="24"/>
                <w:lang w:val="ru-RU"/>
                <w14:textFill>
                  <w14:solidFill>
                    <w14:schemeClr w14:val="tx1"/>
                  </w14:solidFill>
                </w14:textFill>
              </w:rPr>
              <w:t>组织排放量核算</w:t>
            </w:r>
          </w:p>
          <w:p w14:paraId="292A1EFB">
            <w:pPr>
              <w:pStyle w:val="13"/>
              <w:jc w:val="center"/>
              <w:rPr>
                <w:rFonts w:ascii="Times New Roman" w:eastAsia="仿宋" w:cs="Times New Roman"/>
                <w:b/>
                <w:color w:val="FF0000"/>
                <w:sz w:val="21"/>
                <w:szCs w:val="21"/>
              </w:rPr>
            </w:pPr>
            <w:r>
              <w:rPr>
                <w:rFonts w:ascii="Times New Roman" w:eastAsia="仿宋" w:cs="Times New Roman"/>
                <w:b/>
                <w:color w:val="FF0000"/>
                <w:sz w:val="21"/>
                <w:szCs w:val="21"/>
              </w:rPr>
              <w:t>表</w:t>
            </w:r>
            <w:r>
              <w:rPr>
                <w:rFonts w:hint="eastAsia" w:ascii="Times New Roman" w:eastAsia="仿宋" w:cs="Times New Roman"/>
                <w:b/>
                <w:color w:val="FF0000"/>
                <w:sz w:val="21"/>
                <w:szCs w:val="21"/>
                <w:lang w:val="en-US" w:eastAsia="zh-CN"/>
              </w:rPr>
              <w:t>38</w:t>
            </w:r>
            <w:r>
              <w:rPr>
                <w:rFonts w:hint="eastAsia" w:ascii="Times New Roman" w:eastAsia="仿宋" w:cs="Times New Roman"/>
                <w:b/>
                <w:color w:val="FF0000"/>
                <w:sz w:val="21"/>
                <w:szCs w:val="21"/>
              </w:rPr>
              <w:t xml:space="preserve">  </w:t>
            </w:r>
            <w:r>
              <w:rPr>
                <w:rFonts w:ascii="Times New Roman" w:eastAsia="仿宋" w:cs="Times New Roman"/>
                <w:b/>
                <w:color w:val="FF0000"/>
                <w:sz w:val="21"/>
                <w:szCs w:val="21"/>
              </w:rPr>
              <w:t>大气污染物有组织排放量核算表</w:t>
            </w:r>
          </w:p>
          <w:tbl>
            <w:tblPr>
              <w:tblStyle w:val="24"/>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98"/>
              <w:gridCol w:w="1487"/>
              <w:gridCol w:w="1544"/>
              <w:gridCol w:w="1509"/>
              <w:gridCol w:w="1330"/>
            </w:tblGrid>
            <w:tr w14:paraId="0CF608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6" w:hRule="atLeast"/>
                <w:jc w:val="center"/>
              </w:trPr>
              <w:tc>
                <w:tcPr>
                  <w:tcW w:w="961" w:type="pct"/>
                  <w:tcBorders>
                    <w:tl2br w:val="nil"/>
                    <w:tr2bl w:val="nil"/>
                  </w:tcBorders>
                  <w:vAlign w:val="center"/>
                </w:tcPr>
                <w:p w14:paraId="0989709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
                      <w:bCs/>
                      <w:color w:val="FF0000"/>
                      <w:szCs w:val="21"/>
                      <w:lang w:eastAsia="zh-CN"/>
                    </w:rPr>
                  </w:pPr>
                  <w:r>
                    <w:rPr>
                      <w:rFonts w:hint="eastAsia" w:eastAsia="仿宋"/>
                      <w:b/>
                      <w:bCs/>
                      <w:color w:val="FF0000"/>
                      <w:szCs w:val="21"/>
                      <w:lang w:val="en-US" w:eastAsia="zh-CN"/>
                    </w:rPr>
                    <w:t>产污环节</w:t>
                  </w:r>
                </w:p>
              </w:tc>
              <w:tc>
                <w:tcPr>
                  <w:tcW w:w="1022" w:type="pct"/>
                  <w:tcBorders>
                    <w:tl2br w:val="nil"/>
                    <w:tr2bl w:val="nil"/>
                  </w:tcBorders>
                  <w:vAlign w:val="center"/>
                </w:tcPr>
                <w:p w14:paraId="321A33E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
                      <w:bCs/>
                      <w:color w:val="FF0000"/>
                      <w:szCs w:val="21"/>
                    </w:rPr>
                  </w:pPr>
                  <w:r>
                    <w:rPr>
                      <w:rFonts w:eastAsia="仿宋"/>
                      <w:b/>
                      <w:bCs/>
                      <w:color w:val="FF0000"/>
                      <w:szCs w:val="21"/>
                    </w:rPr>
                    <w:t>污染物</w:t>
                  </w:r>
                </w:p>
              </w:tc>
              <w:tc>
                <w:tcPr>
                  <w:tcW w:w="1062" w:type="pct"/>
                  <w:tcBorders>
                    <w:tl2br w:val="nil"/>
                    <w:tr2bl w:val="nil"/>
                  </w:tcBorders>
                  <w:vAlign w:val="center"/>
                </w:tcPr>
                <w:p w14:paraId="17ACBA72">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
                      <w:bCs/>
                      <w:color w:val="FF0000"/>
                      <w:szCs w:val="21"/>
                    </w:rPr>
                  </w:pPr>
                  <w:r>
                    <w:rPr>
                      <w:rFonts w:eastAsia="仿宋"/>
                      <w:b/>
                      <w:bCs/>
                      <w:color w:val="FF0000"/>
                      <w:szCs w:val="21"/>
                    </w:rPr>
                    <w:t>核算排放浓度</w:t>
                  </w:r>
                </w:p>
              </w:tc>
              <w:tc>
                <w:tcPr>
                  <w:tcW w:w="1038" w:type="pct"/>
                  <w:tcBorders>
                    <w:tl2br w:val="nil"/>
                    <w:tr2bl w:val="nil"/>
                  </w:tcBorders>
                  <w:vAlign w:val="center"/>
                </w:tcPr>
                <w:p w14:paraId="0E07D333">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
                      <w:bCs/>
                      <w:color w:val="FF0000"/>
                      <w:szCs w:val="21"/>
                    </w:rPr>
                  </w:pPr>
                  <w:r>
                    <w:rPr>
                      <w:rFonts w:eastAsia="仿宋"/>
                      <w:b/>
                      <w:bCs/>
                      <w:color w:val="FF0000"/>
                      <w:szCs w:val="21"/>
                    </w:rPr>
                    <w:t>核算排放速率</w:t>
                  </w:r>
                </w:p>
              </w:tc>
              <w:tc>
                <w:tcPr>
                  <w:tcW w:w="914" w:type="pct"/>
                  <w:tcBorders>
                    <w:tl2br w:val="nil"/>
                    <w:tr2bl w:val="nil"/>
                  </w:tcBorders>
                  <w:vAlign w:val="center"/>
                </w:tcPr>
                <w:p w14:paraId="0550D04F">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Cs w:val="21"/>
                    </w:rPr>
                  </w:pPr>
                  <w:r>
                    <w:rPr>
                      <w:rFonts w:eastAsia="仿宋"/>
                      <w:b/>
                      <w:bCs/>
                      <w:color w:val="FF0000"/>
                      <w:szCs w:val="21"/>
                    </w:rPr>
                    <w:t>核算年排放量</w:t>
                  </w:r>
                </w:p>
              </w:tc>
            </w:tr>
            <w:tr w14:paraId="337DEC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15" w:hRule="atLeast"/>
                <w:jc w:val="center"/>
              </w:trPr>
              <w:tc>
                <w:tcPr>
                  <w:tcW w:w="961" w:type="pct"/>
                  <w:tcBorders>
                    <w:tl2br w:val="nil"/>
                    <w:tr2bl w:val="nil"/>
                  </w:tcBorders>
                  <w:vAlign w:val="center"/>
                </w:tcPr>
                <w:p w14:paraId="2444684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aps/>
                      <w:color w:val="FF0000"/>
                      <w:szCs w:val="21"/>
                      <w:lang w:val="en-US" w:eastAsia="zh-CN"/>
                    </w:rPr>
                  </w:pPr>
                  <w:r>
                    <w:rPr>
                      <w:rFonts w:hint="eastAsia" w:eastAsia="仿宋"/>
                      <w:caps/>
                      <w:color w:val="FF0000"/>
                      <w:szCs w:val="21"/>
                      <w:lang w:val="en-US" w:eastAsia="zh-CN"/>
                    </w:rPr>
                    <w:t>投料、破碎</w:t>
                  </w:r>
                </w:p>
              </w:tc>
              <w:tc>
                <w:tcPr>
                  <w:tcW w:w="1022" w:type="pct"/>
                  <w:vMerge w:val="restart"/>
                  <w:tcBorders>
                    <w:tl2br w:val="nil"/>
                    <w:tr2bl w:val="nil"/>
                  </w:tcBorders>
                  <w:vAlign w:val="center"/>
                </w:tcPr>
                <w:p w14:paraId="3AD1B21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aps/>
                      <w:color w:val="FF0000"/>
                      <w:szCs w:val="21"/>
                    </w:rPr>
                  </w:pPr>
                  <w:r>
                    <w:rPr>
                      <w:rFonts w:eastAsia="仿宋"/>
                      <w:color w:val="FF0000"/>
                      <w:szCs w:val="21"/>
                    </w:rPr>
                    <w:t>颗粒物</w:t>
                  </w:r>
                </w:p>
              </w:tc>
              <w:tc>
                <w:tcPr>
                  <w:tcW w:w="1062" w:type="pct"/>
                  <w:tcBorders>
                    <w:tl2br w:val="nil"/>
                    <w:tr2bl w:val="nil"/>
                  </w:tcBorders>
                  <w:vAlign w:val="center"/>
                </w:tcPr>
                <w:p w14:paraId="35274FB9">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Cs w:val="21"/>
                    </w:rPr>
                  </w:pPr>
                  <w:r>
                    <w:rPr>
                      <w:rFonts w:hint="eastAsia" w:eastAsia="仿宋"/>
                      <w:color w:val="FF0000"/>
                      <w:szCs w:val="21"/>
                      <w:lang w:val="en-US" w:eastAsia="zh-CN"/>
                    </w:rPr>
                    <w:t>13</w:t>
                  </w:r>
                  <w:r>
                    <w:rPr>
                      <w:rFonts w:eastAsia="仿宋"/>
                      <w:color w:val="FF0000"/>
                      <w:szCs w:val="21"/>
                    </w:rPr>
                    <w:t>mg/m</w:t>
                  </w:r>
                  <w:r>
                    <w:rPr>
                      <w:rFonts w:eastAsia="仿宋"/>
                      <w:color w:val="FF0000"/>
                      <w:szCs w:val="21"/>
                      <w:vertAlign w:val="superscript"/>
                    </w:rPr>
                    <w:t>3</w:t>
                  </w:r>
                </w:p>
              </w:tc>
              <w:tc>
                <w:tcPr>
                  <w:tcW w:w="1038" w:type="pct"/>
                  <w:tcBorders>
                    <w:tl2br w:val="nil"/>
                    <w:tr2bl w:val="nil"/>
                  </w:tcBorders>
                  <w:vAlign w:val="center"/>
                </w:tcPr>
                <w:p w14:paraId="7620D41D">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Cs w:val="21"/>
                    </w:rPr>
                  </w:pPr>
                  <w:r>
                    <w:rPr>
                      <w:rFonts w:hint="eastAsia" w:eastAsia="仿宋"/>
                      <w:color w:val="FF0000"/>
                      <w:szCs w:val="21"/>
                      <w:lang w:val="en-US" w:eastAsia="zh-CN"/>
                    </w:rPr>
                    <w:t>0.76</w:t>
                  </w:r>
                  <w:r>
                    <w:rPr>
                      <w:rFonts w:eastAsia="仿宋"/>
                      <w:color w:val="FF0000"/>
                      <w:szCs w:val="21"/>
                    </w:rPr>
                    <w:t>kg/h</w:t>
                  </w:r>
                </w:p>
              </w:tc>
              <w:tc>
                <w:tcPr>
                  <w:tcW w:w="914" w:type="pct"/>
                  <w:tcBorders>
                    <w:tl2br w:val="nil"/>
                    <w:tr2bl w:val="nil"/>
                  </w:tcBorders>
                  <w:vAlign w:val="center"/>
                </w:tcPr>
                <w:p w14:paraId="13F76361">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Cs w:val="21"/>
                    </w:rPr>
                  </w:pPr>
                  <w:r>
                    <w:rPr>
                      <w:rFonts w:hint="eastAsia" w:eastAsia="仿宋"/>
                      <w:color w:val="FF0000"/>
                      <w:szCs w:val="21"/>
                      <w:lang w:val="en-US" w:eastAsia="zh-CN"/>
                    </w:rPr>
                    <w:t>1.5</w:t>
                  </w:r>
                  <w:r>
                    <w:rPr>
                      <w:rFonts w:eastAsia="仿宋"/>
                      <w:color w:val="FF0000"/>
                      <w:szCs w:val="21"/>
                    </w:rPr>
                    <w:t>t/a</w:t>
                  </w:r>
                </w:p>
              </w:tc>
            </w:tr>
            <w:tr w14:paraId="1DEC07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15" w:hRule="atLeast"/>
                <w:jc w:val="center"/>
              </w:trPr>
              <w:tc>
                <w:tcPr>
                  <w:tcW w:w="961" w:type="pct"/>
                  <w:tcBorders>
                    <w:tl2br w:val="nil"/>
                    <w:tr2bl w:val="nil"/>
                  </w:tcBorders>
                  <w:vAlign w:val="center"/>
                </w:tcPr>
                <w:p w14:paraId="76EE690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aps/>
                      <w:color w:val="FF0000"/>
                      <w:szCs w:val="21"/>
                      <w:lang w:val="en-US" w:eastAsia="zh-CN"/>
                    </w:rPr>
                  </w:pPr>
                  <w:r>
                    <w:rPr>
                      <w:rFonts w:hint="eastAsia" w:eastAsia="仿宋"/>
                      <w:caps/>
                      <w:color w:val="FF0000"/>
                      <w:szCs w:val="21"/>
                      <w:lang w:val="en-US" w:eastAsia="zh-CN"/>
                    </w:rPr>
                    <w:t>筛分</w:t>
                  </w:r>
                </w:p>
              </w:tc>
              <w:tc>
                <w:tcPr>
                  <w:tcW w:w="1022" w:type="pct"/>
                  <w:vMerge w:val="continue"/>
                  <w:tcBorders>
                    <w:tl2br w:val="nil"/>
                    <w:tr2bl w:val="nil"/>
                  </w:tcBorders>
                  <w:vAlign w:val="center"/>
                </w:tcPr>
                <w:p w14:paraId="213655AA">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Cs w:val="21"/>
                    </w:rPr>
                  </w:pPr>
                </w:p>
              </w:tc>
              <w:tc>
                <w:tcPr>
                  <w:tcW w:w="1544" w:type="dxa"/>
                  <w:tcBorders>
                    <w:tl2br w:val="nil"/>
                    <w:tr2bl w:val="nil"/>
                  </w:tcBorders>
                  <w:vAlign w:val="center"/>
                </w:tcPr>
                <w:p w14:paraId="7A94C9E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FF0000"/>
                      <w:szCs w:val="21"/>
                      <w:lang w:val="en-US" w:eastAsia="zh-CN"/>
                    </w:rPr>
                  </w:pPr>
                  <w:r>
                    <w:rPr>
                      <w:rFonts w:hint="eastAsia" w:eastAsia="仿宋"/>
                      <w:color w:val="FF0000"/>
                      <w:szCs w:val="21"/>
                      <w:lang w:val="en-US" w:eastAsia="zh-CN"/>
                    </w:rPr>
                    <w:t>12</w:t>
                  </w:r>
                  <w:r>
                    <w:rPr>
                      <w:rFonts w:eastAsia="仿宋"/>
                      <w:color w:val="FF0000"/>
                      <w:szCs w:val="21"/>
                    </w:rPr>
                    <w:t>mg/m</w:t>
                  </w:r>
                  <w:r>
                    <w:rPr>
                      <w:rFonts w:eastAsia="仿宋"/>
                      <w:color w:val="FF0000"/>
                      <w:szCs w:val="21"/>
                      <w:vertAlign w:val="superscript"/>
                    </w:rPr>
                    <w:t>3</w:t>
                  </w:r>
                </w:p>
              </w:tc>
              <w:tc>
                <w:tcPr>
                  <w:tcW w:w="1509" w:type="dxa"/>
                  <w:tcBorders>
                    <w:tl2br w:val="nil"/>
                    <w:tr2bl w:val="nil"/>
                  </w:tcBorders>
                  <w:vAlign w:val="center"/>
                </w:tcPr>
                <w:p w14:paraId="2F8337E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FF0000"/>
                      <w:szCs w:val="21"/>
                      <w:lang w:val="en-US" w:eastAsia="zh-CN"/>
                    </w:rPr>
                  </w:pPr>
                  <w:r>
                    <w:rPr>
                      <w:rFonts w:hint="eastAsia" w:eastAsia="仿宋"/>
                      <w:color w:val="FF0000"/>
                      <w:szCs w:val="21"/>
                      <w:lang w:val="en-US" w:eastAsia="zh-CN"/>
                    </w:rPr>
                    <w:t>0.76</w:t>
                  </w:r>
                  <w:r>
                    <w:rPr>
                      <w:rFonts w:eastAsia="仿宋"/>
                      <w:color w:val="FF0000"/>
                      <w:szCs w:val="21"/>
                    </w:rPr>
                    <w:t>kg/h</w:t>
                  </w:r>
                </w:p>
              </w:tc>
              <w:tc>
                <w:tcPr>
                  <w:tcW w:w="1330" w:type="dxa"/>
                  <w:tcBorders>
                    <w:tl2br w:val="nil"/>
                    <w:tr2bl w:val="nil"/>
                  </w:tcBorders>
                  <w:vAlign w:val="center"/>
                </w:tcPr>
                <w:p w14:paraId="2410E89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FF0000"/>
                      <w:szCs w:val="21"/>
                      <w:lang w:val="en-US" w:eastAsia="zh-CN"/>
                    </w:rPr>
                  </w:pPr>
                  <w:r>
                    <w:rPr>
                      <w:rFonts w:hint="eastAsia" w:eastAsia="仿宋"/>
                      <w:color w:val="FF0000"/>
                      <w:szCs w:val="21"/>
                      <w:lang w:val="en-US" w:eastAsia="zh-CN"/>
                    </w:rPr>
                    <w:t>1.5</w:t>
                  </w:r>
                  <w:r>
                    <w:rPr>
                      <w:rFonts w:eastAsia="仿宋"/>
                      <w:color w:val="FF0000"/>
                      <w:szCs w:val="21"/>
                    </w:rPr>
                    <w:t>t/a</w:t>
                  </w:r>
                </w:p>
              </w:tc>
            </w:tr>
            <w:tr w14:paraId="12983A4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961" w:type="pct"/>
                  <w:tcBorders>
                    <w:tl2br w:val="nil"/>
                    <w:tr2bl w:val="nil"/>
                  </w:tcBorders>
                  <w:vAlign w:val="center"/>
                </w:tcPr>
                <w:p w14:paraId="3105ED73">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Cs w:val="21"/>
                    </w:rPr>
                  </w:pPr>
                  <w:r>
                    <w:rPr>
                      <w:rFonts w:eastAsia="仿宋"/>
                      <w:color w:val="FF0000"/>
                      <w:szCs w:val="21"/>
                    </w:rPr>
                    <w:t>有组织排放总计</w:t>
                  </w:r>
                  <w:r>
                    <w:rPr>
                      <w:rFonts w:hint="eastAsia" w:eastAsia="仿宋"/>
                      <w:color w:val="FF0000"/>
                      <w:szCs w:val="21"/>
                    </w:rPr>
                    <w:t>（</w:t>
                  </w:r>
                  <w:r>
                    <w:rPr>
                      <w:rFonts w:eastAsia="仿宋"/>
                      <w:color w:val="FF0000"/>
                      <w:szCs w:val="21"/>
                    </w:rPr>
                    <w:t>一般排放口</w:t>
                  </w:r>
                  <w:r>
                    <w:rPr>
                      <w:rFonts w:hint="eastAsia" w:eastAsia="仿宋"/>
                      <w:color w:val="FF0000"/>
                      <w:szCs w:val="21"/>
                    </w:rPr>
                    <w:t>）</w:t>
                  </w:r>
                </w:p>
              </w:tc>
              <w:tc>
                <w:tcPr>
                  <w:tcW w:w="3123" w:type="pct"/>
                  <w:gridSpan w:val="3"/>
                  <w:tcBorders>
                    <w:tl2br w:val="nil"/>
                    <w:tr2bl w:val="nil"/>
                  </w:tcBorders>
                  <w:vAlign w:val="center"/>
                </w:tcPr>
                <w:p w14:paraId="1ADB069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aps/>
                      <w:color w:val="FF0000"/>
                      <w:szCs w:val="21"/>
                    </w:rPr>
                  </w:pPr>
                  <w:r>
                    <w:rPr>
                      <w:rFonts w:eastAsia="仿宋"/>
                      <w:color w:val="FF0000"/>
                      <w:szCs w:val="21"/>
                    </w:rPr>
                    <w:t>颗粒物</w:t>
                  </w:r>
                </w:p>
              </w:tc>
              <w:tc>
                <w:tcPr>
                  <w:tcW w:w="914" w:type="pct"/>
                  <w:tcBorders>
                    <w:tl2br w:val="nil"/>
                    <w:tr2bl w:val="nil"/>
                  </w:tcBorders>
                  <w:vAlign w:val="center"/>
                </w:tcPr>
                <w:p w14:paraId="22EC94EF">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Cs w:val="21"/>
                    </w:rPr>
                  </w:pPr>
                  <w:r>
                    <w:rPr>
                      <w:rFonts w:hint="eastAsia" w:eastAsia="仿宋"/>
                      <w:color w:val="FF0000"/>
                      <w:szCs w:val="21"/>
                      <w:lang w:val="en-US" w:eastAsia="zh-CN"/>
                    </w:rPr>
                    <w:t>3.0</w:t>
                  </w:r>
                  <w:r>
                    <w:rPr>
                      <w:rFonts w:eastAsia="仿宋"/>
                      <w:color w:val="FF0000"/>
                      <w:szCs w:val="21"/>
                    </w:rPr>
                    <w:t>t/a</w:t>
                  </w:r>
                </w:p>
              </w:tc>
            </w:tr>
          </w:tbl>
          <w:p w14:paraId="6C9A1ED6">
            <w:pPr>
              <w:pStyle w:val="4"/>
              <w:keepNext/>
              <w:keepLines/>
              <w:pageBreakBefore w:val="0"/>
              <w:widowControl w:val="0"/>
              <w:kinsoku/>
              <w:wordWrap/>
              <w:overflowPunct/>
              <w:topLinePunct w:val="0"/>
              <w:autoSpaceDE/>
              <w:autoSpaceDN/>
              <w:bidi w:val="0"/>
              <w:adjustRightInd w:val="0"/>
              <w:snapToGrid w:val="0"/>
              <w:spacing w:before="157" w:beforeLines="50" w:after="0"/>
              <w:ind w:firstLine="480" w:firstLineChars="200"/>
              <w:textAlignment w:val="auto"/>
              <w:rPr>
                <w:rFonts w:hint="default" w:ascii="Times New Roman" w:hAnsi="Times New Roman" w:eastAsia="仿宋" w:cs="Times New Roman"/>
                <w:b w:val="0"/>
                <w:bCs/>
                <w:color w:val="FF0000"/>
                <w:sz w:val="24"/>
                <w:lang w:val="ru-RU"/>
              </w:rPr>
            </w:pPr>
            <w:r>
              <w:rPr>
                <w:rFonts w:hint="default" w:ascii="Times New Roman" w:hAnsi="Times New Roman" w:eastAsia="仿宋" w:cs="Times New Roman"/>
                <w:b w:val="0"/>
                <w:bCs/>
                <w:color w:val="FF0000"/>
                <w:sz w:val="24"/>
                <w:lang w:val="ru-RU"/>
              </w:rPr>
              <w:t>⑷无组织排放量核算</w:t>
            </w:r>
          </w:p>
          <w:p w14:paraId="09AF0A51">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
                <w:bCs/>
                <w:color w:val="FF0000"/>
                <w:szCs w:val="21"/>
              </w:rPr>
            </w:pPr>
            <w:r>
              <w:rPr>
                <w:rFonts w:eastAsia="仿宋"/>
                <w:b/>
                <w:bCs/>
                <w:color w:val="FF0000"/>
                <w:szCs w:val="21"/>
              </w:rPr>
              <w:t>表</w:t>
            </w:r>
            <w:r>
              <w:rPr>
                <w:rFonts w:hint="eastAsia" w:eastAsia="仿宋"/>
                <w:b/>
                <w:bCs/>
                <w:color w:val="FF0000"/>
                <w:szCs w:val="21"/>
                <w:lang w:val="en-US" w:eastAsia="zh-CN"/>
              </w:rPr>
              <w:t>39</w:t>
            </w:r>
            <w:r>
              <w:rPr>
                <w:rFonts w:eastAsia="仿宋"/>
                <w:b/>
                <w:bCs/>
                <w:color w:val="FF0000"/>
                <w:szCs w:val="21"/>
              </w:rPr>
              <w:t xml:space="preserve">  大气污染物无组织排放量核算表</w:t>
            </w:r>
          </w:p>
          <w:tbl>
            <w:tblPr>
              <w:tblStyle w:val="23"/>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206"/>
              <w:gridCol w:w="967"/>
              <w:gridCol w:w="2216"/>
              <w:gridCol w:w="1638"/>
              <w:gridCol w:w="1240"/>
            </w:tblGrid>
            <w:tr w14:paraId="2BA215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206" w:type="dxa"/>
                  <w:vMerge w:val="restart"/>
                  <w:noWrap w:val="0"/>
                  <w:vAlign w:val="center"/>
                </w:tcPr>
                <w:p w14:paraId="04191C37">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r>
                    <w:rPr>
                      <w:rFonts w:eastAsia="仿宋"/>
                      <w:color w:val="FF0000"/>
                      <w:kern w:val="0"/>
                      <w:szCs w:val="21"/>
                    </w:rPr>
                    <w:t>产污环节</w:t>
                  </w:r>
                </w:p>
              </w:tc>
              <w:tc>
                <w:tcPr>
                  <w:tcW w:w="967" w:type="dxa"/>
                  <w:vMerge w:val="restart"/>
                  <w:noWrap w:val="0"/>
                  <w:vAlign w:val="center"/>
                </w:tcPr>
                <w:p w14:paraId="08974261">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r>
                    <w:rPr>
                      <w:rFonts w:eastAsia="仿宋"/>
                      <w:color w:val="FF0000"/>
                      <w:kern w:val="0"/>
                      <w:szCs w:val="21"/>
                    </w:rPr>
                    <w:t>污染物</w:t>
                  </w:r>
                </w:p>
              </w:tc>
              <w:tc>
                <w:tcPr>
                  <w:tcW w:w="3854" w:type="dxa"/>
                  <w:gridSpan w:val="2"/>
                  <w:noWrap w:val="0"/>
                  <w:vAlign w:val="center"/>
                </w:tcPr>
                <w:p w14:paraId="78416193">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r>
                    <w:rPr>
                      <w:rFonts w:eastAsia="仿宋"/>
                      <w:color w:val="FF0000"/>
                      <w:kern w:val="0"/>
                      <w:szCs w:val="21"/>
                    </w:rPr>
                    <w:t>国家或地方污染物排放标准</w:t>
                  </w:r>
                </w:p>
              </w:tc>
              <w:tc>
                <w:tcPr>
                  <w:tcW w:w="1240" w:type="dxa"/>
                  <w:vMerge w:val="restart"/>
                  <w:noWrap w:val="0"/>
                  <w:vAlign w:val="center"/>
                </w:tcPr>
                <w:p w14:paraId="2C005027">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r>
                    <w:rPr>
                      <w:rFonts w:eastAsia="仿宋"/>
                      <w:color w:val="FF0000"/>
                      <w:kern w:val="0"/>
                      <w:szCs w:val="21"/>
                    </w:rPr>
                    <w:t>年排放量/（t/a）</w:t>
                  </w:r>
                </w:p>
              </w:tc>
            </w:tr>
            <w:tr w14:paraId="37C659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206" w:type="dxa"/>
                  <w:vMerge w:val="continue"/>
                  <w:noWrap w:val="0"/>
                  <w:vAlign w:val="center"/>
                </w:tcPr>
                <w:p w14:paraId="5F629911">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967" w:type="dxa"/>
                  <w:vMerge w:val="continue"/>
                  <w:noWrap w:val="0"/>
                  <w:vAlign w:val="center"/>
                </w:tcPr>
                <w:p w14:paraId="7D18585A">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2216" w:type="dxa"/>
                  <w:noWrap w:val="0"/>
                  <w:vAlign w:val="center"/>
                </w:tcPr>
                <w:p w14:paraId="317CBE8F">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r>
                    <w:rPr>
                      <w:rFonts w:eastAsia="仿宋"/>
                      <w:color w:val="FF0000"/>
                      <w:kern w:val="0"/>
                      <w:szCs w:val="21"/>
                    </w:rPr>
                    <w:t>标准名称</w:t>
                  </w:r>
                </w:p>
              </w:tc>
              <w:tc>
                <w:tcPr>
                  <w:tcW w:w="1638" w:type="dxa"/>
                  <w:noWrap w:val="0"/>
                  <w:vAlign w:val="center"/>
                </w:tcPr>
                <w:p w14:paraId="5F44E806">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r>
                    <w:rPr>
                      <w:rFonts w:eastAsia="仿宋"/>
                      <w:color w:val="FF0000"/>
                      <w:kern w:val="0"/>
                      <w:szCs w:val="21"/>
                    </w:rPr>
                    <w:t>浓度限值/（mg/m</w:t>
                  </w:r>
                  <w:r>
                    <w:rPr>
                      <w:rFonts w:eastAsia="仿宋"/>
                      <w:color w:val="FF0000"/>
                      <w:kern w:val="0"/>
                      <w:szCs w:val="21"/>
                      <w:vertAlign w:val="superscript"/>
                    </w:rPr>
                    <w:t>3</w:t>
                  </w:r>
                  <w:r>
                    <w:rPr>
                      <w:rFonts w:eastAsia="仿宋"/>
                      <w:color w:val="FF0000"/>
                      <w:kern w:val="0"/>
                      <w:szCs w:val="21"/>
                    </w:rPr>
                    <w:t>）</w:t>
                  </w:r>
                </w:p>
              </w:tc>
              <w:tc>
                <w:tcPr>
                  <w:tcW w:w="1240" w:type="dxa"/>
                  <w:vMerge w:val="continue"/>
                  <w:noWrap w:val="0"/>
                  <w:vAlign w:val="center"/>
                </w:tcPr>
                <w:p w14:paraId="28F0B1BB">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r>
            <w:tr w14:paraId="15EFD6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1206" w:type="dxa"/>
                  <w:noWrap w:val="0"/>
                  <w:vAlign w:val="center"/>
                </w:tcPr>
                <w:p w14:paraId="14D5E31F">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szCs w:val="21"/>
                      <w:lang w:val="en-US" w:eastAsia="zh-CN"/>
                    </w:rPr>
                  </w:pPr>
                  <w:r>
                    <w:rPr>
                      <w:rFonts w:hint="eastAsia" w:eastAsia="仿宋"/>
                      <w:color w:val="FF0000"/>
                      <w:szCs w:val="21"/>
                      <w:lang w:val="en-US" w:eastAsia="zh-CN"/>
                    </w:rPr>
                    <w:t>剥离清表</w:t>
                  </w:r>
                </w:p>
              </w:tc>
              <w:tc>
                <w:tcPr>
                  <w:tcW w:w="967" w:type="dxa"/>
                  <w:vMerge w:val="restart"/>
                  <w:noWrap w:val="0"/>
                  <w:vAlign w:val="center"/>
                </w:tcPr>
                <w:p w14:paraId="02C2357D">
                  <w:pPr>
                    <w:keepNext w:val="0"/>
                    <w:keepLines w:val="0"/>
                    <w:pageBreakBefore w:val="0"/>
                    <w:kinsoku/>
                    <w:wordWrap/>
                    <w:overflowPunct/>
                    <w:topLinePunct w:val="0"/>
                    <w:autoSpaceDE/>
                    <w:autoSpaceDN/>
                    <w:bidi w:val="0"/>
                    <w:adjustRightInd w:val="0"/>
                    <w:snapToGrid w:val="0"/>
                    <w:jc w:val="center"/>
                    <w:textAlignment w:val="auto"/>
                    <w:rPr>
                      <w:rFonts w:eastAsia="仿宋"/>
                      <w:color w:val="FF0000"/>
                      <w:kern w:val="0"/>
                      <w:szCs w:val="21"/>
                    </w:rPr>
                  </w:pPr>
                  <w:r>
                    <w:rPr>
                      <w:rFonts w:hint="eastAsia" w:eastAsia="仿宋"/>
                      <w:color w:val="FF0000"/>
                      <w:kern w:val="0"/>
                    </w:rPr>
                    <w:t>颗粒物</w:t>
                  </w:r>
                </w:p>
              </w:tc>
              <w:tc>
                <w:tcPr>
                  <w:tcW w:w="2216" w:type="dxa"/>
                  <w:vMerge w:val="restart"/>
                  <w:noWrap w:val="0"/>
                  <w:vAlign w:val="center"/>
                </w:tcPr>
                <w:p w14:paraId="2B3C0DF2">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r>
                    <w:rPr>
                      <w:rFonts w:hint="eastAsia" w:ascii="Times New Roman" w:hAnsi="Times New Roman" w:eastAsia="仿宋" w:cs="Times New Roman"/>
                      <w:color w:val="FF0000"/>
                      <w:kern w:val="0"/>
                    </w:rPr>
                    <w:t>《大气污染物综合排放标准》（GB16297-1996）中排放浓度要求</w:t>
                  </w:r>
                </w:p>
              </w:tc>
              <w:tc>
                <w:tcPr>
                  <w:tcW w:w="1638" w:type="dxa"/>
                  <w:vMerge w:val="restart"/>
                  <w:noWrap w:val="0"/>
                  <w:vAlign w:val="center"/>
                </w:tcPr>
                <w:p w14:paraId="165C5B8E">
                  <w:pPr>
                    <w:keepNext w:val="0"/>
                    <w:keepLines w:val="0"/>
                    <w:pageBreakBefore w:val="0"/>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1.0</w:t>
                  </w:r>
                </w:p>
              </w:tc>
              <w:tc>
                <w:tcPr>
                  <w:tcW w:w="1240" w:type="dxa"/>
                  <w:noWrap w:val="0"/>
                  <w:vAlign w:val="center"/>
                </w:tcPr>
                <w:p w14:paraId="1A08EE87">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5.4</w:t>
                  </w:r>
                </w:p>
              </w:tc>
            </w:tr>
            <w:tr w14:paraId="11815F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1206" w:type="dxa"/>
                  <w:noWrap w:val="0"/>
                  <w:vAlign w:val="center"/>
                </w:tcPr>
                <w:p w14:paraId="7A411A78">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穿孔凿岩</w:t>
                  </w:r>
                </w:p>
              </w:tc>
              <w:tc>
                <w:tcPr>
                  <w:tcW w:w="967" w:type="dxa"/>
                  <w:vMerge w:val="continue"/>
                  <w:noWrap w:val="0"/>
                  <w:vAlign w:val="center"/>
                </w:tcPr>
                <w:p w14:paraId="55E8323E">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2216" w:type="dxa"/>
                  <w:vMerge w:val="continue"/>
                  <w:noWrap w:val="0"/>
                  <w:vAlign w:val="center"/>
                </w:tcPr>
                <w:p w14:paraId="355CE326">
                  <w:pPr>
                    <w:keepNext w:val="0"/>
                    <w:keepLines w:val="0"/>
                    <w:pageBreakBefore w:val="0"/>
                    <w:kinsoku/>
                    <w:wordWrap/>
                    <w:overflowPunct/>
                    <w:topLinePunct w:val="0"/>
                    <w:autoSpaceDE/>
                    <w:autoSpaceDN/>
                    <w:bidi w:val="0"/>
                    <w:adjustRightInd w:val="0"/>
                    <w:snapToGrid w:val="0"/>
                    <w:jc w:val="center"/>
                    <w:textAlignment w:val="auto"/>
                    <w:rPr>
                      <w:rFonts w:eastAsia="仿宋"/>
                      <w:color w:val="FF0000"/>
                      <w:kern w:val="0"/>
                      <w:szCs w:val="21"/>
                    </w:rPr>
                  </w:pPr>
                </w:p>
              </w:tc>
              <w:tc>
                <w:tcPr>
                  <w:tcW w:w="1638" w:type="dxa"/>
                  <w:vMerge w:val="continue"/>
                  <w:noWrap w:val="0"/>
                  <w:vAlign w:val="center"/>
                </w:tcPr>
                <w:p w14:paraId="4ADA7C5F">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1240" w:type="dxa"/>
                  <w:noWrap w:val="0"/>
                  <w:vAlign w:val="center"/>
                </w:tcPr>
                <w:p w14:paraId="0F5D3902">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0.06</w:t>
                  </w:r>
                </w:p>
              </w:tc>
            </w:tr>
            <w:tr w14:paraId="0E3732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1206" w:type="dxa"/>
                  <w:noWrap w:val="0"/>
                  <w:vAlign w:val="center"/>
                </w:tcPr>
                <w:p w14:paraId="2EB8C450">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铲装</w:t>
                  </w:r>
                </w:p>
              </w:tc>
              <w:tc>
                <w:tcPr>
                  <w:tcW w:w="967" w:type="dxa"/>
                  <w:vMerge w:val="continue"/>
                  <w:noWrap w:val="0"/>
                  <w:vAlign w:val="center"/>
                </w:tcPr>
                <w:p w14:paraId="52083B99">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2216" w:type="dxa"/>
                  <w:vMerge w:val="continue"/>
                  <w:noWrap w:val="0"/>
                  <w:vAlign w:val="center"/>
                </w:tcPr>
                <w:p w14:paraId="0A0496AE">
                  <w:pPr>
                    <w:keepNext w:val="0"/>
                    <w:keepLines w:val="0"/>
                    <w:pageBreakBefore w:val="0"/>
                    <w:kinsoku/>
                    <w:wordWrap/>
                    <w:overflowPunct/>
                    <w:topLinePunct w:val="0"/>
                    <w:autoSpaceDE/>
                    <w:autoSpaceDN/>
                    <w:bidi w:val="0"/>
                    <w:adjustRightInd w:val="0"/>
                    <w:snapToGrid w:val="0"/>
                    <w:jc w:val="center"/>
                    <w:textAlignment w:val="auto"/>
                    <w:rPr>
                      <w:rFonts w:eastAsia="仿宋"/>
                      <w:color w:val="FF0000"/>
                      <w:kern w:val="0"/>
                      <w:szCs w:val="21"/>
                    </w:rPr>
                  </w:pPr>
                </w:p>
              </w:tc>
              <w:tc>
                <w:tcPr>
                  <w:tcW w:w="1638" w:type="dxa"/>
                  <w:vMerge w:val="continue"/>
                  <w:noWrap w:val="0"/>
                  <w:vAlign w:val="center"/>
                </w:tcPr>
                <w:p w14:paraId="22A63CCE">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1240" w:type="dxa"/>
                  <w:noWrap w:val="0"/>
                  <w:vAlign w:val="center"/>
                </w:tcPr>
                <w:p w14:paraId="6BFE74EB">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2.6</w:t>
                  </w:r>
                </w:p>
              </w:tc>
            </w:tr>
            <w:tr w14:paraId="457E10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1206" w:type="dxa"/>
                  <w:noWrap w:val="0"/>
                  <w:vAlign w:val="center"/>
                </w:tcPr>
                <w:p w14:paraId="396DAE31">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szCs w:val="21"/>
                      <w:lang w:val="en-US" w:eastAsia="zh-CN"/>
                    </w:rPr>
                  </w:pPr>
                  <w:r>
                    <w:rPr>
                      <w:rFonts w:hint="eastAsia" w:eastAsia="仿宋"/>
                      <w:color w:val="FF0000"/>
                      <w:szCs w:val="21"/>
                      <w:lang w:val="en-US" w:eastAsia="zh-CN"/>
                    </w:rPr>
                    <w:t>运输道路</w:t>
                  </w:r>
                </w:p>
              </w:tc>
              <w:tc>
                <w:tcPr>
                  <w:tcW w:w="967" w:type="dxa"/>
                  <w:vMerge w:val="continue"/>
                  <w:noWrap w:val="0"/>
                  <w:vAlign w:val="center"/>
                </w:tcPr>
                <w:p w14:paraId="7C79F312">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2216" w:type="dxa"/>
                  <w:vMerge w:val="continue"/>
                  <w:noWrap w:val="0"/>
                  <w:vAlign w:val="center"/>
                </w:tcPr>
                <w:p w14:paraId="1CC9D11A">
                  <w:pPr>
                    <w:keepNext w:val="0"/>
                    <w:keepLines w:val="0"/>
                    <w:pageBreakBefore w:val="0"/>
                    <w:kinsoku/>
                    <w:wordWrap/>
                    <w:overflowPunct/>
                    <w:topLinePunct w:val="0"/>
                    <w:autoSpaceDE/>
                    <w:autoSpaceDN/>
                    <w:bidi w:val="0"/>
                    <w:adjustRightInd w:val="0"/>
                    <w:snapToGrid w:val="0"/>
                    <w:jc w:val="center"/>
                    <w:textAlignment w:val="auto"/>
                    <w:rPr>
                      <w:rFonts w:eastAsia="仿宋"/>
                      <w:color w:val="FF0000"/>
                      <w:kern w:val="0"/>
                      <w:szCs w:val="21"/>
                    </w:rPr>
                  </w:pPr>
                </w:p>
              </w:tc>
              <w:tc>
                <w:tcPr>
                  <w:tcW w:w="1638" w:type="dxa"/>
                  <w:vMerge w:val="continue"/>
                  <w:noWrap w:val="0"/>
                  <w:vAlign w:val="center"/>
                </w:tcPr>
                <w:p w14:paraId="5A960ECA">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1240" w:type="dxa"/>
                  <w:noWrap w:val="0"/>
                  <w:vAlign w:val="center"/>
                </w:tcPr>
                <w:p w14:paraId="4AA3AC21">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6.1</w:t>
                  </w:r>
                </w:p>
              </w:tc>
            </w:tr>
            <w:tr w14:paraId="231CBA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1206" w:type="dxa"/>
                  <w:noWrap w:val="0"/>
                  <w:vAlign w:val="center"/>
                </w:tcPr>
                <w:p w14:paraId="7A49CCE4">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szCs w:val="21"/>
                      <w:lang w:val="en-US" w:eastAsia="zh-CN"/>
                    </w:rPr>
                  </w:pPr>
                  <w:r>
                    <w:rPr>
                      <w:rFonts w:hint="eastAsia" w:eastAsia="仿宋"/>
                      <w:color w:val="FF0000"/>
                      <w:szCs w:val="21"/>
                      <w:lang w:val="en-US" w:eastAsia="zh-CN"/>
                    </w:rPr>
                    <w:t>排土场</w:t>
                  </w:r>
                </w:p>
              </w:tc>
              <w:tc>
                <w:tcPr>
                  <w:tcW w:w="967" w:type="dxa"/>
                  <w:vMerge w:val="continue"/>
                  <w:noWrap w:val="0"/>
                  <w:vAlign w:val="center"/>
                </w:tcPr>
                <w:p w14:paraId="5710BA33">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2216" w:type="dxa"/>
                  <w:vMerge w:val="continue"/>
                  <w:noWrap w:val="0"/>
                  <w:vAlign w:val="center"/>
                </w:tcPr>
                <w:p w14:paraId="2298E9AE">
                  <w:pPr>
                    <w:keepNext w:val="0"/>
                    <w:keepLines w:val="0"/>
                    <w:pageBreakBefore w:val="0"/>
                    <w:kinsoku/>
                    <w:wordWrap/>
                    <w:overflowPunct/>
                    <w:topLinePunct w:val="0"/>
                    <w:autoSpaceDE/>
                    <w:autoSpaceDN/>
                    <w:bidi w:val="0"/>
                    <w:adjustRightInd w:val="0"/>
                    <w:snapToGrid w:val="0"/>
                    <w:jc w:val="center"/>
                    <w:textAlignment w:val="auto"/>
                    <w:rPr>
                      <w:rFonts w:eastAsia="仿宋"/>
                      <w:color w:val="FF0000"/>
                      <w:kern w:val="0"/>
                      <w:szCs w:val="21"/>
                    </w:rPr>
                  </w:pPr>
                </w:p>
              </w:tc>
              <w:tc>
                <w:tcPr>
                  <w:tcW w:w="1638" w:type="dxa"/>
                  <w:vMerge w:val="continue"/>
                  <w:noWrap w:val="0"/>
                  <w:vAlign w:val="center"/>
                </w:tcPr>
                <w:p w14:paraId="521335B9">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1240" w:type="dxa"/>
                  <w:noWrap w:val="0"/>
                  <w:vAlign w:val="center"/>
                </w:tcPr>
                <w:p w14:paraId="2512C2D9">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0.27</w:t>
                  </w:r>
                </w:p>
              </w:tc>
            </w:tr>
            <w:tr w14:paraId="35A015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1206" w:type="dxa"/>
                  <w:noWrap w:val="0"/>
                  <w:vAlign w:val="center"/>
                </w:tcPr>
                <w:p w14:paraId="28346C80">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szCs w:val="21"/>
                      <w:lang w:val="en-US" w:eastAsia="zh-CN"/>
                    </w:rPr>
                  </w:pPr>
                  <w:r>
                    <w:rPr>
                      <w:rFonts w:hint="eastAsia" w:eastAsia="仿宋"/>
                      <w:color w:val="FF0000"/>
                      <w:szCs w:val="21"/>
                      <w:lang w:val="en-US" w:eastAsia="zh-CN"/>
                    </w:rPr>
                    <w:t>投料、破碎</w:t>
                  </w:r>
                </w:p>
              </w:tc>
              <w:tc>
                <w:tcPr>
                  <w:tcW w:w="967" w:type="dxa"/>
                  <w:vMerge w:val="continue"/>
                  <w:noWrap w:val="0"/>
                  <w:vAlign w:val="center"/>
                </w:tcPr>
                <w:p w14:paraId="6B2D6BF3">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2216" w:type="dxa"/>
                  <w:vMerge w:val="continue"/>
                  <w:noWrap w:val="0"/>
                  <w:vAlign w:val="center"/>
                </w:tcPr>
                <w:p w14:paraId="218040BC">
                  <w:pPr>
                    <w:keepNext w:val="0"/>
                    <w:keepLines w:val="0"/>
                    <w:pageBreakBefore w:val="0"/>
                    <w:kinsoku/>
                    <w:wordWrap/>
                    <w:overflowPunct/>
                    <w:topLinePunct w:val="0"/>
                    <w:autoSpaceDE/>
                    <w:autoSpaceDN/>
                    <w:bidi w:val="0"/>
                    <w:adjustRightInd w:val="0"/>
                    <w:snapToGrid w:val="0"/>
                    <w:jc w:val="center"/>
                    <w:textAlignment w:val="auto"/>
                    <w:rPr>
                      <w:rFonts w:eastAsia="仿宋"/>
                      <w:color w:val="FF0000"/>
                      <w:kern w:val="0"/>
                      <w:szCs w:val="21"/>
                    </w:rPr>
                  </w:pPr>
                </w:p>
              </w:tc>
              <w:tc>
                <w:tcPr>
                  <w:tcW w:w="1638" w:type="dxa"/>
                  <w:vMerge w:val="continue"/>
                  <w:noWrap w:val="0"/>
                  <w:vAlign w:val="center"/>
                </w:tcPr>
                <w:p w14:paraId="3EF0B23F">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1240" w:type="dxa"/>
                  <w:noWrap w:val="0"/>
                  <w:vAlign w:val="center"/>
                </w:tcPr>
                <w:p w14:paraId="56BF17C5">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0.38</w:t>
                  </w:r>
                </w:p>
              </w:tc>
            </w:tr>
            <w:tr w14:paraId="483DCC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1206" w:type="dxa"/>
                  <w:noWrap w:val="0"/>
                  <w:vAlign w:val="center"/>
                </w:tcPr>
                <w:p w14:paraId="4929B76A">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szCs w:val="21"/>
                      <w:lang w:val="en-US" w:eastAsia="zh-CN"/>
                    </w:rPr>
                  </w:pPr>
                  <w:r>
                    <w:rPr>
                      <w:rFonts w:hint="eastAsia" w:eastAsia="仿宋"/>
                      <w:color w:val="FF0000"/>
                      <w:szCs w:val="21"/>
                      <w:lang w:val="en-US" w:eastAsia="zh-CN"/>
                    </w:rPr>
                    <w:t>筛分</w:t>
                  </w:r>
                </w:p>
              </w:tc>
              <w:tc>
                <w:tcPr>
                  <w:tcW w:w="967" w:type="dxa"/>
                  <w:vMerge w:val="continue"/>
                  <w:noWrap w:val="0"/>
                  <w:vAlign w:val="center"/>
                </w:tcPr>
                <w:p w14:paraId="441DF2D9">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2216" w:type="dxa"/>
                  <w:vMerge w:val="continue"/>
                  <w:noWrap w:val="0"/>
                  <w:vAlign w:val="center"/>
                </w:tcPr>
                <w:p w14:paraId="256442BA">
                  <w:pPr>
                    <w:keepNext w:val="0"/>
                    <w:keepLines w:val="0"/>
                    <w:pageBreakBefore w:val="0"/>
                    <w:kinsoku/>
                    <w:wordWrap/>
                    <w:overflowPunct/>
                    <w:topLinePunct w:val="0"/>
                    <w:autoSpaceDE/>
                    <w:autoSpaceDN/>
                    <w:bidi w:val="0"/>
                    <w:adjustRightInd w:val="0"/>
                    <w:snapToGrid w:val="0"/>
                    <w:jc w:val="center"/>
                    <w:textAlignment w:val="auto"/>
                    <w:rPr>
                      <w:rFonts w:eastAsia="仿宋"/>
                      <w:color w:val="FF0000"/>
                      <w:kern w:val="0"/>
                      <w:szCs w:val="21"/>
                    </w:rPr>
                  </w:pPr>
                </w:p>
              </w:tc>
              <w:tc>
                <w:tcPr>
                  <w:tcW w:w="1638" w:type="dxa"/>
                  <w:vMerge w:val="continue"/>
                  <w:noWrap w:val="0"/>
                  <w:vAlign w:val="center"/>
                </w:tcPr>
                <w:p w14:paraId="79AFBA3B">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1240" w:type="dxa"/>
                  <w:noWrap w:val="0"/>
                  <w:vAlign w:val="center"/>
                </w:tcPr>
                <w:p w14:paraId="09EBD4D1">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0.38</w:t>
                  </w:r>
                </w:p>
              </w:tc>
            </w:tr>
            <w:tr w14:paraId="0C0051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1206" w:type="dxa"/>
                  <w:noWrap w:val="0"/>
                  <w:vAlign w:val="center"/>
                </w:tcPr>
                <w:p w14:paraId="581BFB44">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szCs w:val="21"/>
                      <w:lang w:val="en-US" w:eastAsia="zh-CN"/>
                    </w:rPr>
                  </w:pPr>
                  <w:r>
                    <w:rPr>
                      <w:rFonts w:hint="eastAsia" w:eastAsia="仿宋"/>
                      <w:color w:val="FF0000"/>
                      <w:szCs w:val="21"/>
                      <w:lang w:val="en-US" w:eastAsia="zh-CN"/>
                    </w:rPr>
                    <w:t>成品堆场</w:t>
                  </w:r>
                </w:p>
              </w:tc>
              <w:tc>
                <w:tcPr>
                  <w:tcW w:w="967" w:type="dxa"/>
                  <w:vMerge w:val="continue"/>
                  <w:noWrap w:val="0"/>
                  <w:vAlign w:val="center"/>
                </w:tcPr>
                <w:p w14:paraId="5EB77A1C">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2216" w:type="dxa"/>
                  <w:vMerge w:val="continue"/>
                  <w:noWrap w:val="0"/>
                  <w:vAlign w:val="center"/>
                </w:tcPr>
                <w:p w14:paraId="4CD7A7B6">
                  <w:pPr>
                    <w:keepNext w:val="0"/>
                    <w:keepLines w:val="0"/>
                    <w:pageBreakBefore w:val="0"/>
                    <w:kinsoku/>
                    <w:wordWrap/>
                    <w:overflowPunct/>
                    <w:topLinePunct w:val="0"/>
                    <w:autoSpaceDE/>
                    <w:autoSpaceDN/>
                    <w:bidi w:val="0"/>
                    <w:adjustRightInd w:val="0"/>
                    <w:snapToGrid w:val="0"/>
                    <w:jc w:val="center"/>
                    <w:textAlignment w:val="auto"/>
                    <w:rPr>
                      <w:rFonts w:eastAsia="仿宋"/>
                      <w:color w:val="FF0000"/>
                      <w:kern w:val="0"/>
                      <w:szCs w:val="21"/>
                    </w:rPr>
                  </w:pPr>
                </w:p>
              </w:tc>
              <w:tc>
                <w:tcPr>
                  <w:tcW w:w="1638" w:type="dxa"/>
                  <w:vMerge w:val="continue"/>
                  <w:noWrap w:val="0"/>
                  <w:vAlign w:val="center"/>
                </w:tcPr>
                <w:p w14:paraId="0F90C953">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1240" w:type="dxa"/>
                  <w:noWrap w:val="0"/>
                  <w:vAlign w:val="center"/>
                </w:tcPr>
                <w:p w14:paraId="17A671F1">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1.36</w:t>
                  </w:r>
                </w:p>
              </w:tc>
            </w:tr>
            <w:tr w14:paraId="6B273C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1206" w:type="dxa"/>
                  <w:vMerge w:val="restart"/>
                  <w:noWrap w:val="0"/>
                  <w:vAlign w:val="center"/>
                </w:tcPr>
                <w:p w14:paraId="2282D273">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szCs w:val="21"/>
                      <w:lang w:val="en-US" w:eastAsia="zh-CN"/>
                    </w:rPr>
                  </w:pPr>
                  <w:r>
                    <w:rPr>
                      <w:rFonts w:hint="eastAsia" w:eastAsia="仿宋"/>
                      <w:color w:val="FF0000"/>
                      <w:szCs w:val="21"/>
                      <w:lang w:val="en-US" w:eastAsia="zh-CN"/>
                    </w:rPr>
                    <w:t>爆破废气</w:t>
                  </w:r>
                </w:p>
              </w:tc>
              <w:tc>
                <w:tcPr>
                  <w:tcW w:w="967" w:type="dxa"/>
                  <w:vMerge w:val="continue"/>
                  <w:noWrap w:val="0"/>
                  <w:vAlign w:val="center"/>
                </w:tcPr>
                <w:p w14:paraId="4AD86768">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2216" w:type="dxa"/>
                  <w:vMerge w:val="continue"/>
                  <w:noWrap w:val="0"/>
                  <w:vAlign w:val="center"/>
                </w:tcPr>
                <w:p w14:paraId="5C400FD1">
                  <w:pPr>
                    <w:keepNext w:val="0"/>
                    <w:keepLines w:val="0"/>
                    <w:pageBreakBefore w:val="0"/>
                    <w:kinsoku/>
                    <w:wordWrap/>
                    <w:overflowPunct/>
                    <w:topLinePunct w:val="0"/>
                    <w:autoSpaceDE/>
                    <w:autoSpaceDN/>
                    <w:bidi w:val="0"/>
                    <w:adjustRightInd w:val="0"/>
                    <w:snapToGrid w:val="0"/>
                    <w:jc w:val="center"/>
                    <w:textAlignment w:val="auto"/>
                    <w:rPr>
                      <w:rFonts w:eastAsia="仿宋"/>
                      <w:color w:val="FF0000"/>
                      <w:kern w:val="0"/>
                      <w:szCs w:val="21"/>
                    </w:rPr>
                  </w:pPr>
                </w:p>
              </w:tc>
              <w:tc>
                <w:tcPr>
                  <w:tcW w:w="1638" w:type="dxa"/>
                  <w:vMerge w:val="continue"/>
                  <w:noWrap w:val="0"/>
                  <w:vAlign w:val="center"/>
                </w:tcPr>
                <w:p w14:paraId="2218DB80">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1240" w:type="dxa"/>
                  <w:noWrap w:val="0"/>
                  <w:vAlign w:val="center"/>
                </w:tcPr>
                <w:p w14:paraId="6D11E821">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1.08</w:t>
                  </w:r>
                </w:p>
              </w:tc>
            </w:tr>
            <w:tr w14:paraId="0263AA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1206" w:type="dxa"/>
                  <w:vMerge w:val="continue"/>
                  <w:noWrap w:val="0"/>
                  <w:vAlign w:val="center"/>
                </w:tcPr>
                <w:p w14:paraId="6D34D1B3">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仿宋"/>
                      <w:color w:val="FF0000"/>
                      <w:szCs w:val="21"/>
                      <w:lang w:val="en-US" w:eastAsia="zh-CN"/>
                    </w:rPr>
                  </w:pPr>
                </w:p>
              </w:tc>
              <w:tc>
                <w:tcPr>
                  <w:tcW w:w="967" w:type="dxa"/>
                  <w:noWrap w:val="0"/>
                  <w:vAlign w:val="center"/>
                </w:tcPr>
                <w:p w14:paraId="0AD2938B">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NOx</w:t>
                  </w:r>
                </w:p>
              </w:tc>
              <w:tc>
                <w:tcPr>
                  <w:tcW w:w="2216" w:type="dxa"/>
                  <w:vMerge w:val="continue"/>
                  <w:noWrap w:val="0"/>
                  <w:vAlign w:val="center"/>
                </w:tcPr>
                <w:p w14:paraId="4ABF6168">
                  <w:pPr>
                    <w:keepNext w:val="0"/>
                    <w:keepLines w:val="0"/>
                    <w:pageBreakBefore w:val="0"/>
                    <w:kinsoku/>
                    <w:wordWrap/>
                    <w:overflowPunct/>
                    <w:topLinePunct w:val="0"/>
                    <w:autoSpaceDE/>
                    <w:autoSpaceDN/>
                    <w:bidi w:val="0"/>
                    <w:adjustRightInd w:val="0"/>
                    <w:snapToGrid w:val="0"/>
                    <w:jc w:val="center"/>
                    <w:textAlignment w:val="auto"/>
                    <w:rPr>
                      <w:rFonts w:eastAsia="仿宋"/>
                      <w:color w:val="FF0000"/>
                      <w:kern w:val="0"/>
                      <w:szCs w:val="21"/>
                    </w:rPr>
                  </w:pPr>
                </w:p>
              </w:tc>
              <w:tc>
                <w:tcPr>
                  <w:tcW w:w="1638" w:type="dxa"/>
                  <w:noWrap w:val="0"/>
                  <w:vAlign w:val="center"/>
                </w:tcPr>
                <w:p w14:paraId="067BA1DB">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0.12</w:t>
                  </w:r>
                </w:p>
              </w:tc>
              <w:tc>
                <w:tcPr>
                  <w:tcW w:w="1240" w:type="dxa"/>
                  <w:noWrap w:val="0"/>
                  <w:vAlign w:val="center"/>
                </w:tcPr>
                <w:p w14:paraId="04E50CA7">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0.16</w:t>
                  </w:r>
                </w:p>
              </w:tc>
            </w:tr>
            <w:tr w14:paraId="449861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1206" w:type="dxa"/>
                  <w:vMerge w:val="continue"/>
                  <w:noWrap w:val="0"/>
                  <w:vAlign w:val="center"/>
                </w:tcPr>
                <w:p w14:paraId="171C9DBC">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仿宋"/>
                      <w:color w:val="FF0000"/>
                      <w:szCs w:val="21"/>
                      <w:lang w:val="en-US" w:eastAsia="zh-CN"/>
                    </w:rPr>
                  </w:pPr>
                </w:p>
              </w:tc>
              <w:tc>
                <w:tcPr>
                  <w:tcW w:w="967" w:type="dxa"/>
                  <w:noWrap w:val="0"/>
                  <w:vAlign w:val="center"/>
                </w:tcPr>
                <w:p w14:paraId="568B2F35">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CO</w:t>
                  </w:r>
                </w:p>
              </w:tc>
              <w:tc>
                <w:tcPr>
                  <w:tcW w:w="2216" w:type="dxa"/>
                  <w:vMerge w:val="continue"/>
                  <w:noWrap w:val="0"/>
                  <w:vAlign w:val="center"/>
                </w:tcPr>
                <w:p w14:paraId="6779BCB0">
                  <w:pPr>
                    <w:keepNext w:val="0"/>
                    <w:keepLines w:val="0"/>
                    <w:pageBreakBefore w:val="0"/>
                    <w:kinsoku/>
                    <w:wordWrap/>
                    <w:overflowPunct/>
                    <w:topLinePunct w:val="0"/>
                    <w:autoSpaceDE/>
                    <w:autoSpaceDN/>
                    <w:bidi w:val="0"/>
                    <w:adjustRightInd w:val="0"/>
                    <w:snapToGrid w:val="0"/>
                    <w:jc w:val="center"/>
                    <w:textAlignment w:val="auto"/>
                    <w:rPr>
                      <w:rFonts w:eastAsia="仿宋"/>
                      <w:color w:val="FF0000"/>
                      <w:kern w:val="0"/>
                      <w:szCs w:val="21"/>
                    </w:rPr>
                  </w:pPr>
                </w:p>
              </w:tc>
              <w:tc>
                <w:tcPr>
                  <w:tcW w:w="1638" w:type="dxa"/>
                  <w:noWrap w:val="0"/>
                  <w:vAlign w:val="center"/>
                </w:tcPr>
                <w:p w14:paraId="1B16E559">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w:t>
                  </w:r>
                </w:p>
              </w:tc>
              <w:tc>
                <w:tcPr>
                  <w:tcW w:w="1240" w:type="dxa"/>
                  <w:noWrap w:val="0"/>
                  <w:vAlign w:val="center"/>
                </w:tcPr>
                <w:p w14:paraId="38ABD3E0">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0.67</w:t>
                  </w:r>
                </w:p>
              </w:tc>
            </w:tr>
            <w:tr w14:paraId="6D2883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1206" w:type="dxa"/>
                  <w:vMerge w:val="restart"/>
                  <w:noWrap w:val="0"/>
                  <w:vAlign w:val="center"/>
                </w:tcPr>
                <w:p w14:paraId="7FC11523">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r>
                    <w:rPr>
                      <w:rFonts w:eastAsia="仿宋"/>
                      <w:color w:val="FF0000"/>
                      <w:kern w:val="0"/>
                      <w:szCs w:val="21"/>
                    </w:rPr>
                    <w:t>无组织排放总计</w:t>
                  </w:r>
                </w:p>
              </w:tc>
              <w:tc>
                <w:tcPr>
                  <w:tcW w:w="4821" w:type="dxa"/>
                  <w:gridSpan w:val="3"/>
                  <w:noWrap w:val="0"/>
                  <w:vAlign w:val="center"/>
                </w:tcPr>
                <w:p w14:paraId="0F98EF05">
                  <w:pPr>
                    <w:keepNext w:val="0"/>
                    <w:keepLines w:val="0"/>
                    <w:pageBreakBefore w:val="0"/>
                    <w:kinsoku/>
                    <w:wordWrap/>
                    <w:overflowPunct/>
                    <w:topLinePunct w:val="0"/>
                    <w:autoSpaceDE/>
                    <w:autoSpaceDN/>
                    <w:bidi w:val="0"/>
                    <w:adjustRightInd w:val="0"/>
                    <w:snapToGrid w:val="0"/>
                    <w:jc w:val="center"/>
                    <w:textAlignment w:val="auto"/>
                    <w:rPr>
                      <w:rFonts w:eastAsia="仿宋"/>
                      <w:color w:val="FF0000"/>
                      <w:kern w:val="0"/>
                      <w:szCs w:val="21"/>
                    </w:rPr>
                  </w:pPr>
                  <w:r>
                    <w:rPr>
                      <w:rFonts w:hint="eastAsia" w:eastAsia="仿宋"/>
                      <w:color w:val="FF0000"/>
                      <w:kern w:val="0"/>
                    </w:rPr>
                    <w:t>颗粒物</w:t>
                  </w:r>
                </w:p>
              </w:tc>
              <w:tc>
                <w:tcPr>
                  <w:tcW w:w="1240" w:type="dxa"/>
                  <w:noWrap w:val="0"/>
                  <w:vAlign w:val="center"/>
                </w:tcPr>
                <w:p w14:paraId="3373DDDD">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color w:val="FF0000"/>
                      <w:kern w:val="0"/>
                      <w:szCs w:val="21"/>
                      <w:lang w:val="en-US" w:eastAsia="zh-CN"/>
                    </w:rPr>
                  </w:pPr>
                  <w:r>
                    <w:rPr>
                      <w:rFonts w:hint="eastAsia" w:eastAsia="仿宋"/>
                      <w:color w:val="FF0000"/>
                      <w:kern w:val="0"/>
                      <w:szCs w:val="21"/>
                      <w:lang w:val="en-US" w:eastAsia="zh-CN"/>
                    </w:rPr>
                    <w:t>17.63</w:t>
                  </w:r>
                </w:p>
              </w:tc>
            </w:tr>
            <w:tr w14:paraId="55BA58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1206" w:type="dxa"/>
                  <w:vMerge w:val="continue"/>
                  <w:noWrap w:val="0"/>
                  <w:vAlign w:val="center"/>
                </w:tcPr>
                <w:p w14:paraId="348A444C">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4821" w:type="dxa"/>
                  <w:gridSpan w:val="3"/>
                  <w:noWrap w:val="0"/>
                  <w:vAlign w:val="center"/>
                </w:tcPr>
                <w:p w14:paraId="05577C77">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仿宋"/>
                      <w:color w:val="FF0000"/>
                      <w:kern w:val="0"/>
                    </w:rPr>
                  </w:pPr>
                  <w:r>
                    <w:rPr>
                      <w:rFonts w:hint="eastAsia" w:eastAsia="仿宋"/>
                      <w:color w:val="FF0000"/>
                      <w:kern w:val="0"/>
                      <w:szCs w:val="21"/>
                      <w:lang w:val="en-US" w:eastAsia="zh-CN"/>
                    </w:rPr>
                    <w:t>NOx</w:t>
                  </w:r>
                </w:p>
              </w:tc>
              <w:tc>
                <w:tcPr>
                  <w:tcW w:w="1240" w:type="dxa"/>
                  <w:noWrap w:val="0"/>
                  <w:vAlign w:val="center"/>
                </w:tcPr>
                <w:p w14:paraId="67FAA9A9">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仿宋"/>
                      <w:color w:val="FF0000"/>
                      <w:kern w:val="0"/>
                      <w:szCs w:val="21"/>
                      <w:lang w:val="en-US" w:eastAsia="zh-CN"/>
                    </w:rPr>
                  </w:pPr>
                  <w:r>
                    <w:rPr>
                      <w:rFonts w:hint="eastAsia" w:eastAsia="仿宋"/>
                      <w:color w:val="FF0000"/>
                      <w:kern w:val="0"/>
                      <w:szCs w:val="21"/>
                      <w:lang w:val="en-US" w:eastAsia="zh-CN"/>
                    </w:rPr>
                    <w:t>0.16</w:t>
                  </w:r>
                </w:p>
              </w:tc>
            </w:tr>
            <w:tr w14:paraId="6B8E0E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1206" w:type="dxa"/>
                  <w:vMerge w:val="continue"/>
                  <w:noWrap w:val="0"/>
                  <w:vAlign w:val="center"/>
                </w:tcPr>
                <w:p w14:paraId="3749AEBC">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kern w:val="0"/>
                      <w:szCs w:val="21"/>
                    </w:rPr>
                  </w:pPr>
                </w:p>
              </w:tc>
              <w:tc>
                <w:tcPr>
                  <w:tcW w:w="4821" w:type="dxa"/>
                  <w:gridSpan w:val="3"/>
                  <w:noWrap w:val="0"/>
                  <w:vAlign w:val="center"/>
                </w:tcPr>
                <w:p w14:paraId="1DEF118C">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仿宋"/>
                      <w:color w:val="FF0000"/>
                      <w:kern w:val="0"/>
                    </w:rPr>
                  </w:pPr>
                  <w:r>
                    <w:rPr>
                      <w:rFonts w:hint="eastAsia" w:eastAsia="仿宋"/>
                      <w:color w:val="FF0000"/>
                      <w:kern w:val="0"/>
                      <w:szCs w:val="21"/>
                      <w:lang w:val="en-US" w:eastAsia="zh-CN"/>
                    </w:rPr>
                    <w:t>CO</w:t>
                  </w:r>
                </w:p>
              </w:tc>
              <w:tc>
                <w:tcPr>
                  <w:tcW w:w="1240" w:type="dxa"/>
                  <w:noWrap w:val="0"/>
                  <w:vAlign w:val="center"/>
                </w:tcPr>
                <w:p w14:paraId="1D2CB815">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仿宋"/>
                      <w:color w:val="FF0000"/>
                      <w:kern w:val="0"/>
                      <w:szCs w:val="21"/>
                      <w:lang w:val="en-US" w:eastAsia="zh-CN"/>
                    </w:rPr>
                  </w:pPr>
                  <w:r>
                    <w:rPr>
                      <w:rFonts w:hint="eastAsia" w:eastAsia="仿宋"/>
                      <w:color w:val="FF0000"/>
                      <w:kern w:val="0"/>
                      <w:szCs w:val="21"/>
                      <w:lang w:val="en-US" w:eastAsia="zh-CN"/>
                    </w:rPr>
                    <w:t>0.67</w:t>
                  </w:r>
                </w:p>
              </w:tc>
            </w:tr>
          </w:tbl>
          <w:p w14:paraId="1B16044E">
            <w:pPr>
              <w:adjustRightInd w:val="0"/>
              <w:snapToGrid w:val="0"/>
              <w:spacing w:before="120" w:beforeLines="50" w:line="360" w:lineRule="auto"/>
              <w:ind w:firstLine="482"/>
              <w:rPr>
                <w:rFonts w:hint="default" w:ascii="Times New Roman" w:hAnsi="Times New Roman" w:eastAsia="仿宋" w:cs="Times New Roman"/>
                <w:color w:val="FF0000"/>
                <w:sz w:val="24"/>
                <w:lang w:val="ru-RU"/>
              </w:rPr>
            </w:pPr>
            <w:r>
              <w:rPr>
                <w:rFonts w:hint="default" w:ascii="Times New Roman" w:hAnsi="Times New Roman" w:eastAsia="仿宋" w:cs="Times New Roman"/>
                <w:color w:val="FF0000"/>
                <w:sz w:val="24"/>
                <w:lang w:val="ru-RU"/>
              </w:rPr>
              <w:t>⑸大气污染物年排放量核算</w:t>
            </w:r>
          </w:p>
          <w:p w14:paraId="3BBEF36A">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 w:cs="Times New Roman"/>
                <w:b/>
                <w:bCs/>
                <w:color w:val="FF0000"/>
                <w:szCs w:val="21"/>
                <w:lang w:val="ru-RU"/>
              </w:rPr>
            </w:pPr>
            <w:r>
              <w:rPr>
                <w:rFonts w:ascii="Times New Roman" w:hAnsi="Times New Roman" w:eastAsia="仿宋" w:cs="Times New Roman"/>
                <w:b/>
                <w:bCs/>
                <w:color w:val="FF0000"/>
                <w:szCs w:val="21"/>
              </w:rPr>
              <w:t>表</w:t>
            </w:r>
            <w:r>
              <w:rPr>
                <w:rFonts w:hint="eastAsia" w:eastAsia="仿宋" w:cs="Times New Roman"/>
                <w:b/>
                <w:bCs/>
                <w:color w:val="FF0000"/>
                <w:szCs w:val="21"/>
                <w:lang w:val="en-US" w:eastAsia="zh-CN"/>
              </w:rPr>
              <w:t>40</w:t>
            </w:r>
            <w:r>
              <w:rPr>
                <w:rFonts w:ascii="Times New Roman" w:hAnsi="Times New Roman" w:eastAsia="仿宋" w:cs="Times New Roman"/>
                <w:b/>
                <w:bCs/>
                <w:color w:val="FF0000"/>
                <w:szCs w:val="21"/>
                <w:lang w:val="ru-RU"/>
              </w:rPr>
              <w:t xml:space="preserve"> </w:t>
            </w:r>
            <w:r>
              <w:rPr>
                <w:rFonts w:hint="eastAsia" w:eastAsia="仿宋" w:cs="Times New Roman"/>
                <w:b/>
                <w:bCs/>
                <w:color w:val="FF0000"/>
                <w:szCs w:val="21"/>
                <w:lang w:val="en-US" w:eastAsia="zh-CN"/>
              </w:rPr>
              <w:t xml:space="preserve"> </w:t>
            </w:r>
            <w:r>
              <w:rPr>
                <w:rFonts w:ascii="Times New Roman" w:hAnsi="Times New Roman" w:eastAsia="仿宋" w:cs="Times New Roman"/>
                <w:b/>
                <w:bCs/>
                <w:color w:val="FF0000"/>
                <w:szCs w:val="21"/>
              </w:rPr>
              <w:t>大气污染物年排放量核算表</w:t>
            </w:r>
          </w:p>
          <w:tbl>
            <w:tblPr>
              <w:tblStyle w:val="23"/>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421"/>
              <w:gridCol w:w="1892"/>
              <w:gridCol w:w="3954"/>
            </w:tblGrid>
            <w:tr w14:paraId="0B9F85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977" w:type="pct"/>
                  <w:noWrap w:val="0"/>
                  <w:vAlign w:val="center"/>
                </w:tcPr>
                <w:p w14:paraId="5E597D34">
                  <w:pPr>
                    <w:pStyle w:val="4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eastAsia="仿宋"/>
                      <w:color w:val="FF0000"/>
                      <w:lang w:val="ru-RU"/>
                    </w:rPr>
                  </w:pPr>
                  <w:r>
                    <w:rPr>
                      <w:rFonts w:eastAsia="仿宋"/>
                      <w:color w:val="FF0000"/>
                      <w:lang w:val="ru-RU"/>
                    </w:rPr>
                    <w:t>序号</w:t>
                  </w:r>
                </w:p>
              </w:tc>
              <w:tc>
                <w:tcPr>
                  <w:tcW w:w="1301" w:type="pct"/>
                  <w:noWrap w:val="0"/>
                  <w:vAlign w:val="center"/>
                </w:tcPr>
                <w:p w14:paraId="59BEA21B">
                  <w:pPr>
                    <w:pStyle w:val="4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eastAsia="仿宋"/>
                      <w:color w:val="FF0000"/>
                      <w:lang w:val="ru-RU"/>
                    </w:rPr>
                  </w:pPr>
                  <w:r>
                    <w:rPr>
                      <w:rFonts w:eastAsia="仿宋"/>
                      <w:color w:val="FF0000"/>
                      <w:lang w:val="ru-RU"/>
                    </w:rPr>
                    <w:t>污染物</w:t>
                  </w:r>
                </w:p>
              </w:tc>
              <w:tc>
                <w:tcPr>
                  <w:tcW w:w="2720" w:type="pct"/>
                  <w:noWrap w:val="0"/>
                  <w:vAlign w:val="center"/>
                </w:tcPr>
                <w:p w14:paraId="275DF08A">
                  <w:pPr>
                    <w:pStyle w:val="4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eastAsia="仿宋"/>
                      <w:color w:val="FF0000"/>
                      <w:lang w:val="ru-RU"/>
                    </w:rPr>
                  </w:pPr>
                  <w:r>
                    <w:rPr>
                      <w:rFonts w:eastAsia="仿宋"/>
                      <w:color w:val="FF0000"/>
                      <w:lang w:val="ru-RU"/>
                    </w:rPr>
                    <w:t>年排放量/（t/a）</w:t>
                  </w:r>
                </w:p>
              </w:tc>
            </w:tr>
            <w:tr w14:paraId="74D661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977" w:type="pct"/>
                  <w:noWrap w:val="0"/>
                  <w:vAlign w:val="center"/>
                </w:tcPr>
                <w:p w14:paraId="2DDED6BD">
                  <w:pPr>
                    <w:pStyle w:val="4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eastAsia="仿宋"/>
                      <w:color w:val="FF0000"/>
                      <w:lang w:val="ru-RU"/>
                    </w:rPr>
                  </w:pPr>
                  <w:r>
                    <w:rPr>
                      <w:rFonts w:eastAsia="仿宋"/>
                      <w:color w:val="FF0000"/>
                      <w:lang w:val="ru-RU"/>
                    </w:rPr>
                    <w:t>1</w:t>
                  </w:r>
                </w:p>
              </w:tc>
              <w:tc>
                <w:tcPr>
                  <w:tcW w:w="1301" w:type="pct"/>
                  <w:noWrap w:val="0"/>
                  <w:vAlign w:val="center"/>
                </w:tcPr>
                <w:p w14:paraId="06FDD0AE">
                  <w:pPr>
                    <w:pStyle w:val="4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eastAsia="仿宋"/>
                      <w:color w:val="FF0000"/>
                      <w:lang w:val="ru-RU"/>
                    </w:rPr>
                  </w:pPr>
                  <w:r>
                    <w:rPr>
                      <w:rFonts w:eastAsia="仿宋"/>
                      <w:color w:val="FF0000"/>
                    </w:rPr>
                    <w:t>颗粒物</w:t>
                  </w:r>
                </w:p>
              </w:tc>
              <w:tc>
                <w:tcPr>
                  <w:tcW w:w="2720" w:type="pct"/>
                  <w:noWrap w:val="0"/>
                  <w:vAlign w:val="center"/>
                </w:tcPr>
                <w:p w14:paraId="65C9A62F">
                  <w:pPr>
                    <w:pStyle w:val="4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eastAsia="仿宋"/>
                      <w:color w:val="FF0000"/>
                      <w:lang w:val="en-US" w:eastAsia="zh-CN"/>
                    </w:rPr>
                  </w:pPr>
                  <w:r>
                    <w:rPr>
                      <w:rFonts w:hint="eastAsia" w:eastAsia="仿宋"/>
                      <w:color w:val="FF0000"/>
                      <w:lang w:val="en-US" w:eastAsia="zh-CN"/>
                    </w:rPr>
                    <w:t>20.63</w:t>
                  </w:r>
                </w:p>
              </w:tc>
            </w:tr>
            <w:tr w14:paraId="23FED0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977" w:type="pct"/>
                  <w:noWrap w:val="0"/>
                  <w:vAlign w:val="center"/>
                </w:tcPr>
                <w:p w14:paraId="740FC417">
                  <w:pPr>
                    <w:pStyle w:val="4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eastAsia="仿宋"/>
                      <w:color w:val="FF0000"/>
                      <w:lang w:val="en-US" w:eastAsia="zh-CN"/>
                    </w:rPr>
                  </w:pPr>
                  <w:r>
                    <w:rPr>
                      <w:rFonts w:hint="eastAsia" w:eastAsia="仿宋"/>
                      <w:color w:val="FF0000"/>
                      <w:lang w:val="en-US" w:eastAsia="zh-CN"/>
                    </w:rPr>
                    <w:t>2</w:t>
                  </w:r>
                </w:p>
              </w:tc>
              <w:tc>
                <w:tcPr>
                  <w:tcW w:w="1892" w:type="dxa"/>
                  <w:noWrap w:val="0"/>
                  <w:vAlign w:val="center"/>
                </w:tcPr>
                <w:p w14:paraId="05C2F7D6">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rPr>
                  </w:pPr>
                  <w:r>
                    <w:rPr>
                      <w:rFonts w:hint="eastAsia" w:eastAsia="仿宋"/>
                      <w:color w:val="FF0000"/>
                      <w:kern w:val="0"/>
                      <w:szCs w:val="21"/>
                      <w:lang w:val="en-US" w:eastAsia="zh-CN"/>
                    </w:rPr>
                    <w:t>NOx</w:t>
                  </w:r>
                </w:p>
              </w:tc>
              <w:tc>
                <w:tcPr>
                  <w:tcW w:w="3954" w:type="dxa"/>
                  <w:noWrap w:val="0"/>
                  <w:vAlign w:val="center"/>
                </w:tcPr>
                <w:p w14:paraId="34EFE5C5">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仿宋"/>
                      <w:color w:val="FF0000"/>
                      <w:lang w:val="en-US" w:eastAsia="zh-CN"/>
                    </w:rPr>
                  </w:pPr>
                  <w:r>
                    <w:rPr>
                      <w:rFonts w:hint="eastAsia" w:eastAsia="仿宋"/>
                      <w:color w:val="FF0000"/>
                      <w:kern w:val="0"/>
                      <w:szCs w:val="21"/>
                      <w:lang w:val="en-US" w:eastAsia="zh-CN"/>
                    </w:rPr>
                    <w:t>0.16</w:t>
                  </w:r>
                </w:p>
              </w:tc>
            </w:tr>
            <w:tr w14:paraId="253A8E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977" w:type="pct"/>
                  <w:noWrap w:val="0"/>
                  <w:vAlign w:val="center"/>
                </w:tcPr>
                <w:p w14:paraId="49F884EA">
                  <w:pPr>
                    <w:pStyle w:val="4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eastAsia="仿宋"/>
                      <w:color w:val="FF0000"/>
                      <w:lang w:val="en-US" w:eastAsia="zh-CN"/>
                    </w:rPr>
                  </w:pPr>
                  <w:r>
                    <w:rPr>
                      <w:rFonts w:hint="eastAsia" w:eastAsia="仿宋"/>
                      <w:color w:val="FF0000"/>
                      <w:lang w:val="en-US" w:eastAsia="zh-CN"/>
                    </w:rPr>
                    <w:t>3</w:t>
                  </w:r>
                </w:p>
              </w:tc>
              <w:tc>
                <w:tcPr>
                  <w:tcW w:w="1892" w:type="dxa"/>
                  <w:noWrap w:val="0"/>
                  <w:vAlign w:val="center"/>
                </w:tcPr>
                <w:p w14:paraId="7DFDE899">
                  <w:pPr>
                    <w:keepNext w:val="0"/>
                    <w:keepLines w:val="0"/>
                    <w:pageBreakBefore w:val="0"/>
                    <w:widowControl/>
                    <w:kinsoku/>
                    <w:wordWrap/>
                    <w:overflowPunct/>
                    <w:topLinePunct w:val="0"/>
                    <w:autoSpaceDE/>
                    <w:autoSpaceDN/>
                    <w:bidi w:val="0"/>
                    <w:adjustRightInd w:val="0"/>
                    <w:snapToGrid w:val="0"/>
                    <w:jc w:val="center"/>
                    <w:textAlignment w:val="auto"/>
                    <w:rPr>
                      <w:rFonts w:eastAsia="仿宋"/>
                      <w:color w:val="FF0000"/>
                    </w:rPr>
                  </w:pPr>
                  <w:r>
                    <w:rPr>
                      <w:rFonts w:hint="eastAsia" w:eastAsia="仿宋"/>
                      <w:color w:val="FF0000"/>
                      <w:kern w:val="0"/>
                      <w:szCs w:val="21"/>
                      <w:lang w:val="en-US" w:eastAsia="zh-CN"/>
                    </w:rPr>
                    <w:t>CO</w:t>
                  </w:r>
                </w:p>
              </w:tc>
              <w:tc>
                <w:tcPr>
                  <w:tcW w:w="3954" w:type="dxa"/>
                  <w:noWrap w:val="0"/>
                  <w:vAlign w:val="center"/>
                </w:tcPr>
                <w:p w14:paraId="00B08A05">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仿宋"/>
                      <w:color w:val="FF0000"/>
                      <w:lang w:val="en-US" w:eastAsia="zh-CN"/>
                    </w:rPr>
                  </w:pPr>
                  <w:r>
                    <w:rPr>
                      <w:rFonts w:hint="eastAsia" w:eastAsia="仿宋"/>
                      <w:color w:val="FF0000"/>
                      <w:kern w:val="0"/>
                      <w:szCs w:val="21"/>
                      <w:lang w:val="en-US" w:eastAsia="zh-CN"/>
                    </w:rPr>
                    <w:t>0.67</w:t>
                  </w:r>
                </w:p>
              </w:tc>
            </w:tr>
          </w:tbl>
          <w:p w14:paraId="2799F3D5">
            <w:pPr>
              <w:keepNext w:val="0"/>
              <w:keepLines w:val="0"/>
              <w:pageBreakBefore w:val="0"/>
              <w:widowControl/>
              <w:suppressLineNumbers w:val="0"/>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2.1.</w:t>
            </w:r>
            <w:r>
              <w:rPr>
                <w:rFonts w:hint="eastAsia"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2废气环境影响分析</w:t>
            </w:r>
          </w:p>
          <w:p w14:paraId="3DFD5FCA">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微软雅黑"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微软雅黑" w:cs="Times New Roman"/>
                <w:b w:val="0"/>
                <w:bCs/>
                <w:color w:val="000000" w:themeColor="text1"/>
                <w:sz w:val="24"/>
                <w:highlight w:val="none"/>
                <w14:textFill>
                  <w14:solidFill>
                    <w14:schemeClr w14:val="tx1"/>
                  </w14:solidFill>
                </w14:textFill>
              </w:rPr>
              <w:t>⑴</w:t>
            </w:r>
            <w:r>
              <w:rPr>
                <w:rFonts w:hint="eastAsia" w:ascii="Times New Roman" w:hAnsi="Times New Roman" w:eastAsia="仿宋" w:cs="Times New Roman"/>
                <w:b w:val="0"/>
                <w:bCs/>
                <w:color w:val="000000" w:themeColor="text1"/>
                <w:sz w:val="24"/>
                <w:highlight w:val="none"/>
                <w:lang w:val="en-US" w:eastAsia="zh-CN"/>
                <w14:textFill>
                  <w14:solidFill>
                    <w14:schemeClr w14:val="tx1"/>
                  </w14:solidFill>
                </w14:textFill>
              </w:rPr>
              <w:t>无组织废气环境影响分析</w:t>
            </w:r>
          </w:p>
          <w:p w14:paraId="148BFF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14:textFill>
                  <w14:solidFill>
                    <w14:schemeClr w14:val="tx1"/>
                  </w14:solidFill>
                </w14:textFill>
              </w:rPr>
              <w:t>①</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剥离</w:t>
            </w:r>
            <w:r>
              <w:rPr>
                <w:rFonts w:hint="eastAsia" w:eastAsia="仿宋" w:cs="Times New Roman"/>
                <w:color w:val="000000" w:themeColor="text1"/>
                <w:sz w:val="24"/>
                <w:highlight w:val="none"/>
                <w:lang w:val="en-US" w:eastAsia="zh-CN"/>
                <w14:textFill>
                  <w14:solidFill>
                    <w14:schemeClr w14:val="tx1"/>
                  </w14:solidFill>
                </w14:textFill>
              </w:rPr>
              <w:t>清表</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粉尘</w:t>
            </w:r>
          </w:p>
          <w:p w14:paraId="113BA6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本项目在表土剥离过程中会产生一定量的粉尘，采用</w:t>
            </w:r>
            <w:r>
              <w:rPr>
                <w:rFonts w:hint="eastAsia" w:eastAsia="仿宋" w:cs="Times New Roman"/>
                <w:color w:val="000000" w:themeColor="text1"/>
                <w:sz w:val="24"/>
                <w:highlight w:val="none"/>
                <w:lang w:val="en-US" w:eastAsia="zh-CN"/>
                <w14:textFill>
                  <w14:solidFill>
                    <w14:schemeClr w14:val="tx1"/>
                  </w14:solidFill>
                </w14:textFill>
              </w:rPr>
              <w:t>洒水车抑尘</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，粉尘排放量为</w:t>
            </w:r>
            <w:r>
              <w:rPr>
                <w:rFonts w:hint="eastAsia" w:eastAsia="仿宋" w:cs="Times New Roman"/>
                <w:color w:val="000000" w:themeColor="text1"/>
                <w:sz w:val="24"/>
                <w:highlight w:val="none"/>
                <w:lang w:val="en-US" w:eastAsia="zh-CN"/>
                <w14:textFill>
                  <w14:solidFill>
                    <w14:schemeClr w14:val="tx1"/>
                  </w14:solidFill>
                </w14:textFill>
              </w:rPr>
              <w:t>5.4</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w:t>
            </w:r>
          </w:p>
          <w:p w14:paraId="774217D7">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②</w:t>
            </w:r>
            <w:r>
              <w:rPr>
                <w:rFonts w:hint="eastAsia" w:eastAsia="仿宋" w:cs="Times New Roman"/>
                <w:color w:val="000000" w:themeColor="text1"/>
                <w:sz w:val="24"/>
                <w:highlight w:val="none"/>
                <w:lang w:val="en-US" w:eastAsia="zh-CN"/>
                <w14:textFill>
                  <w14:solidFill>
                    <w14:schemeClr w14:val="tx1"/>
                  </w14:solidFill>
                </w14:textFill>
              </w:rPr>
              <w:t>穿孔</w:t>
            </w:r>
            <w:r>
              <w:rPr>
                <w:rFonts w:hint="default" w:ascii="Times New Roman" w:hAnsi="Times New Roman" w:eastAsia="仿宋" w:cs="Times New Roman"/>
                <w:color w:val="000000" w:themeColor="text1"/>
                <w:sz w:val="24"/>
                <w:highlight w:val="none"/>
                <w14:textFill>
                  <w14:solidFill>
                    <w14:schemeClr w14:val="tx1"/>
                  </w14:solidFill>
                </w14:textFill>
              </w:rPr>
              <w:t>凿岩粉尘</w:t>
            </w:r>
          </w:p>
          <w:p w14:paraId="6E41ADA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14:textFill>
                  <w14:solidFill>
                    <w14:schemeClr w14:val="tx1"/>
                  </w14:solidFill>
                </w14:textFill>
              </w:rPr>
              <w:t>凿岩钻孔时，钻头撞击岩石会产生粉尘，</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采用</w:t>
            </w:r>
            <w:r>
              <w:rPr>
                <w:rFonts w:hint="eastAsia" w:eastAsia="仿宋" w:cs="Times New Roman"/>
                <w:color w:val="000000" w:themeColor="text1"/>
                <w:sz w:val="24"/>
                <w:highlight w:val="none"/>
                <w:lang w:val="en-US" w:eastAsia="zh-CN"/>
                <w14:textFill>
                  <w14:solidFill>
                    <w14:schemeClr w14:val="tx1"/>
                  </w14:solidFill>
                </w14:textFill>
              </w:rPr>
              <w:t>洒水车抑尘</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，粉尘排放量为</w:t>
            </w:r>
            <w:r>
              <w:rPr>
                <w:rFonts w:hint="eastAsia" w:eastAsia="仿宋" w:cs="Times New Roman"/>
                <w:color w:val="000000" w:themeColor="text1"/>
                <w:sz w:val="24"/>
                <w:highlight w:val="none"/>
                <w:lang w:val="en-US" w:eastAsia="zh-CN"/>
                <w14:textFill>
                  <w14:solidFill>
                    <w14:schemeClr w14:val="tx1"/>
                  </w14:solidFill>
                </w14:textFill>
              </w:rPr>
              <w:t>0.06</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w:t>
            </w:r>
          </w:p>
          <w:p w14:paraId="75C7B323">
            <w:pPr>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③</w:t>
            </w:r>
            <w:r>
              <w:rPr>
                <w:rFonts w:hint="default" w:ascii="Times New Roman" w:hAnsi="Times New Roman" w:eastAsia="仿宋" w:cs="Times New Roman"/>
                <w:color w:val="000000" w:themeColor="text1"/>
                <w:sz w:val="24"/>
                <w:highlight w:val="none"/>
                <w14:textFill>
                  <w14:solidFill>
                    <w14:schemeClr w14:val="tx1"/>
                  </w14:solidFill>
                </w14:textFill>
              </w:rPr>
              <w:t>爆破废气</w:t>
            </w:r>
          </w:p>
          <w:p w14:paraId="7B8166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14:textFill>
                  <w14:solidFill>
                    <w14:schemeClr w14:val="tx1"/>
                  </w14:solidFill>
                </w14:textFill>
              </w:rPr>
              <w:t>炸药爆炸过程中产生的大气污染物主要有CO、NO</w:t>
            </w:r>
            <w:r>
              <w:rPr>
                <w:rFonts w:hint="default" w:ascii="Times New Roman" w:hAnsi="Times New Roman" w:eastAsia="仿宋" w:cs="Times New Roman"/>
                <w:color w:val="000000" w:themeColor="text1"/>
                <w:sz w:val="24"/>
                <w:highlight w:val="none"/>
                <w:vertAlign w:val="subscript"/>
                <w14:textFill>
                  <w14:solidFill>
                    <w14:schemeClr w14:val="tx1"/>
                  </w14:solidFill>
                </w14:textFill>
              </w:rPr>
              <w:t>x</w:t>
            </w:r>
            <w:r>
              <w:rPr>
                <w:rFonts w:hint="default" w:ascii="Times New Roman" w:hAnsi="Times New Roman" w:eastAsia="仿宋" w:cs="Times New Roman"/>
                <w:color w:val="000000" w:themeColor="text1"/>
                <w:sz w:val="24"/>
                <w:highlight w:val="none"/>
                <w14:textFill>
                  <w14:solidFill>
                    <w14:schemeClr w14:val="tx1"/>
                  </w14:solidFill>
                </w14:textFill>
              </w:rPr>
              <w:t>和粉尘。</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由于工程为露天石料矿开采，空气流动性较好，受自然风流扩散影响，可造成采场采矿下风向的大气瞬时污染，这种瞬时污染随着时间推移，以及污染物在空气中不断扩散，其浓度也会逐渐降低。</w:t>
            </w:r>
          </w:p>
          <w:p w14:paraId="06EC9C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④液压锤</w:t>
            </w:r>
            <w:r>
              <w:rPr>
                <w:rFonts w:hint="eastAsia" w:eastAsia="仿宋" w:cs="Times New Roman"/>
                <w:color w:val="000000" w:themeColor="text1"/>
                <w:sz w:val="24"/>
                <w:highlight w:val="none"/>
                <w:lang w:val="en-US" w:eastAsia="zh-CN"/>
                <w14:textFill>
                  <w14:solidFill>
                    <w14:schemeClr w14:val="tx1"/>
                  </w14:solidFill>
                </w14:textFill>
              </w:rPr>
              <w:t>二次</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破碎粉尘</w:t>
            </w:r>
          </w:p>
          <w:p w14:paraId="424405A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pPr>
            <w:r>
              <w:rPr>
                <w:rFonts w:hint="eastAsia" w:eastAsia="仿宋" w:cs="Times New Roman"/>
                <w:color w:val="000000" w:themeColor="text1"/>
                <w:sz w:val="24"/>
                <w:highlight w:val="none"/>
                <w:lang w:val="en-US" w:eastAsia="zh-CN"/>
                <w14:textFill>
                  <w14:solidFill>
                    <w14:schemeClr w14:val="tx1"/>
                  </w14:solidFill>
                </w14:textFill>
              </w:rPr>
              <w:t>本项目</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开采爆破后难免产生个别大块矿石，这些大块矿石需要进行二次破碎处理，本项目采用</w:t>
            </w:r>
            <w:r>
              <w:rPr>
                <w:rFonts w:hint="eastAsia" w:eastAsia="仿宋" w:cs="Times New Roman"/>
                <w:color w:val="000000" w:themeColor="text1"/>
                <w:sz w:val="24"/>
                <w:highlight w:val="none"/>
                <w:lang w:val="en-US" w:eastAsia="zh-CN"/>
                <w14:textFill>
                  <w14:solidFill>
                    <w14:schemeClr w14:val="tx1"/>
                  </w14:solidFill>
                </w14:textFill>
              </w:rPr>
              <w:t>挖掘机</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液压锤对大块矿石进行二次破碎处理。破碎粉尘主要在液压锤锤破那一瞬间，粉尘产生量较小，采用雾炮机喷雾降尘，破碎粉尘排放量较小。</w:t>
            </w:r>
          </w:p>
          <w:p w14:paraId="21981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⑤铲装粉尘</w:t>
            </w:r>
          </w:p>
          <w:p w14:paraId="25BD47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eastAsia" w:eastAsia="仿宋" w:cs="Times New Roman"/>
                <w:color w:val="000000" w:themeColor="text1"/>
                <w:kern w:val="0"/>
                <w:sz w:val="24"/>
                <w:highlight w:val="none"/>
                <w:lang w:val="en-US" w:eastAsia="zh-CN"/>
                <w14:textFill>
                  <w14:solidFill>
                    <w14:schemeClr w14:val="tx1"/>
                  </w14:solidFill>
                </w14:textFill>
              </w:rPr>
              <w:t>本</w:t>
            </w:r>
            <w:r>
              <w:rPr>
                <w:rFonts w:hint="default" w:ascii="Times New Roman" w:hAnsi="Times New Roman" w:eastAsia="仿宋" w:cs="Times New Roman"/>
                <w:color w:val="000000" w:themeColor="text1"/>
                <w:kern w:val="0"/>
                <w:sz w:val="24"/>
                <w:highlight w:val="none"/>
                <w14:textFill>
                  <w14:solidFill>
                    <w14:schemeClr w14:val="tx1"/>
                  </w14:solidFill>
                </w14:textFill>
              </w:rPr>
              <w:t>项目矿山山体爆破后的石料</w:t>
            </w:r>
            <w:r>
              <w:rPr>
                <w:rFonts w:hint="eastAsia" w:eastAsia="仿宋" w:cs="Times New Roman"/>
                <w:color w:val="000000" w:themeColor="text1"/>
                <w:kern w:val="0"/>
                <w:sz w:val="24"/>
                <w:highlight w:val="none"/>
                <w:lang w:eastAsia="zh-CN"/>
                <w14:textFill>
                  <w14:solidFill>
                    <w14:schemeClr w14:val="tx1"/>
                  </w14:solidFill>
                </w14:textFill>
              </w:rPr>
              <w:t>、</w:t>
            </w:r>
            <w:r>
              <w:rPr>
                <w:rFonts w:hint="eastAsia" w:eastAsia="仿宋" w:cs="Times New Roman"/>
                <w:color w:val="000000" w:themeColor="text1"/>
                <w:kern w:val="0"/>
                <w:sz w:val="24"/>
                <w:highlight w:val="none"/>
                <w:lang w:val="en-US" w:eastAsia="zh-CN"/>
                <w14:textFill>
                  <w14:solidFill>
                    <w14:schemeClr w14:val="tx1"/>
                  </w14:solidFill>
                </w14:textFill>
              </w:rPr>
              <w:t>废石等</w:t>
            </w:r>
            <w:r>
              <w:rPr>
                <w:rFonts w:hint="default" w:ascii="Times New Roman" w:hAnsi="Times New Roman" w:eastAsia="仿宋" w:cs="Times New Roman"/>
                <w:color w:val="000000" w:themeColor="text1"/>
                <w:kern w:val="0"/>
                <w:sz w:val="24"/>
                <w:highlight w:val="none"/>
                <w14:textFill>
                  <w14:solidFill>
                    <w14:schemeClr w14:val="tx1"/>
                  </w14:solidFill>
                </w14:textFill>
              </w:rPr>
              <w:t>在装车时，需用铲车铲装</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，铲装过程将产生粉尘，</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铲装采用</w:t>
            </w:r>
            <w:r>
              <w:rPr>
                <w:rFonts w:hint="eastAsia" w:eastAsia="仿宋" w:cs="Times New Roman"/>
                <w:color w:val="000000" w:themeColor="text1"/>
                <w:sz w:val="24"/>
                <w:highlight w:val="none"/>
                <w:lang w:val="en-US" w:eastAsia="zh-CN"/>
                <w14:textFill>
                  <w14:solidFill>
                    <w14:schemeClr w14:val="tx1"/>
                  </w14:solidFill>
                </w14:textFill>
              </w:rPr>
              <w:t>雾炮机进行降尘</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，粉尘排放量为</w:t>
            </w:r>
            <w:r>
              <w:rPr>
                <w:rFonts w:hint="eastAsia" w:eastAsia="仿宋" w:cs="Times New Roman"/>
                <w:color w:val="000000" w:themeColor="text1"/>
                <w:sz w:val="24"/>
                <w:highlight w:val="none"/>
                <w:lang w:val="en-US" w:eastAsia="zh-CN"/>
                <w14:textFill>
                  <w14:solidFill>
                    <w14:schemeClr w14:val="tx1"/>
                  </w14:solidFill>
                </w14:textFill>
              </w:rPr>
              <w:t>2.6</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w:t>
            </w:r>
          </w:p>
          <w:p w14:paraId="102F6D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⑥运输扬尘</w:t>
            </w:r>
          </w:p>
          <w:p w14:paraId="60CED0F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本项目开采出的</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石料</w:t>
            </w:r>
            <w:r>
              <w:rPr>
                <w:rFonts w:hint="eastAsia" w:eastAsia="仿宋" w:cs="Times New Roman"/>
                <w:color w:val="000000" w:themeColor="text1"/>
                <w:sz w:val="24"/>
                <w:highlight w:val="none"/>
                <w:lang w:val="en-US" w:eastAsia="zh-CN"/>
                <w14:textFill>
                  <w14:solidFill>
                    <w14:schemeClr w14:val="tx1"/>
                  </w14:solidFill>
                </w14:textFill>
              </w:rPr>
              <w:t>、废石等</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需通过矿区内部道路运输，车辆行驶产生的扬尘，</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每天对矿区运输道路采取</w:t>
            </w:r>
            <w:r>
              <w:rPr>
                <w:rFonts w:hint="eastAsia" w:eastAsia="仿宋" w:cs="Times New Roman"/>
                <w:color w:val="000000" w:themeColor="text1"/>
                <w:sz w:val="24"/>
                <w:highlight w:val="none"/>
                <w:lang w:val="en-US" w:eastAsia="zh-CN"/>
                <w14:textFill>
                  <w14:solidFill>
                    <w14:schemeClr w14:val="tx1"/>
                  </w14:solidFill>
                </w14:textFill>
              </w:rPr>
              <w:t>洒水车</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洒水降尘，粉尘排放量为</w:t>
            </w:r>
            <w:r>
              <w:rPr>
                <w:rFonts w:hint="eastAsia" w:eastAsia="仿宋" w:cs="Times New Roman"/>
                <w:color w:val="000000" w:themeColor="text1"/>
                <w:sz w:val="24"/>
                <w:highlight w:val="none"/>
                <w:lang w:val="en-US" w:eastAsia="zh-CN"/>
                <w14:textFill>
                  <w14:solidFill>
                    <w14:schemeClr w14:val="tx1"/>
                  </w14:solidFill>
                </w14:textFill>
              </w:rPr>
              <w:t>6.1</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w:t>
            </w:r>
          </w:p>
          <w:p w14:paraId="615AFB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⑦排土场粉尘</w:t>
            </w:r>
          </w:p>
          <w:p w14:paraId="1C9D220A">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本项目开采过程中剥离表土和废石堆放过程中会产生扬尘，</w:t>
            </w: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采取防尘网苫盖和洒水降尘（洒水车），粉尘排放量为</w:t>
            </w:r>
            <w:r>
              <w:rPr>
                <w:rFonts w:hint="eastAsia" w:eastAsia="仿宋" w:cs="Times New Roman"/>
                <w:b w:val="0"/>
                <w:bCs/>
                <w:color w:val="000000" w:themeColor="text1"/>
                <w:sz w:val="24"/>
                <w:highlight w:val="none"/>
                <w:lang w:val="en-US" w:eastAsia="zh-CN"/>
                <w14:textFill>
                  <w14:solidFill>
                    <w14:schemeClr w14:val="tx1"/>
                  </w14:solidFill>
                </w14:textFill>
              </w:rPr>
              <w:t>0.27</w:t>
            </w: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t/a。</w:t>
            </w:r>
          </w:p>
          <w:p w14:paraId="1E709FF2">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⑧石料生产线投料、破碎、筛分粉尘</w:t>
            </w:r>
          </w:p>
          <w:p w14:paraId="0DD88B52">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b w:val="0"/>
                <w:bCs/>
                <w:color w:val="000000" w:themeColor="text1"/>
                <w:kern w:val="2"/>
                <w:sz w:val="24"/>
                <w:szCs w:val="24"/>
                <w:highlight w:val="none"/>
                <w:lang w:val="en-US" w:eastAsia="zh-CN" w:bidi="ar-SA"/>
                <w14:textFill>
                  <w14:solidFill>
                    <w14:schemeClr w14:val="tx1"/>
                  </w14:solidFill>
                </w14:textFill>
              </w:rPr>
              <w:t>本项目物料在</w:t>
            </w: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投料、破碎、筛分</w:t>
            </w:r>
            <w:r>
              <w:rPr>
                <w:rFonts w:hint="default" w:ascii="Times New Roman" w:hAnsi="Times New Roman" w:eastAsia="仿宋" w:cs="Times New Roman"/>
                <w:b w:val="0"/>
                <w:bCs/>
                <w:color w:val="000000" w:themeColor="text1"/>
                <w:kern w:val="2"/>
                <w:sz w:val="24"/>
                <w:szCs w:val="24"/>
                <w:highlight w:val="none"/>
                <w:lang w:val="en-US" w:eastAsia="zh-CN" w:bidi="ar-SA"/>
                <w14:textFill>
                  <w14:solidFill>
                    <w14:schemeClr w14:val="tx1"/>
                  </w14:solidFill>
                </w14:textFill>
              </w:rPr>
              <w:t>过程中会产生粉尘</w:t>
            </w:r>
            <w:r>
              <w:rPr>
                <w:rFonts w:hint="eastAsia" w:eastAsia="仿宋" w:cs="Times New Roman"/>
                <w:b w:val="0"/>
                <w:bCs/>
                <w:color w:val="000000" w:themeColor="text1"/>
                <w:kern w:val="2"/>
                <w:sz w:val="24"/>
                <w:szCs w:val="24"/>
                <w:highlight w:val="none"/>
                <w:lang w:val="en-US" w:eastAsia="zh-CN" w:bidi="ar-SA"/>
                <w14:textFill>
                  <w14:solidFill>
                    <w14:schemeClr w14:val="tx1"/>
                  </w14:solidFill>
                </w14:textFill>
              </w:rPr>
              <w:t>，生产线</w:t>
            </w:r>
            <w:r>
              <w:rPr>
                <w:rFonts w:hint="default" w:ascii="Times New Roman" w:hAnsi="Times New Roman" w:eastAsia="仿宋" w:cs="Times New Roman"/>
                <w:b w:val="0"/>
                <w:bCs/>
                <w:color w:val="000000" w:themeColor="text1"/>
                <w:kern w:val="2"/>
                <w:sz w:val="24"/>
                <w:szCs w:val="24"/>
                <w:highlight w:val="none"/>
                <w:lang w:val="en-US" w:eastAsia="zh-CN" w:bidi="ar-SA"/>
                <w14:textFill>
                  <w14:solidFill>
                    <w14:schemeClr w14:val="tx1"/>
                  </w14:solidFill>
                </w14:textFill>
              </w:rPr>
              <w:t>设置在封闭式车间内，</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粉尘排放量为</w:t>
            </w:r>
            <w:r>
              <w:rPr>
                <w:rFonts w:hint="eastAsia" w:eastAsia="仿宋" w:cs="Times New Roman"/>
                <w:color w:val="000000" w:themeColor="text1"/>
                <w:sz w:val="24"/>
                <w:highlight w:val="none"/>
                <w:lang w:val="en-US" w:eastAsia="zh-CN"/>
                <w14:textFill>
                  <w14:solidFill>
                    <w14:schemeClr w14:val="tx1"/>
                  </w14:solidFill>
                </w14:textFill>
              </w:rPr>
              <w:t>0.76</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p>
          <w:p w14:paraId="64664C9E">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⑨成品堆场粉尘</w:t>
            </w:r>
          </w:p>
          <w:p w14:paraId="71A9DFFC">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lang w:val="en-US" w:eastAsia="zh-CN"/>
                <w14:textFill>
                  <w14:solidFill>
                    <w14:schemeClr w14:val="tx1"/>
                  </w14:solidFill>
                </w14:textFill>
              </w:rPr>
              <w:t>本项目</w:t>
            </w:r>
            <w:r>
              <w:rPr>
                <w:rFonts w:hint="eastAsia" w:eastAsia="仿宋" w:cs="Times New Roman"/>
                <w:color w:val="000000" w:themeColor="text1"/>
                <w:sz w:val="24"/>
                <w:lang w:val="en-US" w:eastAsia="zh-CN"/>
                <w14:textFill>
                  <w14:solidFill>
                    <w14:schemeClr w14:val="tx1"/>
                  </w14:solidFill>
                </w14:textFill>
              </w:rPr>
              <w:t>成品堆场</w:t>
            </w:r>
            <w:r>
              <w:rPr>
                <w:rFonts w:hint="eastAsia" w:ascii="Times New Roman" w:hAnsi="Times New Roman" w:eastAsia="仿宋" w:cs="Times New Roman"/>
                <w:color w:val="000000" w:themeColor="text1"/>
                <w:sz w:val="24"/>
                <w:lang w:val="en-US" w:eastAsia="zh-CN"/>
                <w14:textFill>
                  <w14:solidFill>
                    <w14:schemeClr w14:val="tx1"/>
                  </w14:solidFill>
                </w14:textFill>
              </w:rPr>
              <w:t>设置三面围挡（竖型防风网）+顶部苫盖，并且定期采取洒水降尘</w:t>
            </w:r>
            <w:r>
              <w:rPr>
                <w:rFonts w:hint="default" w:ascii="Times New Roman" w:hAnsi="Times New Roman" w:eastAsia="仿宋" w:cs="Times New Roman"/>
                <w:color w:val="000000" w:themeColor="text1"/>
                <w:sz w:val="24"/>
                <w:lang w:val="en-US" w:eastAsia="zh-CN"/>
                <w14:textFill>
                  <w14:solidFill>
                    <w14:schemeClr w14:val="tx1"/>
                  </w14:solidFill>
                </w14:textFill>
              </w:rPr>
              <w:t>（洒水车）</w:t>
            </w:r>
            <w:r>
              <w:rPr>
                <w:rFonts w:hint="eastAsia" w:ascii="Times New Roman" w:hAnsi="Times New Roman" w:eastAsia="仿宋" w:cs="Times New Roman"/>
                <w:color w:val="000000" w:themeColor="text1"/>
                <w:sz w:val="24"/>
                <w:lang w:val="en-US" w:eastAsia="zh-CN"/>
                <w14:textFill>
                  <w14:solidFill>
                    <w14:schemeClr w14:val="tx1"/>
                  </w14:solidFill>
                </w14:textFill>
              </w:rPr>
              <w:t>措施，分成</w:t>
            </w:r>
            <w:r>
              <w:rPr>
                <w:rFonts w:hint="default" w:ascii="Times New Roman" w:hAnsi="Times New Roman" w:eastAsia="仿宋" w:cs="Times New Roman"/>
                <w:color w:val="000000" w:themeColor="text1"/>
                <w:sz w:val="24"/>
                <w14:textFill>
                  <w14:solidFill>
                    <w14:schemeClr w14:val="tx1"/>
                  </w14:solidFill>
                </w14:textFill>
              </w:rPr>
              <w:t>排放量为</w:t>
            </w:r>
            <w:r>
              <w:rPr>
                <w:rFonts w:hint="eastAsia" w:eastAsia="仿宋" w:cs="Times New Roman"/>
                <w:color w:val="000000" w:themeColor="text1"/>
                <w:sz w:val="24"/>
                <w:lang w:val="en-US" w:eastAsia="zh-CN"/>
                <w14:textFill>
                  <w14:solidFill>
                    <w14:schemeClr w14:val="tx1"/>
                  </w14:solidFill>
                </w14:textFill>
              </w:rPr>
              <w:t>1.36</w:t>
            </w:r>
            <w:r>
              <w:rPr>
                <w:rFonts w:hint="default" w:ascii="Times New Roman" w:hAnsi="Times New Roman" w:eastAsia="仿宋" w:cs="Times New Roman"/>
                <w:color w:val="000000" w:themeColor="text1"/>
                <w:sz w:val="24"/>
                <w14:textFill>
                  <w14:solidFill>
                    <w14:schemeClr w14:val="tx1"/>
                  </w14:solidFill>
                </w14:textFill>
              </w:rPr>
              <w:t>t/a。</w:t>
            </w:r>
          </w:p>
          <w:p w14:paraId="6618A3D5">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b w:val="0"/>
                <w:bCs/>
                <w:color w:val="000000" w:themeColor="text1"/>
                <w:sz w:val="24"/>
                <w:highlight w:val="none"/>
                <w:lang w:eastAsia="zh-CN"/>
                <w14:textFill>
                  <w14:solidFill>
                    <w14:schemeClr w14:val="tx1"/>
                  </w14:solidFill>
                </w14:textFill>
              </w:rPr>
              <w:t>⑩</w:t>
            </w: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皮带传输粉尘</w:t>
            </w:r>
          </w:p>
          <w:p w14:paraId="4236ACE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kern w:val="0"/>
                <w:sz w:val="24"/>
                <w:szCs w:val="22"/>
                <w14:textFill>
                  <w14:solidFill>
                    <w14:schemeClr w14:val="tx1"/>
                  </w14:solidFill>
                </w14:textFill>
              </w:rPr>
            </w:pPr>
            <w:r>
              <w:rPr>
                <w:rFonts w:hint="default" w:ascii="Times New Roman" w:hAnsi="Times New Roman" w:eastAsia="仿宋" w:cs="Times New Roman"/>
                <w:color w:val="000000" w:themeColor="text1"/>
                <w:kern w:val="0"/>
                <w:sz w:val="24"/>
                <w:szCs w:val="22"/>
                <w14:textFill>
                  <w14:solidFill>
                    <w14:schemeClr w14:val="tx1"/>
                  </w14:solidFill>
                </w14:textFill>
              </w:rPr>
              <w:t>本项目石料加工过程中采用皮带输送机进行输送，在皮带传输过程中会产生一定量的</w:t>
            </w:r>
            <w:r>
              <w:rPr>
                <w:rFonts w:hint="eastAsia" w:ascii="Times New Roman" w:hAnsi="Times New Roman" w:eastAsia="仿宋" w:cs="Times New Roman"/>
                <w:color w:val="000000" w:themeColor="text1"/>
                <w:kern w:val="0"/>
                <w:sz w:val="24"/>
                <w:szCs w:val="22"/>
                <w:lang w:eastAsia="zh-CN"/>
                <w14:textFill>
                  <w14:solidFill>
                    <w14:schemeClr w14:val="tx1"/>
                  </w14:solidFill>
                </w14:textFill>
              </w:rPr>
              <w:t>颗粒物</w:t>
            </w:r>
            <w:r>
              <w:rPr>
                <w:rFonts w:hint="eastAsia" w:eastAsia="仿宋" w:cs="Times New Roman"/>
                <w:color w:val="000000" w:themeColor="text1"/>
                <w:kern w:val="0"/>
                <w:sz w:val="24"/>
                <w:szCs w:val="22"/>
                <w:lang w:eastAsia="zh-CN"/>
                <w14:textFill>
                  <w14:solidFill>
                    <w14:schemeClr w14:val="tx1"/>
                  </w14:solidFill>
                </w14:textFill>
              </w:rPr>
              <w:t>，</w:t>
            </w:r>
            <w:r>
              <w:rPr>
                <w:rFonts w:hint="eastAsia" w:eastAsia="仿宋" w:cs="Times New Roman"/>
                <w:color w:val="000000" w:themeColor="text1"/>
                <w:kern w:val="0"/>
                <w:sz w:val="24"/>
                <w:szCs w:val="22"/>
                <w:lang w:val="en-US" w:eastAsia="zh-CN"/>
                <w14:textFill>
                  <w14:solidFill>
                    <w14:schemeClr w14:val="tx1"/>
                  </w14:solidFill>
                </w14:textFill>
              </w:rPr>
              <w:t>本项目生产线位于封闭式生产车间内，</w:t>
            </w:r>
            <w:r>
              <w:rPr>
                <w:rFonts w:hint="default" w:ascii="Times New Roman" w:hAnsi="Times New Roman" w:eastAsia="仿宋" w:cs="Times New Roman"/>
                <w:color w:val="000000" w:themeColor="text1"/>
                <w:kern w:val="0"/>
                <w:sz w:val="24"/>
                <w:szCs w:val="22"/>
                <w:lang w:val="en-US" w:eastAsia="zh-CN"/>
                <w14:textFill>
                  <w14:solidFill>
                    <w14:schemeClr w14:val="tx1"/>
                  </w14:solidFill>
                </w14:textFill>
              </w:rPr>
              <w:t>皮带输送过程中颗粒物排放量较少</w:t>
            </w:r>
            <w:r>
              <w:rPr>
                <w:rFonts w:hint="default" w:ascii="Times New Roman" w:hAnsi="Times New Roman" w:eastAsia="仿宋" w:cs="Times New Roman"/>
                <w:color w:val="000000" w:themeColor="text1"/>
                <w:kern w:val="0"/>
                <w:sz w:val="24"/>
                <w:szCs w:val="22"/>
                <w14:textFill>
                  <w14:solidFill>
                    <w14:schemeClr w14:val="tx1"/>
                  </w14:solidFill>
                </w14:textFill>
              </w:rPr>
              <w:t>。</w:t>
            </w:r>
          </w:p>
          <w:p w14:paraId="64EFB405">
            <w:pPr>
              <w:pStyle w:val="6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综上，</w:t>
            </w:r>
            <w:r>
              <w:rPr>
                <w:rFonts w:hint="default" w:ascii="Times New Roman" w:hAnsi="Times New Roman" w:eastAsia="仿宋" w:cs="Times New Roman"/>
                <w:color w:val="000000" w:themeColor="text1"/>
                <w:lang w:val="en-US" w:eastAsia="zh-CN"/>
                <w14:textFill>
                  <w14:solidFill>
                    <w14:schemeClr w14:val="tx1"/>
                  </w14:solidFill>
                </w14:textFill>
              </w:rPr>
              <w:t>本</w:t>
            </w:r>
            <w:r>
              <w:rPr>
                <w:rFonts w:hint="default" w:ascii="Times New Roman" w:hAnsi="Times New Roman" w:eastAsia="仿宋" w:cs="Times New Roman"/>
                <w:color w:val="000000" w:themeColor="text1"/>
                <w14:textFill>
                  <w14:solidFill>
                    <w14:schemeClr w14:val="tx1"/>
                  </w14:solidFill>
                </w14:textFill>
              </w:rPr>
              <w:t>项目通过加强生产设备及环保设施的运行维护，</w:t>
            </w:r>
            <w:r>
              <w:rPr>
                <w:rFonts w:hint="eastAsia" w:eastAsia="仿宋" w:cs="Times New Roman"/>
                <w:color w:val="000000" w:themeColor="text1"/>
                <w:sz w:val="24"/>
                <w:lang w:val="en-US" w:eastAsia="zh-CN"/>
                <w14:textFill>
                  <w14:solidFill>
                    <w14:schemeClr w14:val="tx1"/>
                  </w14:solidFill>
                </w14:textFill>
              </w:rPr>
              <w:t>成品堆场</w:t>
            </w:r>
            <w:r>
              <w:rPr>
                <w:rFonts w:hint="eastAsia" w:ascii="Times New Roman" w:hAnsi="Times New Roman" w:eastAsia="仿宋" w:cs="Times New Roman"/>
                <w:color w:val="000000" w:themeColor="text1"/>
                <w:sz w:val="24"/>
                <w:lang w:val="en-US" w:eastAsia="zh-CN"/>
                <w14:textFill>
                  <w14:solidFill>
                    <w14:schemeClr w14:val="tx1"/>
                  </w14:solidFill>
                </w14:textFill>
              </w:rPr>
              <w:t>设置三面围挡（竖型防风网）+顶部苫盖，</w:t>
            </w:r>
            <w:r>
              <w:rPr>
                <w:rFonts w:hint="eastAsia" w:eastAsia="仿宋" w:cs="Times New Roman"/>
                <w:color w:val="000000" w:themeColor="text1"/>
                <w:sz w:val="24"/>
                <w:lang w:val="en-US" w:eastAsia="zh-CN"/>
                <w14:textFill>
                  <w14:solidFill>
                    <w14:schemeClr w14:val="tx1"/>
                  </w14:solidFill>
                </w14:textFill>
              </w:rPr>
              <w:t>排土场设置防尘网苫盖，</w:t>
            </w:r>
            <w:r>
              <w:rPr>
                <w:rFonts w:hint="eastAsia" w:ascii="Times New Roman" w:hAnsi="Times New Roman" w:eastAsia="仿宋" w:cs="Times New Roman"/>
                <w:color w:val="000000" w:themeColor="text1"/>
                <w:sz w:val="24"/>
                <w:lang w:val="en-US" w:eastAsia="zh-CN"/>
                <w14:textFill>
                  <w14:solidFill>
                    <w14:schemeClr w14:val="tx1"/>
                  </w14:solidFill>
                </w14:textFill>
              </w:rPr>
              <w:t>并且定期采取洒水降尘措施</w:t>
            </w:r>
            <w:r>
              <w:rPr>
                <w:rFonts w:hint="default" w:ascii="Times New Roman" w:hAnsi="Times New Roman" w:eastAsia="仿宋" w:cs="Times New Roman"/>
                <w:color w:val="000000" w:themeColor="text1"/>
                <w:lang w:val="en-US" w:eastAsia="zh-CN"/>
                <w14:textFill>
                  <w14:solidFill>
                    <w14:schemeClr w14:val="tx1"/>
                  </w14:solidFill>
                </w14:textFill>
              </w:rPr>
              <w:t>，</w:t>
            </w:r>
            <w:r>
              <w:rPr>
                <w:rFonts w:hint="default" w:ascii="Times New Roman" w:hAnsi="Times New Roman" w:eastAsia="仿宋" w:cs="Times New Roman"/>
                <w:color w:val="000000" w:themeColor="text1"/>
                <w14:textFill>
                  <w14:solidFill>
                    <w14:schemeClr w14:val="tx1"/>
                  </w14:solidFill>
                </w14:textFill>
              </w:rPr>
              <w:t>厂界颗粒物浓度满足《大气污染物综合排放标准》</w:t>
            </w:r>
            <w:r>
              <w:rPr>
                <w:rFonts w:hint="default" w:ascii="Times New Roman" w:hAnsi="Times New Roman" w:eastAsia="仿宋" w:cs="Times New Roman"/>
                <w:color w:val="000000" w:themeColor="text1"/>
                <w:lang w:eastAsia="zh-CN"/>
                <w14:textFill>
                  <w14:solidFill>
                    <w14:schemeClr w14:val="tx1"/>
                  </w14:solidFill>
                </w14:textFill>
              </w:rPr>
              <w:t>（</w:t>
            </w:r>
            <w:r>
              <w:rPr>
                <w:rFonts w:hint="default" w:ascii="Times New Roman" w:hAnsi="Times New Roman" w:eastAsia="仿宋" w:cs="Times New Roman"/>
                <w:color w:val="000000" w:themeColor="text1"/>
                <w14:textFill>
                  <w14:solidFill>
                    <w14:schemeClr w14:val="tx1"/>
                  </w14:solidFill>
                </w14:textFill>
              </w:rPr>
              <w:t>GB16297-1996</w:t>
            </w:r>
            <w:r>
              <w:rPr>
                <w:rFonts w:hint="default" w:ascii="Times New Roman" w:hAnsi="Times New Roman" w:eastAsia="仿宋" w:cs="Times New Roman"/>
                <w:color w:val="000000" w:themeColor="text1"/>
                <w:lang w:eastAsia="zh-CN"/>
                <w14:textFill>
                  <w14:solidFill>
                    <w14:schemeClr w14:val="tx1"/>
                  </w14:solidFill>
                </w14:textFill>
              </w:rPr>
              <w:t>）</w:t>
            </w:r>
            <w:r>
              <w:rPr>
                <w:rFonts w:hint="default" w:ascii="Times New Roman" w:hAnsi="Times New Roman" w:eastAsia="仿宋" w:cs="Times New Roman"/>
                <w:color w:val="000000" w:themeColor="text1"/>
                <w14:textFill>
                  <w14:solidFill>
                    <w14:schemeClr w14:val="tx1"/>
                  </w14:solidFill>
                </w14:textFill>
              </w:rPr>
              <w:t>中无组织排放监控浓度限值，对周围大气环境影响较小。</w:t>
            </w:r>
          </w:p>
          <w:p w14:paraId="4F47046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kern w:val="2"/>
                <w:sz w:val="24"/>
                <w:szCs w:val="22"/>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4"/>
                <w:szCs w:val="22"/>
                <w:lang w:val="en-US" w:eastAsia="zh-CN" w:bidi="ar-SA"/>
                <w14:textFill>
                  <w14:solidFill>
                    <w14:schemeClr w14:val="tx1"/>
                  </w14:solidFill>
                </w14:textFill>
              </w:rPr>
              <w:t>根据现场调查，</w:t>
            </w:r>
            <w:r>
              <w:rPr>
                <w:rFonts w:hint="eastAsia"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本项目2500m范围内无大气环境敏感点，因此对周围环境和敏感点影响较小</w:t>
            </w:r>
            <w:r>
              <w:rPr>
                <w:rFonts w:hint="eastAsia" w:ascii="Times New Roman" w:hAnsi="Times New Roman" w:eastAsia="仿宋" w:cs="Times New Roman"/>
                <w:color w:val="000000" w:themeColor="text1"/>
                <w:kern w:val="2"/>
                <w:sz w:val="24"/>
                <w:szCs w:val="22"/>
                <w:lang w:val="en-US" w:eastAsia="zh-CN" w:bidi="ar-SA"/>
                <w14:textFill>
                  <w14:solidFill>
                    <w14:schemeClr w14:val="tx1"/>
                  </w14:solidFill>
                </w14:textFill>
              </w:rPr>
              <w:t>。</w:t>
            </w:r>
          </w:p>
          <w:p w14:paraId="458B22E5">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FF0000"/>
                <w:sz w:val="24"/>
                <w:highlight w:val="none"/>
                <w:lang w:val="en-US" w:eastAsia="zh-CN"/>
              </w:rPr>
            </w:pPr>
            <w:r>
              <w:rPr>
                <w:rFonts w:hint="default" w:ascii="Times New Roman" w:hAnsi="Times New Roman" w:eastAsia="仿宋" w:cs="Times New Roman"/>
                <w:b w:val="0"/>
                <w:bCs/>
                <w:color w:val="FF0000"/>
                <w:sz w:val="24"/>
                <w:highlight w:val="none"/>
                <w:lang w:val="en-US" w:eastAsia="zh-CN"/>
              </w:rPr>
              <w:t>⑵</w:t>
            </w:r>
            <w:r>
              <w:rPr>
                <w:rFonts w:hint="eastAsia" w:ascii="Times New Roman" w:hAnsi="Times New Roman" w:eastAsia="仿宋" w:cs="Times New Roman"/>
                <w:b w:val="0"/>
                <w:bCs/>
                <w:color w:val="FF0000"/>
                <w:sz w:val="24"/>
                <w:highlight w:val="none"/>
                <w:lang w:val="en-US" w:eastAsia="zh-CN"/>
              </w:rPr>
              <w:t>有组织废气环境影响分析</w:t>
            </w:r>
          </w:p>
          <w:p w14:paraId="4408CEF7">
            <w:pPr>
              <w:pStyle w:val="6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仿宋" w:cs="Times New Roman"/>
                <w:b w:val="0"/>
                <w:bCs/>
                <w:color w:val="FF0000"/>
                <w:kern w:val="2"/>
                <w:sz w:val="24"/>
                <w:szCs w:val="24"/>
                <w:highlight w:val="none"/>
                <w:lang w:val="en-US" w:eastAsia="zh-CN" w:bidi="ar-SA"/>
              </w:rPr>
            </w:pPr>
            <w:r>
              <w:rPr>
                <w:rFonts w:hint="eastAsia" w:ascii="Times New Roman" w:hAnsi="Times New Roman" w:eastAsia="仿宋" w:cs="Times New Roman"/>
                <w:b w:val="0"/>
                <w:bCs/>
                <w:color w:val="FF0000"/>
                <w:kern w:val="2"/>
                <w:sz w:val="24"/>
                <w:szCs w:val="24"/>
                <w:highlight w:val="none"/>
                <w:lang w:val="en-US" w:eastAsia="zh-CN" w:bidi="ar-SA"/>
              </w:rPr>
              <w:t>本项目石料</w:t>
            </w:r>
            <w:r>
              <w:rPr>
                <w:rFonts w:hint="eastAsia" w:eastAsia="仿宋" w:cs="Times New Roman"/>
                <w:b w:val="0"/>
                <w:bCs/>
                <w:color w:val="FF0000"/>
                <w:kern w:val="2"/>
                <w:sz w:val="24"/>
                <w:szCs w:val="24"/>
                <w:highlight w:val="none"/>
                <w:lang w:val="en-US" w:eastAsia="zh-CN" w:bidi="ar-SA"/>
              </w:rPr>
              <w:t>投料及</w:t>
            </w:r>
            <w:r>
              <w:rPr>
                <w:rFonts w:hint="eastAsia" w:ascii="Times New Roman" w:hAnsi="Times New Roman" w:eastAsia="仿宋" w:cs="Times New Roman"/>
                <w:b w:val="0"/>
                <w:bCs/>
                <w:color w:val="FF0000"/>
                <w:kern w:val="2"/>
                <w:sz w:val="24"/>
                <w:szCs w:val="24"/>
                <w:highlight w:val="none"/>
                <w:lang w:val="en-US" w:eastAsia="zh-CN" w:bidi="ar-SA"/>
              </w:rPr>
              <w:t>破碎工序易产生粉尘，</w:t>
            </w:r>
            <w:r>
              <w:rPr>
                <w:rFonts w:hint="eastAsia" w:eastAsia="仿宋" w:cs="Times New Roman"/>
                <w:b w:val="0"/>
                <w:bCs/>
                <w:color w:val="FF0000"/>
                <w:kern w:val="2"/>
                <w:sz w:val="24"/>
                <w:szCs w:val="24"/>
                <w:highlight w:val="none"/>
                <w:lang w:val="en-US" w:eastAsia="zh-CN" w:bidi="ar-SA"/>
              </w:rPr>
              <w:t>投料及破碎设备设置集气罩（收集效率为80%），粉尘经集气罩收集后通过布袋除尘器（除尘效率99%）处理然后经15m排气筒排放（DA001），</w:t>
            </w:r>
            <w:r>
              <w:rPr>
                <w:rFonts w:hint="eastAsia" w:ascii="Times New Roman" w:hAnsi="Times New Roman" w:eastAsia="仿宋" w:cs="Times New Roman"/>
                <w:b w:val="0"/>
                <w:bCs/>
                <w:color w:val="FF0000"/>
                <w:kern w:val="2"/>
                <w:sz w:val="24"/>
                <w:szCs w:val="24"/>
                <w:highlight w:val="none"/>
                <w:lang w:val="en-US" w:eastAsia="zh-CN" w:bidi="ar-SA"/>
              </w:rPr>
              <w:t>粉尘的排放量为1.</w:t>
            </w:r>
            <w:r>
              <w:rPr>
                <w:rFonts w:hint="eastAsia" w:eastAsia="仿宋" w:cs="Times New Roman"/>
                <w:b w:val="0"/>
                <w:bCs/>
                <w:color w:val="FF0000"/>
                <w:kern w:val="2"/>
                <w:sz w:val="24"/>
                <w:szCs w:val="24"/>
                <w:highlight w:val="none"/>
                <w:lang w:val="en-US" w:eastAsia="zh-CN" w:bidi="ar-SA"/>
              </w:rPr>
              <w:t>5</w:t>
            </w:r>
            <w:r>
              <w:rPr>
                <w:rFonts w:hint="eastAsia" w:ascii="Times New Roman" w:hAnsi="Times New Roman" w:eastAsia="仿宋" w:cs="Times New Roman"/>
                <w:b w:val="0"/>
                <w:bCs/>
                <w:color w:val="FF0000"/>
                <w:kern w:val="2"/>
                <w:sz w:val="24"/>
                <w:szCs w:val="24"/>
                <w:highlight w:val="none"/>
                <w:lang w:val="en-US" w:eastAsia="zh-CN" w:bidi="ar-SA"/>
              </w:rPr>
              <w:t>t/a，粉尘排放速率为0.</w:t>
            </w:r>
            <w:r>
              <w:rPr>
                <w:rFonts w:hint="eastAsia" w:eastAsia="仿宋" w:cs="Times New Roman"/>
                <w:b w:val="0"/>
                <w:bCs/>
                <w:color w:val="FF0000"/>
                <w:kern w:val="2"/>
                <w:sz w:val="24"/>
                <w:szCs w:val="24"/>
                <w:highlight w:val="none"/>
                <w:lang w:val="en-US" w:eastAsia="zh-CN" w:bidi="ar-SA"/>
              </w:rPr>
              <w:t>76</w:t>
            </w:r>
            <w:r>
              <w:rPr>
                <w:rFonts w:hint="eastAsia" w:ascii="Times New Roman" w:hAnsi="Times New Roman" w:eastAsia="仿宋" w:cs="Times New Roman"/>
                <w:b w:val="0"/>
                <w:bCs/>
                <w:color w:val="FF0000"/>
                <w:kern w:val="2"/>
                <w:sz w:val="24"/>
                <w:szCs w:val="24"/>
                <w:highlight w:val="none"/>
                <w:lang w:val="en-US" w:eastAsia="zh-CN" w:bidi="ar-SA"/>
              </w:rPr>
              <w:t>kg/h，粉尘的排放浓度为</w:t>
            </w:r>
            <w:r>
              <w:rPr>
                <w:rFonts w:hint="eastAsia" w:eastAsia="仿宋" w:cs="Times New Roman"/>
                <w:b w:val="0"/>
                <w:bCs/>
                <w:color w:val="FF0000"/>
                <w:kern w:val="2"/>
                <w:sz w:val="24"/>
                <w:szCs w:val="24"/>
                <w:highlight w:val="none"/>
                <w:lang w:val="en-US" w:eastAsia="zh-CN" w:bidi="ar-SA"/>
              </w:rPr>
              <w:t>13</w:t>
            </w:r>
            <w:r>
              <w:rPr>
                <w:rFonts w:hint="eastAsia" w:ascii="Times New Roman" w:hAnsi="Times New Roman" w:eastAsia="仿宋" w:cs="Times New Roman"/>
                <w:b w:val="0"/>
                <w:bCs/>
                <w:color w:val="FF0000"/>
                <w:kern w:val="2"/>
                <w:sz w:val="24"/>
                <w:szCs w:val="24"/>
                <w:highlight w:val="none"/>
                <w:lang w:val="en-US" w:eastAsia="zh-CN" w:bidi="ar-SA"/>
              </w:rPr>
              <w:t>mg/m</w:t>
            </w:r>
            <w:r>
              <w:rPr>
                <w:rFonts w:hint="eastAsia" w:ascii="Times New Roman" w:hAnsi="Times New Roman" w:eastAsia="仿宋" w:cs="Times New Roman"/>
                <w:b w:val="0"/>
                <w:bCs/>
                <w:color w:val="FF0000"/>
                <w:kern w:val="2"/>
                <w:sz w:val="24"/>
                <w:szCs w:val="24"/>
                <w:highlight w:val="none"/>
                <w:vertAlign w:val="superscript"/>
                <w:lang w:val="en-US" w:eastAsia="zh-CN" w:bidi="ar-SA"/>
              </w:rPr>
              <w:t>3</w:t>
            </w:r>
            <w:r>
              <w:rPr>
                <w:rFonts w:hint="eastAsia" w:ascii="Times New Roman" w:hAnsi="Times New Roman" w:eastAsia="仿宋" w:cs="Times New Roman"/>
                <w:b w:val="0"/>
                <w:bCs/>
                <w:color w:val="FF0000"/>
                <w:kern w:val="2"/>
                <w:sz w:val="24"/>
                <w:szCs w:val="24"/>
                <w:highlight w:val="none"/>
                <w:lang w:val="en-US" w:eastAsia="zh-CN" w:bidi="ar-SA"/>
              </w:rPr>
              <w:t>，满足</w:t>
            </w:r>
            <w:r>
              <w:rPr>
                <w:rFonts w:hint="default" w:ascii="Times New Roman" w:hAnsi="Times New Roman" w:eastAsia="仿宋" w:cs="Times New Roman"/>
                <w:color w:val="FF0000"/>
              </w:rPr>
              <w:t>《大气污染物综合排放标准》</w:t>
            </w:r>
            <w:r>
              <w:rPr>
                <w:rFonts w:hint="default" w:ascii="Times New Roman" w:hAnsi="Times New Roman" w:eastAsia="仿宋" w:cs="Times New Roman"/>
                <w:color w:val="FF0000"/>
                <w:lang w:eastAsia="zh-CN"/>
              </w:rPr>
              <w:t>（</w:t>
            </w:r>
            <w:r>
              <w:rPr>
                <w:rFonts w:hint="default" w:ascii="Times New Roman" w:hAnsi="Times New Roman" w:eastAsia="仿宋" w:cs="Times New Roman"/>
                <w:color w:val="FF0000"/>
              </w:rPr>
              <w:t>GB16297-1996</w:t>
            </w:r>
            <w:r>
              <w:rPr>
                <w:rFonts w:hint="default" w:ascii="Times New Roman" w:hAnsi="Times New Roman" w:eastAsia="仿宋" w:cs="Times New Roman"/>
                <w:color w:val="FF0000"/>
                <w:lang w:eastAsia="zh-CN"/>
              </w:rPr>
              <w:t>）</w:t>
            </w:r>
            <w:r>
              <w:rPr>
                <w:rFonts w:hint="default" w:ascii="Times New Roman" w:hAnsi="Times New Roman" w:eastAsia="仿宋" w:cs="Times New Roman"/>
                <w:color w:val="FF0000"/>
              </w:rPr>
              <w:t>中</w:t>
            </w:r>
            <w:r>
              <w:rPr>
                <w:rFonts w:hint="eastAsia" w:ascii="Times New Roman" w:hAnsi="Times New Roman" w:eastAsia="仿宋" w:cs="Times New Roman"/>
                <w:color w:val="FF0000"/>
                <w:lang w:val="en-US" w:eastAsia="zh-CN"/>
              </w:rPr>
              <w:t>表2排放浓度要求</w:t>
            </w:r>
            <w:r>
              <w:rPr>
                <w:rFonts w:hint="default" w:ascii="Times New Roman" w:hAnsi="Times New Roman" w:eastAsia="仿宋" w:cs="Times New Roman"/>
                <w:color w:val="FF0000"/>
              </w:rPr>
              <w:t>，对周围大气环境影响较小。</w:t>
            </w:r>
          </w:p>
          <w:p w14:paraId="0642DC1A">
            <w:pPr>
              <w:pStyle w:val="6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仿宋" w:cs="Times New Roman"/>
                <w:b w:val="0"/>
                <w:bCs/>
                <w:color w:val="FF0000"/>
                <w:kern w:val="2"/>
                <w:sz w:val="24"/>
                <w:szCs w:val="24"/>
                <w:highlight w:val="none"/>
                <w:lang w:val="en-US" w:eastAsia="zh-CN" w:bidi="ar-SA"/>
              </w:rPr>
            </w:pPr>
            <w:r>
              <w:rPr>
                <w:rFonts w:hint="eastAsia" w:ascii="Times New Roman" w:hAnsi="Times New Roman" w:eastAsia="仿宋" w:cs="Times New Roman"/>
                <w:b w:val="0"/>
                <w:bCs/>
                <w:color w:val="FF0000"/>
                <w:kern w:val="2"/>
                <w:sz w:val="24"/>
                <w:szCs w:val="24"/>
                <w:highlight w:val="none"/>
                <w:lang w:val="en-US" w:eastAsia="zh-CN" w:bidi="ar-SA"/>
              </w:rPr>
              <w:t>本项目石料筛分工序易产生粉尘，</w:t>
            </w:r>
            <w:r>
              <w:rPr>
                <w:rFonts w:hint="eastAsia" w:eastAsia="仿宋" w:cs="Times New Roman"/>
                <w:b w:val="0"/>
                <w:bCs/>
                <w:color w:val="FF0000"/>
                <w:kern w:val="2"/>
                <w:sz w:val="24"/>
                <w:szCs w:val="24"/>
                <w:highlight w:val="none"/>
                <w:lang w:val="en-US" w:eastAsia="zh-CN" w:bidi="ar-SA"/>
              </w:rPr>
              <w:t>筛分设备设置集气罩（收集效率为80%），粉尘经集气罩收集后通过布袋除尘器（除尘效率99%）处理然后经15m排气筒排放（DA002），</w:t>
            </w:r>
            <w:r>
              <w:rPr>
                <w:rFonts w:hint="eastAsia" w:ascii="Times New Roman" w:hAnsi="Times New Roman" w:eastAsia="仿宋" w:cs="Times New Roman"/>
                <w:b w:val="0"/>
                <w:bCs/>
                <w:color w:val="FF0000"/>
                <w:kern w:val="2"/>
                <w:sz w:val="24"/>
                <w:szCs w:val="24"/>
                <w:highlight w:val="none"/>
                <w:lang w:val="en-US" w:eastAsia="zh-CN" w:bidi="ar-SA"/>
              </w:rPr>
              <w:t>粉尘的排放量为</w:t>
            </w:r>
            <w:r>
              <w:rPr>
                <w:rFonts w:hint="eastAsia" w:eastAsia="仿宋" w:cs="Times New Roman"/>
                <w:b w:val="0"/>
                <w:bCs/>
                <w:color w:val="FF0000"/>
                <w:kern w:val="2"/>
                <w:sz w:val="24"/>
                <w:szCs w:val="24"/>
                <w:highlight w:val="none"/>
                <w:lang w:val="en-US" w:eastAsia="zh-CN" w:bidi="ar-SA"/>
              </w:rPr>
              <w:t>1.5</w:t>
            </w:r>
            <w:r>
              <w:rPr>
                <w:rFonts w:hint="eastAsia" w:ascii="Times New Roman" w:hAnsi="Times New Roman" w:eastAsia="仿宋" w:cs="Times New Roman"/>
                <w:b w:val="0"/>
                <w:bCs/>
                <w:color w:val="FF0000"/>
                <w:kern w:val="2"/>
                <w:sz w:val="24"/>
                <w:szCs w:val="24"/>
                <w:highlight w:val="none"/>
                <w:lang w:val="en-US" w:eastAsia="zh-CN" w:bidi="ar-SA"/>
              </w:rPr>
              <w:t>t/a，粉尘排放速率为0.</w:t>
            </w:r>
            <w:r>
              <w:rPr>
                <w:rFonts w:hint="eastAsia" w:eastAsia="仿宋" w:cs="Times New Roman"/>
                <w:b w:val="0"/>
                <w:bCs/>
                <w:color w:val="FF0000"/>
                <w:kern w:val="2"/>
                <w:sz w:val="24"/>
                <w:szCs w:val="24"/>
                <w:highlight w:val="none"/>
                <w:lang w:val="en-US" w:eastAsia="zh-CN" w:bidi="ar-SA"/>
              </w:rPr>
              <w:t>76</w:t>
            </w:r>
            <w:r>
              <w:rPr>
                <w:rFonts w:hint="eastAsia" w:ascii="Times New Roman" w:hAnsi="Times New Roman" w:eastAsia="仿宋" w:cs="Times New Roman"/>
                <w:b w:val="0"/>
                <w:bCs/>
                <w:color w:val="FF0000"/>
                <w:kern w:val="2"/>
                <w:sz w:val="24"/>
                <w:szCs w:val="24"/>
                <w:highlight w:val="none"/>
                <w:lang w:val="en-US" w:eastAsia="zh-CN" w:bidi="ar-SA"/>
              </w:rPr>
              <w:t>kg/h，粉尘的排放浓度为</w:t>
            </w:r>
            <w:r>
              <w:rPr>
                <w:rFonts w:hint="eastAsia" w:eastAsia="仿宋" w:cs="Times New Roman"/>
                <w:b w:val="0"/>
                <w:bCs/>
                <w:color w:val="FF0000"/>
                <w:kern w:val="2"/>
                <w:sz w:val="24"/>
                <w:szCs w:val="24"/>
                <w:highlight w:val="none"/>
                <w:lang w:val="en-US" w:eastAsia="zh-CN" w:bidi="ar-SA"/>
              </w:rPr>
              <w:t>12</w:t>
            </w:r>
            <w:r>
              <w:rPr>
                <w:rFonts w:hint="eastAsia" w:ascii="Times New Roman" w:hAnsi="Times New Roman" w:eastAsia="仿宋" w:cs="Times New Roman"/>
                <w:b w:val="0"/>
                <w:bCs/>
                <w:color w:val="FF0000"/>
                <w:kern w:val="2"/>
                <w:sz w:val="24"/>
                <w:szCs w:val="24"/>
                <w:highlight w:val="none"/>
                <w:lang w:val="en-US" w:eastAsia="zh-CN" w:bidi="ar-SA"/>
              </w:rPr>
              <w:t>mg/m</w:t>
            </w:r>
            <w:r>
              <w:rPr>
                <w:rFonts w:hint="eastAsia" w:ascii="Times New Roman" w:hAnsi="Times New Roman" w:eastAsia="仿宋" w:cs="Times New Roman"/>
                <w:b w:val="0"/>
                <w:bCs/>
                <w:color w:val="FF0000"/>
                <w:kern w:val="2"/>
                <w:sz w:val="24"/>
                <w:szCs w:val="24"/>
                <w:highlight w:val="none"/>
                <w:vertAlign w:val="superscript"/>
                <w:lang w:val="en-US" w:eastAsia="zh-CN" w:bidi="ar-SA"/>
              </w:rPr>
              <w:t>3</w:t>
            </w:r>
            <w:r>
              <w:rPr>
                <w:rFonts w:hint="eastAsia" w:ascii="Times New Roman" w:hAnsi="Times New Roman" w:eastAsia="仿宋" w:cs="Times New Roman"/>
                <w:b w:val="0"/>
                <w:bCs/>
                <w:color w:val="FF0000"/>
                <w:kern w:val="2"/>
                <w:sz w:val="24"/>
                <w:szCs w:val="24"/>
                <w:highlight w:val="none"/>
                <w:lang w:val="en-US" w:eastAsia="zh-CN" w:bidi="ar-SA"/>
              </w:rPr>
              <w:t>，满足</w:t>
            </w:r>
            <w:r>
              <w:rPr>
                <w:rFonts w:hint="default" w:ascii="Times New Roman" w:hAnsi="Times New Roman" w:eastAsia="仿宋" w:cs="Times New Roman"/>
                <w:color w:val="FF0000"/>
              </w:rPr>
              <w:t>《大气污染物综合排放标准》</w:t>
            </w:r>
            <w:r>
              <w:rPr>
                <w:rFonts w:hint="default" w:ascii="Times New Roman" w:hAnsi="Times New Roman" w:eastAsia="仿宋" w:cs="Times New Roman"/>
                <w:color w:val="FF0000"/>
                <w:lang w:eastAsia="zh-CN"/>
              </w:rPr>
              <w:t>（</w:t>
            </w:r>
            <w:r>
              <w:rPr>
                <w:rFonts w:hint="default" w:ascii="Times New Roman" w:hAnsi="Times New Roman" w:eastAsia="仿宋" w:cs="Times New Roman"/>
                <w:color w:val="FF0000"/>
              </w:rPr>
              <w:t>GB16297-1996</w:t>
            </w:r>
            <w:r>
              <w:rPr>
                <w:rFonts w:hint="default" w:ascii="Times New Roman" w:hAnsi="Times New Roman" w:eastAsia="仿宋" w:cs="Times New Roman"/>
                <w:color w:val="FF0000"/>
                <w:lang w:eastAsia="zh-CN"/>
              </w:rPr>
              <w:t>）</w:t>
            </w:r>
            <w:r>
              <w:rPr>
                <w:rFonts w:hint="default" w:ascii="Times New Roman" w:hAnsi="Times New Roman" w:eastAsia="仿宋" w:cs="Times New Roman"/>
                <w:color w:val="FF0000"/>
              </w:rPr>
              <w:t>中</w:t>
            </w:r>
            <w:r>
              <w:rPr>
                <w:rFonts w:hint="eastAsia" w:ascii="Times New Roman" w:hAnsi="Times New Roman" w:eastAsia="仿宋" w:cs="Times New Roman"/>
                <w:color w:val="FF0000"/>
                <w:lang w:val="en-US" w:eastAsia="zh-CN"/>
              </w:rPr>
              <w:t>表2排放浓度要求</w:t>
            </w:r>
            <w:r>
              <w:rPr>
                <w:rFonts w:hint="default" w:ascii="Times New Roman" w:hAnsi="Times New Roman" w:eastAsia="仿宋" w:cs="Times New Roman"/>
                <w:color w:val="FF0000"/>
              </w:rPr>
              <w:t>，对周围大气环境影响较小。</w:t>
            </w:r>
          </w:p>
          <w:p w14:paraId="6F1CF7B2">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2.1.</w:t>
            </w:r>
            <w:r>
              <w:rPr>
                <w:rFonts w:hint="eastAsia"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3废气排放监测计划</w:t>
            </w:r>
          </w:p>
          <w:p w14:paraId="405C44BB">
            <w:pPr>
              <w:pStyle w:val="62"/>
              <w:keepNext w:val="0"/>
              <w:keepLines w:val="0"/>
              <w:pageBreakBefore w:val="0"/>
              <w:kinsoku/>
              <w:wordWrap/>
              <w:overflowPunct/>
              <w:topLinePunct w:val="0"/>
              <w:autoSpaceDE/>
              <w:autoSpaceDN/>
              <w:bidi w:val="0"/>
              <w:adjustRightInd w:val="0"/>
              <w:snapToGrid w:val="0"/>
              <w:ind w:firstLine="480" w:firstLineChars="200"/>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⑴监测机构设置</w:t>
            </w:r>
          </w:p>
          <w:p w14:paraId="0E122BDD">
            <w:pPr>
              <w:pStyle w:val="62"/>
              <w:keepNext w:val="0"/>
              <w:keepLines w:val="0"/>
              <w:pageBreakBefore w:val="0"/>
              <w:kinsoku/>
              <w:wordWrap/>
              <w:overflowPunct/>
              <w:topLinePunct w:val="0"/>
              <w:autoSpaceDE/>
              <w:autoSpaceDN/>
              <w:bidi w:val="0"/>
              <w:adjustRightInd w:val="0"/>
              <w:snapToGrid w:val="0"/>
              <w:ind w:firstLine="480" w:firstLineChars="200"/>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本项目废气排放监测委托有资质的第三方监测单位承担。</w:t>
            </w:r>
          </w:p>
          <w:p w14:paraId="6198B9CE">
            <w:pPr>
              <w:pStyle w:val="62"/>
              <w:keepNext w:val="0"/>
              <w:keepLines w:val="0"/>
              <w:pageBreakBefore w:val="0"/>
              <w:kinsoku/>
              <w:wordWrap/>
              <w:overflowPunct/>
              <w:topLinePunct w:val="0"/>
              <w:autoSpaceDE/>
              <w:autoSpaceDN/>
              <w:bidi w:val="0"/>
              <w:adjustRightInd w:val="0"/>
              <w:snapToGrid w:val="0"/>
              <w:ind w:firstLine="480" w:firstLineChars="200"/>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⑵监测项目</w:t>
            </w:r>
          </w:p>
          <w:p w14:paraId="64F0B179">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根据</w:t>
            </w:r>
            <w:r>
              <w:rPr>
                <w:rFonts w:hint="default" w:ascii="Times New Roman" w:hAnsi="Times New Roman" w:eastAsia="仿宋" w:cs="Times New Roman"/>
                <w:bCs/>
                <w:color w:val="000000" w:themeColor="text1"/>
                <w:kern w:val="0"/>
                <w:sz w:val="24"/>
                <w14:textFill>
                  <w14:solidFill>
                    <w14:schemeClr w14:val="tx1"/>
                  </w14:solidFill>
                </w14:textFill>
              </w:rPr>
              <w:t>《排污单位自行监测技术指南</w:t>
            </w:r>
            <w:r>
              <w:rPr>
                <w:rFonts w:hint="eastAsia" w:eastAsia="仿宋" w:cs="Times New Roman"/>
                <w:bCs/>
                <w:color w:val="000000" w:themeColor="text1"/>
                <w:kern w:val="0"/>
                <w:sz w:val="24"/>
                <w:lang w:eastAsia="zh-CN"/>
                <w14:textFill>
                  <w14:solidFill>
                    <w14:schemeClr w14:val="tx1"/>
                  </w14:solidFill>
                </w14:textFill>
              </w:rPr>
              <w:t>－</w:t>
            </w:r>
            <w:r>
              <w:rPr>
                <w:rFonts w:hint="default" w:ascii="Times New Roman" w:hAnsi="Times New Roman" w:eastAsia="仿宋" w:cs="Times New Roman"/>
                <w:bCs/>
                <w:color w:val="000000" w:themeColor="text1"/>
                <w:kern w:val="0"/>
                <w:sz w:val="24"/>
                <w14:textFill>
                  <w14:solidFill>
                    <w14:schemeClr w14:val="tx1"/>
                  </w14:solidFill>
                </w14:textFill>
              </w:rPr>
              <w:t>总则》（HJ819-2017）</w:t>
            </w:r>
            <w:r>
              <w:rPr>
                <w:rFonts w:hint="default" w:ascii="Times New Roman" w:hAnsi="Times New Roman" w:eastAsia="仿宋" w:cs="Times New Roman"/>
                <w:color w:val="000000" w:themeColor="text1"/>
                <w:kern w:val="0"/>
                <w:sz w:val="24"/>
                <w14:textFill>
                  <w14:solidFill>
                    <w14:schemeClr w14:val="tx1"/>
                  </w14:solidFill>
                </w14:textFill>
              </w:rPr>
              <w:t>中的监测要求</w:t>
            </w:r>
            <w:r>
              <w:rPr>
                <w:rFonts w:hint="default" w:ascii="Times New Roman" w:hAnsi="Times New Roman" w:eastAsia="仿宋" w:cs="Times New Roman"/>
                <w:color w:val="000000" w:themeColor="text1"/>
                <w:sz w:val="24"/>
                <w14:textFill>
                  <w14:solidFill>
                    <w14:schemeClr w14:val="tx1"/>
                  </w14:solidFill>
                </w14:textFill>
              </w:rPr>
              <w:t>，本项目监测项目如下：</w:t>
            </w:r>
          </w:p>
          <w:p w14:paraId="6F6F8D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
                <w:bCs/>
                <w:snapToGrid w:val="0"/>
                <w:color w:val="000000" w:themeColor="text1"/>
                <w:kern w:val="0"/>
                <w:szCs w:val="21"/>
                <w:lang w:val="en-US" w:eastAsia="zh-CN"/>
                <w14:textFill>
                  <w14:solidFill>
                    <w14:schemeClr w14:val="tx1"/>
                  </w14:solidFill>
                </w14:textFill>
              </w:rPr>
            </w:pPr>
            <w:r>
              <w:rPr>
                <w:rFonts w:hint="default" w:ascii="Times New Roman" w:hAnsi="Times New Roman" w:eastAsia="仿宋" w:cs="Times New Roman"/>
                <w:b/>
                <w:bCs/>
                <w:snapToGrid w:val="0"/>
                <w:color w:val="000000" w:themeColor="text1"/>
                <w:kern w:val="0"/>
                <w:szCs w:val="21"/>
                <w:lang w:val="en-US" w:eastAsia="zh-CN"/>
                <w14:textFill>
                  <w14:solidFill>
                    <w14:schemeClr w14:val="tx1"/>
                  </w14:solidFill>
                </w14:textFill>
              </w:rPr>
              <w:t>表</w:t>
            </w:r>
            <w:r>
              <w:rPr>
                <w:rFonts w:hint="eastAsia" w:eastAsia="仿宋" w:cs="Times New Roman"/>
                <w:b/>
                <w:bCs/>
                <w:snapToGrid w:val="0"/>
                <w:color w:val="000000" w:themeColor="text1"/>
                <w:kern w:val="0"/>
                <w:szCs w:val="21"/>
                <w:lang w:val="en-US" w:eastAsia="zh-CN"/>
                <w14:textFill>
                  <w14:solidFill>
                    <w14:schemeClr w14:val="tx1"/>
                  </w14:solidFill>
                </w14:textFill>
              </w:rPr>
              <w:t>41</w:t>
            </w:r>
            <w:r>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t xml:space="preserve">  </w:t>
            </w:r>
            <w:r>
              <w:rPr>
                <w:rFonts w:hint="default" w:ascii="Times New Roman" w:hAnsi="Times New Roman" w:eastAsia="仿宋" w:cs="Times New Roman"/>
                <w:b/>
                <w:bCs/>
                <w:snapToGrid w:val="0"/>
                <w:color w:val="000000" w:themeColor="text1"/>
                <w:kern w:val="0"/>
                <w:szCs w:val="21"/>
                <w:lang w:val="en-US" w:eastAsia="zh-CN"/>
                <w14:textFill>
                  <w14:solidFill>
                    <w14:schemeClr w14:val="tx1"/>
                  </w14:solidFill>
                </w14:textFill>
              </w:rPr>
              <w:t xml:space="preserve"> 废气污染物监测计划表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66"/>
              <w:gridCol w:w="1098"/>
              <w:gridCol w:w="918"/>
              <w:gridCol w:w="1229"/>
              <w:gridCol w:w="1117"/>
              <w:gridCol w:w="2339"/>
            </w:tblGrid>
            <w:tr w14:paraId="32605D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89" w:type="pct"/>
                  <w:tcBorders>
                    <w:tl2br w:val="nil"/>
                    <w:tr2bl w:val="nil"/>
                  </w:tcBorders>
                  <w:noWrap w:val="0"/>
                  <w:vAlign w:val="center"/>
                </w:tcPr>
                <w:p w14:paraId="1E264B89">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pacing w:val="-10"/>
                      <w:szCs w:val="21"/>
                      <w14:textFill>
                        <w14:solidFill>
                          <w14:schemeClr w14:val="tx1"/>
                        </w14:solidFill>
                      </w14:textFill>
                    </w:rPr>
                  </w:pPr>
                  <w:r>
                    <w:rPr>
                      <w:rFonts w:eastAsia="仿宋"/>
                      <w:color w:val="000000" w:themeColor="text1"/>
                      <w:spacing w:val="-10"/>
                      <w:szCs w:val="21"/>
                      <w14:textFill>
                        <w14:solidFill>
                          <w14:schemeClr w14:val="tx1"/>
                        </w14:solidFill>
                      </w14:textFill>
                    </w:rPr>
                    <w:t>类别</w:t>
                  </w:r>
                </w:p>
              </w:tc>
              <w:tc>
                <w:tcPr>
                  <w:tcW w:w="755" w:type="pct"/>
                  <w:tcBorders>
                    <w:tl2br w:val="nil"/>
                    <w:tr2bl w:val="nil"/>
                  </w:tcBorders>
                  <w:noWrap w:val="0"/>
                  <w:vAlign w:val="center"/>
                </w:tcPr>
                <w:p w14:paraId="70089B03">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pacing w:val="-10"/>
                      <w:szCs w:val="21"/>
                      <w14:textFill>
                        <w14:solidFill>
                          <w14:schemeClr w14:val="tx1"/>
                        </w14:solidFill>
                      </w14:textFill>
                    </w:rPr>
                  </w:pPr>
                  <w:r>
                    <w:rPr>
                      <w:rFonts w:eastAsia="仿宋"/>
                      <w:color w:val="000000" w:themeColor="text1"/>
                      <w:spacing w:val="-10"/>
                      <w:szCs w:val="21"/>
                      <w14:textFill>
                        <w14:solidFill>
                          <w14:schemeClr w14:val="tx1"/>
                        </w14:solidFill>
                      </w14:textFill>
                    </w:rPr>
                    <w:t>监测</w:t>
                  </w:r>
                </w:p>
                <w:p w14:paraId="40CA7DEB">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pacing w:val="-10"/>
                      <w:szCs w:val="21"/>
                      <w14:textFill>
                        <w14:solidFill>
                          <w14:schemeClr w14:val="tx1"/>
                        </w14:solidFill>
                      </w14:textFill>
                    </w:rPr>
                  </w:pPr>
                  <w:r>
                    <w:rPr>
                      <w:rFonts w:eastAsia="仿宋"/>
                      <w:color w:val="000000" w:themeColor="text1"/>
                      <w:spacing w:val="-10"/>
                      <w:szCs w:val="21"/>
                      <w14:textFill>
                        <w14:solidFill>
                          <w14:schemeClr w14:val="tx1"/>
                        </w14:solidFill>
                      </w14:textFill>
                    </w:rPr>
                    <w:t>项目</w:t>
                  </w:r>
                </w:p>
              </w:tc>
              <w:tc>
                <w:tcPr>
                  <w:tcW w:w="631" w:type="pct"/>
                  <w:tcBorders>
                    <w:tl2br w:val="nil"/>
                    <w:tr2bl w:val="nil"/>
                  </w:tcBorders>
                  <w:noWrap w:val="0"/>
                  <w:vAlign w:val="center"/>
                </w:tcPr>
                <w:p w14:paraId="397BE938">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pacing w:val="-10"/>
                      <w:szCs w:val="21"/>
                      <w14:textFill>
                        <w14:solidFill>
                          <w14:schemeClr w14:val="tx1"/>
                        </w14:solidFill>
                      </w14:textFill>
                    </w:rPr>
                  </w:pPr>
                  <w:r>
                    <w:rPr>
                      <w:rFonts w:eastAsia="仿宋"/>
                      <w:bCs/>
                      <w:color w:val="000000" w:themeColor="text1"/>
                      <w:spacing w:val="-10"/>
                      <w:szCs w:val="21"/>
                      <w14:textFill>
                        <w14:solidFill>
                          <w14:schemeClr w14:val="tx1"/>
                        </w14:solidFill>
                      </w14:textFill>
                    </w:rPr>
                    <w:t>监测</w:t>
                  </w:r>
                </w:p>
                <w:p w14:paraId="3B51A2CF">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pacing w:val="-10"/>
                      <w:szCs w:val="21"/>
                      <w14:textFill>
                        <w14:solidFill>
                          <w14:schemeClr w14:val="tx1"/>
                        </w14:solidFill>
                      </w14:textFill>
                    </w:rPr>
                  </w:pPr>
                  <w:r>
                    <w:rPr>
                      <w:rFonts w:eastAsia="仿宋"/>
                      <w:bCs/>
                      <w:color w:val="000000" w:themeColor="text1"/>
                      <w:spacing w:val="-10"/>
                      <w:szCs w:val="21"/>
                      <w14:textFill>
                        <w14:solidFill>
                          <w14:schemeClr w14:val="tx1"/>
                        </w14:solidFill>
                      </w14:textFill>
                    </w:rPr>
                    <w:t>点位</w:t>
                  </w:r>
                </w:p>
              </w:tc>
              <w:tc>
                <w:tcPr>
                  <w:tcW w:w="845" w:type="pct"/>
                  <w:tcBorders>
                    <w:tl2br w:val="nil"/>
                    <w:tr2bl w:val="nil"/>
                  </w:tcBorders>
                  <w:noWrap w:val="0"/>
                  <w:vAlign w:val="center"/>
                </w:tcPr>
                <w:p w14:paraId="7F28D2BE">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pacing w:val="-10"/>
                      <w:szCs w:val="21"/>
                      <w14:textFill>
                        <w14:solidFill>
                          <w14:schemeClr w14:val="tx1"/>
                        </w14:solidFill>
                      </w14:textFill>
                    </w:rPr>
                  </w:pPr>
                  <w:r>
                    <w:rPr>
                      <w:rFonts w:eastAsia="仿宋"/>
                      <w:bCs/>
                      <w:color w:val="000000" w:themeColor="text1"/>
                      <w:spacing w:val="-10"/>
                      <w:szCs w:val="21"/>
                      <w14:textFill>
                        <w14:solidFill>
                          <w14:schemeClr w14:val="tx1"/>
                        </w14:solidFill>
                      </w14:textFill>
                    </w:rPr>
                    <w:t>监测项目</w:t>
                  </w:r>
                </w:p>
              </w:tc>
              <w:tc>
                <w:tcPr>
                  <w:tcW w:w="768" w:type="pct"/>
                  <w:tcBorders>
                    <w:tl2br w:val="nil"/>
                    <w:tr2bl w:val="nil"/>
                  </w:tcBorders>
                  <w:noWrap w:val="0"/>
                  <w:vAlign w:val="center"/>
                </w:tcPr>
                <w:p w14:paraId="180A5112">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pacing w:val="-10"/>
                      <w:szCs w:val="21"/>
                      <w14:textFill>
                        <w14:solidFill>
                          <w14:schemeClr w14:val="tx1"/>
                        </w14:solidFill>
                      </w14:textFill>
                    </w:rPr>
                  </w:pPr>
                  <w:r>
                    <w:rPr>
                      <w:rFonts w:eastAsia="仿宋"/>
                      <w:bCs/>
                      <w:color w:val="000000" w:themeColor="text1"/>
                      <w:spacing w:val="-10"/>
                      <w:szCs w:val="21"/>
                      <w14:textFill>
                        <w14:solidFill>
                          <w14:schemeClr w14:val="tx1"/>
                        </w14:solidFill>
                      </w14:textFill>
                    </w:rPr>
                    <w:t>监测频次</w:t>
                  </w:r>
                </w:p>
              </w:tc>
              <w:tc>
                <w:tcPr>
                  <w:tcW w:w="1609" w:type="pct"/>
                  <w:tcBorders>
                    <w:tl2br w:val="nil"/>
                    <w:tr2bl w:val="nil"/>
                  </w:tcBorders>
                  <w:noWrap w:val="0"/>
                  <w:vAlign w:val="center"/>
                </w:tcPr>
                <w:p w14:paraId="7C5F89E1">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pacing w:val="-10"/>
                      <w:szCs w:val="21"/>
                      <w14:textFill>
                        <w14:solidFill>
                          <w14:schemeClr w14:val="tx1"/>
                        </w14:solidFill>
                      </w14:textFill>
                    </w:rPr>
                  </w:pPr>
                  <w:r>
                    <w:rPr>
                      <w:rFonts w:eastAsia="仿宋"/>
                      <w:bCs/>
                      <w:color w:val="000000" w:themeColor="text1"/>
                      <w:spacing w:val="-10"/>
                      <w:szCs w:val="21"/>
                      <w14:textFill>
                        <w14:solidFill>
                          <w14:schemeClr w14:val="tx1"/>
                        </w14:solidFill>
                      </w14:textFill>
                    </w:rPr>
                    <w:t>执行排放标准</w:t>
                  </w:r>
                </w:p>
              </w:tc>
            </w:tr>
            <w:tr w14:paraId="135779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89" w:type="pct"/>
                  <w:vMerge w:val="restart"/>
                  <w:tcBorders>
                    <w:tl2br w:val="nil"/>
                    <w:tr2bl w:val="nil"/>
                  </w:tcBorders>
                  <w:noWrap w:val="0"/>
                  <w:vAlign w:val="center"/>
                </w:tcPr>
                <w:p w14:paraId="59845FC9">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pacing w:val="-10"/>
                      <w:szCs w:val="21"/>
                      <w14:textFill>
                        <w14:solidFill>
                          <w14:schemeClr w14:val="tx1"/>
                        </w14:solidFill>
                      </w14:textFill>
                    </w:rPr>
                  </w:pPr>
                  <w:r>
                    <w:rPr>
                      <w:rFonts w:eastAsia="仿宋"/>
                      <w:bCs/>
                      <w:color w:val="000000" w:themeColor="text1"/>
                      <w:spacing w:val="-10"/>
                      <w:szCs w:val="21"/>
                      <w14:textFill>
                        <w14:solidFill>
                          <w14:schemeClr w14:val="tx1"/>
                        </w14:solidFill>
                      </w14:textFill>
                    </w:rPr>
                    <w:t>废气</w:t>
                  </w:r>
                </w:p>
              </w:tc>
              <w:tc>
                <w:tcPr>
                  <w:tcW w:w="755" w:type="pct"/>
                  <w:vMerge w:val="restart"/>
                  <w:tcBorders>
                    <w:tl2br w:val="nil"/>
                    <w:tr2bl w:val="nil"/>
                  </w:tcBorders>
                  <w:noWrap w:val="0"/>
                  <w:vAlign w:val="center"/>
                </w:tcPr>
                <w:p w14:paraId="07C25D5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000000" w:themeColor="text1"/>
                      <w:spacing w:val="-10"/>
                      <w:szCs w:val="21"/>
                      <w:lang w:val="en-US" w:eastAsia="zh-CN"/>
                      <w14:textFill>
                        <w14:solidFill>
                          <w14:schemeClr w14:val="tx1"/>
                        </w14:solidFill>
                      </w14:textFill>
                    </w:rPr>
                  </w:pPr>
                  <w:r>
                    <w:rPr>
                      <w:rFonts w:hint="eastAsia" w:eastAsia="仿宋"/>
                      <w:color w:val="000000" w:themeColor="text1"/>
                      <w:spacing w:val="-10"/>
                      <w:szCs w:val="21"/>
                      <w:lang w:val="en-US" w:eastAsia="zh-CN"/>
                      <w14:textFill>
                        <w14:solidFill>
                          <w14:schemeClr w14:val="tx1"/>
                        </w14:solidFill>
                      </w14:textFill>
                    </w:rPr>
                    <w:t>有组织</w:t>
                  </w:r>
                </w:p>
              </w:tc>
              <w:tc>
                <w:tcPr>
                  <w:tcW w:w="631" w:type="pct"/>
                  <w:tcBorders>
                    <w:tl2br w:val="nil"/>
                    <w:tr2bl w:val="nil"/>
                  </w:tcBorders>
                  <w:noWrap w:val="0"/>
                  <w:vAlign w:val="center"/>
                </w:tcPr>
                <w:p w14:paraId="093C801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pacing w:val="-10"/>
                      <w:szCs w:val="21"/>
                      <w:lang w:val="en-US" w:eastAsia="zh-CN"/>
                      <w14:textFill>
                        <w14:solidFill>
                          <w14:schemeClr w14:val="tx1"/>
                        </w14:solidFill>
                      </w14:textFill>
                    </w:rPr>
                  </w:pPr>
                  <w:r>
                    <w:rPr>
                      <w:rFonts w:hint="eastAsia" w:eastAsia="仿宋"/>
                      <w:bCs/>
                      <w:color w:val="000000" w:themeColor="text1"/>
                      <w:spacing w:val="-10"/>
                      <w:szCs w:val="21"/>
                      <w:lang w:val="en-US" w:eastAsia="zh-CN"/>
                      <w14:textFill>
                        <w14:solidFill>
                          <w14:schemeClr w14:val="tx1"/>
                        </w14:solidFill>
                      </w14:textFill>
                    </w:rPr>
                    <w:t>DA001</w:t>
                  </w:r>
                </w:p>
              </w:tc>
              <w:tc>
                <w:tcPr>
                  <w:tcW w:w="845" w:type="pct"/>
                  <w:vMerge w:val="restart"/>
                  <w:tcBorders>
                    <w:tl2br w:val="nil"/>
                    <w:tr2bl w:val="nil"/>
                  </w:tcBorders>
                  <w:noWrap w:val="0"/>
                  <w:vAlign w:val="center"/>
                </w:tcPr>
                <w:p w14:paraId="512AC345">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pacing w:val="-10"/>
                      <w:szCs w:val="21"/>
                      <w14:textFill>
                        <w14:solidFill>
                          <w14:schemeClr w14:val="tx1"/>
                        </w14:solidFill>
                      </w14:textFill>
                    </w:rPr>
                  </w:pPr>
                  <w:r>
                    <w:rPr>
                      <w:rFonts w:hint="eastAsia" w:eastAsia="仿宋"/>
                      <w:bCs/>
                      <w:color w:val="000000" w:themeColor="text1"/>
                      <w:spacing w:val="-10"/>
                      <w:szCs w:val="21"/>
                      <w:lang w:val="en-US" w:eastAsia="zh-CN"/>
                      <w14:textFill>
                        <w14:solidFill>
                          <w14:schemeClr w14:val="tx1"/>
                        </w14:solidFill>
                      </w14:textFill>
                    </w:rPr>
                    <w:t>颗粒物</w:t>
                  </w:r>
                </w:p>
              </w:tc>
              <w:tc>
                <w:tcPr>
                  <w:tcW w:w="768" w:type="pct"/>
                  <w:vMerge w:val="restart"/>
                  <w:tcBorders>
                    <w:tl2br w:val="nil"/>
                    <w:tr2bl w:val="nil"/>
                  </w:tcBorders>
                  <w:noWrap w:val="0"/>
                  <w:vAlign w:val="center"/>
                </w:tcPr>
                <w:p w14:paraId="39745BAB">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pacing w:val="-10"/>
                      <w:szCs w:val="21"/>
                      <w14:textFill>
                        <w14:solidFill>
                          <w14:schemeClr w14:val="tx1"/>
                        </w14:solidFill>
                      </w14:textFill>
                    </w:rPr>
                  </w:pPr>
                  <w:r>
                    <w:rPr>
                      <w:rFonts w:hint="eastAsia" w:eastAsia="仿宋"/>
                      <w:bCs/>
                      <w:color w:val="000000" w:themeColor="text1"/>
                      <w:szCs w:val="21"/>
                      <w14:textFill>
                        <w14:solidFill>
                          <w14:schemeClr w14:val="tx1"/>
                        </w14:solidFill>
                      </w14:textFill>
                    </w:rPr>
                    <w:t>1次/年</w:t>
                  </w:r>
                </w:p>
              </w:tc>
              <w:tc>
                <w:tcPr>
                  <w:tcW w:w="1609" w:type="pct"/>
                  <w:vMerge w:val="restart"/>
                  <w:tcBorders>
                    <w:tl2br w:val="nil"/>
                    <w:tr2bl w:val="nil"/>
                  </w:tcBorders>
                  <w:noWrap w:val="0"/>
                  <w:vAlign w:val="center"/>
                </w:tcPr>
                <w:p w14:paraId="6731FC39">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pacing w:val="-10"/>
                      <w:szCs w:val="21"/>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w:t>
                  </w:r>
                  <w:r>
                    <w:rPr>
                      <w:rFonts w:hint="eastAsia" w:ascii="Times New Roman" w:hAnsi="Times New Roman" w:eastAsia="仿宋" w:cs="Times New Roman"/>
                      <w:bCs/>
                      <w:color w:val="000000" w:themeColor="text1"/>
                      <w:spacing w:val="-10"/>
                      <w:sz w:val="21"/>
                      <w:szCs w:val="21"/>
                      <w:lang w:val="en-US" w:eastAsia="zh-CN"/>
                      <w14:textFill>
                        <w14:solidFill>
                          <w14:schemeClr w14:val="tx1"/>
                        </w14:solidFill>
                      </w14:textFill>
                    </w:rPr>
                    <w:t>大气污染物综合排放标准》（GB16297-1996）中排放浓度要求</w:t>
                  </w:r>
                </w:p>
              </w:tc>
            </w:tr>
            <w:tr w14:paraId="356105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89" w:type="pct"/>
                  <w:vMerge w:val="continue"/>
                  <w:tcBorders>
                    <w:tl2br w:val="nil"/>
                    <w:tr2bl w:val="nil"/>
                  </w:tcBorders>
                  <w:noWrap w:val="0"/>
                  <w:vAlign w:val="center"/>
                </w:tcPr>
                <w:p w14:paraId="1204D909">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pacing w:val="-10"/>
                      <w:szCs w:val="21"/>
                      <w14:textFill>
                        <w14:solidFill>
                          <w14:schemeClr w14:val="tx1"/>
                        </w14:solidFill>
                      </w14:textFill>
                    </w:rPr>
                  </w:pPr>
                </w:p>
              </w:tc>
              <w:tc>
                <w:tcPr>
                  <w:tcW w:w="755" w:type="pct"/>
                  <w:vMerge w:val="continue"/>
                  <w:tcBorders>
                    <w:tl2br w:val="nil"/>
                    <w:tr2bl w:val="nil"/>
                  </w:tcBorders>
                  <w:noWrap w:val="0"/>
                  <w:vAlign w:val="center"/>
                </w:tcPr>
                <w:p w14:paraId="766918C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000000" w:themeColor="text1"/>
                      <w:spacing w:val="-10"/>
                      <w:szCs w:val="21"/>
                      <w:lang w:val="en-US" w:eastAsia="zh-CN"/>
                      <w14:textFill>
                        <w14:solidFill>
                          <w14:schemeClr w14:val="tx1"/>
                        </w14:solidFill>
                      </w14:textFill>
                    </w:rPr>
                  </w:pPr>
                </w:p>
              </w:tc>
              <w:tc>
                <w:tcPr>
                  <w:tcW w:w="631" w:type="pct"/>
                  <w:tcBorders>
                    <w:tl2br w:val="nil"/>
                    <w:tr2bl w:val="nil"/>
                  </w:tcBorders>
                  <w:noWrap w:val="0"/>
                  <w:vAlign w:val="center"/>
                </w:tcPr>
                <w:p w14:paraId="187C42B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000000" w:themeColor="text1"/>
                      <w:spacing w:val="-10"/>
                      <w:szCs w:val="21"/>
                      <w:lang w:val="en-US" w:eastAsia="zh-CN"/>
                      <w14:textFill>
                        <w14:solidFill>
                          <w14:schemeClr w14:val="tx1"/>
                        </w14:solidFill>
                      </w14:textFill>
                    </w:rPr>
                  </w:pPr>
                  <w:r>
                    <w:rPr>
                      <w:rFonts w:hint="eastAsia" w:eastAsia="仿宋"/>
                      <w:bCs/>
                      <w:color w:val="000000" w:themeColor="text1"/>
                      <w:spacing w:val="-10"/>
                      <w:szCs w:val="21"/>
                      <w:lang w:val="en-US" w:eastAsia="zh-CN"/>
                      <w14:textFill>
                        <w14:solidFill>
                          <w14:schemeClr w14:val="tx1"/>
                        </w14:solidFill>
                      </w14:textFill>
                    </w:rPr>
                    <w:t>DA002</w:t>
                  </w:r>
                </w:p>
              </w:tc>
              <w:tc>
                <w:tcPr>
                  <w:tcW w:w="845" w:type="pct"/>
                  <w:vMerge w:val="continue"/>
                  <w:tcBorders>
                    <w:tl2br w:val="nil"/>
                    <w:tr2bl w:val="nil"/>
                  </w:tcBorders>
                  <w:noWrap w:val="0"/>
                  <w:vAlign w:val="center"/>
                </w:tcPr>
                <w:p w14:paraId="15CE20F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pacing w:val="-10"/>
                      <w:szCs w:val="21"/>
                      <w:lang w:val="en-US" w:eastAsia="zh-CN"/>
                      <w14:textFill>
                        <w14:solidFill>
                          <w14:schemeClr w14:val="tx1"/>
                        </w14:solidFill>
                      </w14:textFill>
                    </w:rPr>
                  </w:pPr>
                </w:p>
              </w:tc>
              <w:tc>
                <w:tcPr>
                  <w:tcW w:w="768" w:type="pct"/>
                  <w:vMerge w:val="continue"/>
                  <w:tcBorders>
                    <w:tl2br w:val="nil"/>
                    <w:tr2bl w:val="nil"/>
                  </w:tcBorders>
                  <w:noWrap w:val="0"/>
                  <w:vAlign w:val="center"/>
                </w:tcPr>
                <w:p w14:paraId="4681A43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bCs/>
                      <w:color w:val="000000" w:themeColor="text1"/>
                      <w:szCs w:val="21"/>
                      <w14:textFill>
                        <w14:solidFill>
                          <w14:schemeClr w14:val="tx1"/>
                        </w14:solidFill>
                      </w14:textFill>
                    </w:rPr>
                  </w:pPr>
                </w:p>
              </w:tc>
              <w:tc>
                <w:tcPr>
                  <w:tcW w:w="1609" w:type="pct"/>
                  <w:vMerge w:val="continue"/>
                  <w:tcBorders>
                    <w:tl2br w:val="nil"/>
                    <w:tr2bl w:val="nil"/>
                  </w:tcBorders>
                  <w:noWrap w:val="0"/>
                  <w:vAlign w:val="center"/>
                </w:tcPr>
                <w:p w14:paraId="2B0D971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p>
              </w:tc>
            </w:tr>
            <w:tr w14:paraId="515CFA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39" w:hRule="atLeast"/>
                <w:jc w:val="center"/>
              </w:trPr>
              <w:tc>
                <w:tcPr>
                  <w:tcW w:w="389" w:type="pct"/>
                  <w:vMerge w:val="continue"/>
                  <w:tcBorders>
                    <w:tl2br w:val="nil"/>
                    <w:tr2bl w:val="nil"/>
                  </w:tcBorders>
                  <w:noWrap w:val="0"/>
                  <w:vAlign w:val="center"/>
                </w:tcPr>
                <w:p w14:paraId="1A6178DA">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pacing w:val="-10"/>
                      <w:szCs w:val="21"/>
                      <w14:textFill>
                        <w14:solidFill>
                          <w14:schemeClr w14:val="tx1"/>
                        </w14:solidFill>
                      </w14:textFill>
                    </w:rPr>
                  </w:pPr>
                </w:p>
              </w:tc>
              <w:tc>
                <w:tcPr>
                  <w:tcW w:w="755" w:type="pct"/>
                  <w:tcBorders>
                    <w:tl2br w:val="nil"/>
                    <w:tr2bl w:val="nil"/>
                  </w:tcBorders>
                  <w:shd w:val="clear" w:color="auto" w:fill="auto"/>
                  <w:noWrap w:val="0"/>
                  <w:vAlign w:val="center"/>
                </w:tcPr>
                <w:p w14:paraId="0503358D">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 w:cs="Times New Roman"/>
                      <w:bCs/>
                      <w:color w:val="000000" w:themeColor="text1"/>
                      <w:spacing w:val="-10"/>
                      <w:kern w:val="2"/>
                      <w:sz w:val="21"/>
                      <w:szCs w:val="21"/>
                      <w:lang w:val="en-US" w:eastAsia="zh-CN" w:bidi="ar-SA"/>
                      <w14:textFill>
                        <w14:solidFill>
                          <w14:schemeClr w14:val="tx1"/>
                        </w14:solidFill>
                      </w14:textFill>
                    </w:rPr>
                  </w:pPr>
                  <w:r>
                    <w:rPr>
                      <w:rFonts w:eastAsia="仿宋"/>
                      <w:bCs/>
                      <w:color w:val="000000" w:themeColor="text1"/>
                      <w:spacing w:val="-10"/>
                      <w:szCs w:val="21"/>
                      <w14:textFill>
                        <w14:solidFill>
                          <w14:schemeClr w14:val="tx1"/>
                        </w14:solidFill>
                      </w14:textFill>
                    </w:rPr>
                    <w:t>无组织</w:t>
                  </w:r>
                </w:p>
              </w:tc>
              <w:tc>
                <w:tcPr>
                  <w:tcW w:w="631" w:type="pct"/>
                  <w:tcBorders>
                    <w:tl2br w:val="nil"/>
                    <w:tr2bl w:val="nil"/>
                  </w:tcBorders>
                  <w:shd w:val="clear" w:color="auto" w:fill="auto"/>
                  <w:noWrap w:val="0"/>
                  <w:vAlign w:val="center"/>
                </w:tcPr>
                <w:p w14:paraId="497F80F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000000" w:themeColor="text1"/>
                      <w:szCs w:val="21"/>
                      <w:lang w:val="en-US" w:eastAsia="zh-CN"/>
                      <w14:textFill>
                        <w14:solidFill>
                          <w14:schemeClr w14:val="tx1"/>
                        </w14:solidFill>
                      </w14:textFill>
                    </w:rPr>
                  </w:pPr>
                  <w:r>
                    <w:rPr>
                      <w:rFonts w:hint="eastAsia" w:eastAsia="仿宋"/>
                      <w:color w:val="000000" w:themeColor="text1"/>
                      <w:szCs w:val="21"/>
                      <w:lang w:val="en-US" w:eastAsia="zh-CN"/>
                      <w14:textFill>
                        <w14:solidFill>
                          <w14:schemeClr w14:val="tx1"/>
                        </w14:solidFill>
                      </w14:textFill>
                    </w:rPr>
                    <w:t>矿区</w:t>
                  </w:r>
                </w:p>
                <w:p w14:paraId="5596478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eastAsia" w:eastAsia="仿宋"/>
                      <w:color w:val="000000" w:themeColor="text1"/>
                      <w:szCs w:val="21"/>
                      <w:lang w:val="en-US" w:eastAsia="zh-CN"/>
                      <w14:textFill>
                        <w14:solidFill>
                          <w14:schemeClr w14:val="tx1"/>
                        </w14:solidFill>
                      </w14:textFill>
                    </w:rPr>
                    <w:t>边界</w:t>
                  </w:r>
                </w:p>
              </w:tc>
              <w:tc>
                <w:tcPr>
                  <w:tcW w:w="845" w:type="pct"/>
                  <w:tcBorders>
                    <w:tl2br w:val="nil"/>
                    <w:tr2bl w:val="nil"/>
                  </w:tcBorders>
                  <w:shd w:val="clear" w:color="auto" w:fill="auto"/>
                  <w:noWrap w:val="0"/>
                  <w:vAlign w:val="center"/>
                </w:tcPr>
                <w:p w14:paraId="3CB9D301">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 w:cs="Times New Roman"/>
                      <w:bCs/>
                      <w:color w:val="000000" w:themeColor="text1"/>
                      <w:spacing w:val="-10"/>
                      <w:kern w:val="2"/>
                      <w:sz w:val="21"/>
                      <w:szCs w:val="21"/>
                      <w:lang w:val="en-US" w:eastAsia="zh-CN" w:bidi="ar-SA"/>
                      <w14:textFill>
                        <w14:solidFill>
                          <w14:schemeClr w14:val="tx1"/>
                        </w14:solidFill>
                      </w14:textFill>
                    </w:rPr>
                  </w:pPr>
                  <w:r>
                    <w:rPr>
                      <w:rFonts w:hint="eastAsia" w:eastAsia="仿宋"/>
                      <w:bCs/>
                      <w:color w:val="000000" w:themeColor="text1"/>
                      <w:spacing w:val="-10"/>
                      <w:szCs w:val="21"/>
                      <w:lang w:val="en-US" w:eastAsia="zh-CN"/>
                      <w14:textFill>
                        <w14:solidFill>
                          <w14:schemeClr w14:val="tx1"/>
                        </w14:solidFill>
                      </w14:textFill>
                    </w:rPr>
                    <w:t>颗粒物</w:t>
                  </w:r>
                </w:p>
              </w:tc>
              <w:tc>
                <w:tcPr>
                  <w:tcW w:w="768" w:type="pct"/>
                  <w:tcBorders>
                    <w:tl2br w:val="nil"/>
                    <w:tr2bl w:val="nil"/>
                  </w:tcBorders>
                  <w:shd w:val="clear" w:color="auto" w:fill="auto"/>
                  <w:noWrap w:val="0"/>
                  <w:vAlign w:val="center"/>
                </w:tcPr>
                <w:p w14:paraId="1B354BD5">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 w:cs="Times New Roman"/>
                      <w:bCs/>
                      <w:color w:val="000000" w:themeColor="text1"/>
                      <w:spacing w:val="-10"/>
                      <w:kern w:val="2"/>
                      <w:sz w:val="21"/>
                      <w:szCs w:val="21"/>
                      <w:lang w:val="en-US" w:eastAsia="zh-CN" w:bidi="ar-SA"/>
                      <w14:textFill>
                        <w14:solidFill>
                          <w14:schemeClr w14:val="tx1"/>
                        </w14:solidFill>
                      </w14:textFill>
                    </w:rPr>
                  </w:pPr>
                  <w:r>
                    <w:rPr>
                      <w:rFonts w:hint="eastAsia" w:eastAsia="仿宋"/>
                      <w:color w:val="000000" w:themeColor="text1"/>
                      <w:spacing w:val="-10"/>
                      <w:szCs w:val="21"/>
                      <w:lang w:val="en-US" w:eastAsia="zh-CN"/>
                      <w14:textFill>
                        <w14:solidFill>
                          <w14:schemeClr w14:val="tx1"/>
                        </w14:solidFill>
                      </w14:textFill>
                    </w:rPr>
                    <w:t>1次/</w:t>
                  </w:r>
                  <w:r>
                    <w:rPr>
                      <w:rFonts w:eastAsia="仿宋"/>
                      <w:bCs/>
                      <w:color w:val="000000" w:themeColor="text1"/>
                      <w:spacing w:val="-10"/>
                      <w:szCs w:val="21"/>
                      <w14:textFill>
                        <w14:solidFill>
                          <w14:schemeClr w14:val="tx1"/>
                        </w14:solidFill>
                      </w14:textFill>
                    </w:rPr>
                    <w:t>季度</w:t>
                  </w:r>
                </w:p>
              </w:tc>
              <w:tc>
                <w:tcPr>
                  <w:tcW w:w="1609" w:type="pct"/>
                  <w:vMerge w:val="continue"/>
                  <w:tcBorders>
                    <w:tl2br w:val="nil"/>
                    <w:tr2bl w:val="nil"/>
                  </w:tcBorders>
                  <w:noWrap w:val="0"/>
                  <w:vAlign w:val="center"/>
                </w:tcPr>
                <w:p w14:paraId="5EFC6083">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Cs/>
                      <w:color w:val="000000" w:themeColor="text1"/>
                      <w:spacing w:val="-10"/>
                      <w:szCs w:val="21"/>
                      <w14:textFill>
                        <w14:solidFill>
                          <w14:schemeClr w14:val="tx1"/>
                        </w14:solidFill>
                      </w14:textFill>
                    </w:rPr>
                  </w:pPr>
                </w:p>
              </w:tc>
            </w:tr>
          </w:tbl>
          <w:p w14:paraId="0D2DEA16">
            <w:pPr>
              <w:keepNext w:val="0"/>
              <w:keepLines w:val="0"/>
              <w:pageBreakBefore w:val="0"/>
              <w:widowControl/>
              <w:suppressLineNumbers w:val="0"/>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pPr>
            <w:r>
              <w:rPr>
                <w:rFonts w:hint="eastAsia"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2.1.4非正常工况</w:t>
            </w:r>
          </w:p>
          <w:p w14:paraId="5EDC299B">
            <w:pPr>
              <w:adjustRightInd w:val="0"/>
              <w:snapToGrid w:val="0"/>
              <w:spacing w:line="360" w:lineRule="auto"/>
              <w:ind w:firstLine="480" w:firstLineChars="200"/>
              <w:jc w:val="left"/>
              <w:rPr>
                <w:rFonts w:eastAsia="仿宋"/>
                <w:color w:val="000000" w:themeColor="text1"/>
                <w:sz w:val="24"/>
                <w14:textFill>
                  <w14:solidFill>
                    <w14:schemeClr w14:val="tx1"/>
                  </w14:solidFill>
                </w14:textFill>
              </w:rPr>
            </w:pPr>
            <w:r>
              <w:rPr>
                <w:rFonts w:hint="eastAsia" w:eastAsia="仿宋"/>
                <w:color w:val="000000" w:themeColor="text1"/>
                <w:sz w:val="24"/>
                <w14:textFill>
                  <w14:solidFill>
                    <w14:schemeClr w14:val="tx1"/>
                  </w14:solidFill>
                </w14:textFill>
              </w:rPr>
              <w:t>本项目非正常工况主要为废气处理设施发生故障，污染物治理措施达不到应有效率，造成废气污染物超标排放或未净化直接排放，其排放情况见表</w:t>
            </w:r>
            <w:r>
              <w:rPr>
                <w:rFonts w:hint="eastAsia" w:eastAsia="仿宋"/>
                <w:color w:val="000000" w:themeColor="text1"/>
                <w:sz w:val="24"/>
                <w:lang w:val="en-US" w:eastAsia="zh-CN"/>
                <w14:textFill>
                  <w14:solidFill>
                    <w14:schemeClr w14:val="tx1"/>
                  </w14:solidFill>
                </w14:textFill>
              </w:rPr>
              <w:t>42</w:t>
            </w:r>
            <w:r>
              <w:rPr>
                <w:rFonts w:hint="eastAsia" w:eastAsia="仿宋"/>
                <w:color w:val="000000" w:themeColor="text1"/>
                <w:sz w:val="24"/>
                <w14:textFill>
                  <w14:solidFill>
                    <w14:schemeClr w14:val="tx1"/>
                  </w14:solidFill>
                </w14:textFill>
              </w:rPr>
              <w:t>。</w:t>
            </w:r>
          </w:p>
          <w:p w14:paraId="724245E9">
            <w:pPr>
              <w:pStyle w:val="13"/>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eastAsia="仿宋" w:cs="Times New Roman"/>
                <w:b/>
                <w:color w:val="FF0000"/>
                <w:sz w:val="21"/>
                <w:szCs w:val="21"/>
              </w:rPr>
            </w:pPr>
            <w:r>
              <w:rPr>
                <w:rFonts w:hint="eastAsia" w:ascii="Times New Roman" w:eastAsia="仿宋" w:cs="Times New Roman"/>
                <w:b/>
                <w:color w:val="FF0000"/>
                <w:sz w:val="21"/>
                <w:szCs w:val="21"/>
              </w:rPr>
              <w:t>表</w:t>
            </w:r>
            <w:r>
              <w:rPr>
                <w:rFonts w:hint="eastAsia" w:ascii="Times New Roman" w:eastAsia="仿宋" w:cs="Times New Roman"/>
                <w:b/>
                <w:color w:val="FF0000"/>
                <w:sz w:val="21"/>
                <w:szCs w:val="21"/>
                <w:lang w:val="en-US" w:eastAsia="zh-CN"/>
              </w:rPr>
              <w:t>42</w:t>
            </w:r>
            <w:r>
              <w:rPr>
                <w:rFonts w:hint="eastAsia" w:ascii="Times New Roman" w:eastAsia="仿宋" w:cs="Times New Roman"/>
                <w:b/>
                <w:color w:val="FF0000"/>
                <w:sz w:val="21"/>
                <w:szCs w:val="21"/>
              </w:rPr>
              <w:t xml:space="preserve">  非正常情况废气污染物排放情况一览表</w:t>
            </w:r>
          </w:p>
          <w:tbl>
            <w:tblPr>
              <w:tblStyle w:val="24"/>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392"/>
              <w:gridCol w:w="484"/>
              <w:gridCol w:w="427"/>
              <w:gridCol w:w="477"/>
              <w:gridCol w:w="1234"/>
              <w:gridCol w:w="388"/>
              <w:gridCol w:w="521"/>
              <w:gridCol w:w="452"/>
              <w:gridCol w:w="388"/>
              <w:gridCol w:w="388"/>
              <w:gridCol w:w="1339"/>
              <w:gridCol w:w="776"/>
            </w:tblGrid>
            <w:tr w14:paraId="63D054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69" w:type="pct"/>
                  <w:tcBorders>
                    <w:tl2br w:val="nil"/>
                    <w:tr2bl w:val="nil"/>
                  </w:tcBorders>
                  <w:vAlign w:val="center"/>
                </w:tcPr>
                <w:p w14:paraId="6E6A929A">
                  <w:pPr>
                    <w:adjustRightInd w:val="0"/>
                    <w:snapToGrid w:val="0"/>
                    <w:jc w:val="center"/>
                    <w:rPr>
                      <w:rFonts w:eastAsia="仿宋"/>
                      <w:b/>
                      <w:bCs/>
                      <w:caps/>
                      <w:color w:val="FF0000"/>
                      <w:szCs w:val="21"/>
                    </w:rPr>
                  </w:pPr>
                  <w:r>
                    <w:rPr>
                      <w:rFonts w:eastAsia="仿宋"/>
                      <w:b/>
                      <w:bCs/>
                      <w:caps/>
                      <w:color w:val="FF0000"/>
                      <w:szCs w:val="21"/>
                    </w:rPr>
                    <w:t>情形</w:t>
                  </w:r>
                </w:p>
              </w:tc>
              <w:tc>
                <w:tcPr>
                  <w:tcW w:w="333" w:type="pct"/>
                  <w:tcBorders>
                    <w:tl2br w:val="nil"/>
                    <w:tr2bl w:val="nil"/>
                  </w:tcBorders>
                  <w:vAlign w:val="center"/>
                </w:tcPr>
                <w:p w14:paraId="00EEA077">
                  <w:pPr>
                    <w:adjustRightInd w:val="0"/>
                    <w:snapToGrid w:val="0"/>
                    <w:jc w:val="center"/>
                    <w:rPr>
                      <w:rFonts w:eastAsia="仿宋"/>
                      <w:b/>
                      <w:bCs/>
                      <w:caps/>
                      <w:color w:val="FF0000"/>
                      <w:szCs w:val="21"/>
                    </w:rPr>
                  </w:pPr>
                  <w:r>
                    <w:rPr>
                      <w:rFonts w:eastAsia="仿宋"/>
                      <w:b/>
                      <w:bCs/>
                      <w:caps/>
                      <w:color w:val="FF0000"/>
                      <w:szCs w:val="21"/>
                    </w:rPr>
                    <w:t>非正常排放源</w:t>
                  </w:r>
                </w:p>
              </w:tc>
              <w:tc>
                <w:tcPr>
                  <w:tcW w:w="293" w:type="pct"/>
                  <w:tcBorders>
                    <w:tl2br w:val="nil"/>
                    <w:tr2bl w:val="nil"/>
                  </w:tcBorders>
                  <w:vAlign w:val="center"/>
                </w:tcPr>
                <w:p w14:paraId="30C7EB20">
                  <w:pPr>
                    <w:adjustRightInd w:val="0"/>
                    <w:snapToGrid w:val="0"/>
                    <w:jc w:val="center"/>
                    <w:rPr>
                      <w:rFonts w:eastAsia="仿宋"/>
                      <w:b/>
                      <w:bCs/>
                      <w:caps/>
                      <w:color w:val="FF0000"/>
                      <w:szCs w:val="21"/>
                    </w:rPr>
                  </w:pPr>
                  <w:r>
                    <w:rPr>
                      <w:rFonts w:eastAsia="仿宋"/>
                      <w:b/>
                      <w:bCs/>
                      <w:caps/>
                      <w:color w:val="FF0000"/>
                      <w:szCs w:val="21"/>
                    </w:rPr>
                    <w:t>非正常排放原因</w:t>
                  </w:r>
                </w:p>
              </w:tc>
              <w:tc>
                <w:tcPr>
                  <w:tcW w:w="328" w:type="pct"/>
                  <w:tcBorders>
                    <w:tl2br w:val="nil"/>
                    <w:tr2bl w:val="nil"/>
                  </w:tcBorders>
                  <w:vAlign w:val="center"/>
                </w:tcPr>
                <w:p w14:paraId="522C0947">
                  <w:pPr>
                    <w:adjustRightInd w:val="0"/>
                    <w:snapToGrid w:val="0"/>
                    <w:jc w:val="center"/>
                    <w:rPr>
                      <w:rFonts w:eastAsia="仿宋"/>
                      <w:b/>
                      <w:bCs/>
                      <w:caps/>
                      <w:color w:val="FF0000"/>
                      <w:szCs w:val="21"/>
                    </w:rPr>
                  </w:pPr>
                  <w:r>
                    <w:rPr>
                      <w:rFonts w:eastAsia="仿宋"/>
                      <w:b/>
                      <w:bCs/>
                      <w:caps/>
                      <w:color w:val="FF0000"/>
                      <w:szCs w:val="21"/>
                    </w:rPr>
                    <w:t>污染物</w:t>
                  </w:r>
                </w:p>
              </w:tc>
              <w:tc>
                <w:tcPr>
                  <w:tcW w:w="849" w:type="pct"/>
                  <w:tcBorders>
                    <w:tl2br w:val="nil"/>
                    <w:tr2bl w:val="nil"/>
                  </w:tcBorders>
                  <w:vAlign w:val="center"/>
                </w:tcPr>
                <w:p w14:paraId="351FD906">
                  <w:pPr>
                    <w:adjustRightInd w:val="0"/>
                    <w:snapToGrid w:val="0"/>
                    <w:jc w:val="center"/>
                    <w:rPr>
                      <w:rFonts w:eastAsia="仿宋"/>
                      <w:b/>
                      <w:bCs/>
                      <w:caps/>
                      <w:color w:val="FF0000"/>
                      <w:szCs w:val="21"/>
                    </w:rPr>
                  </w:pPr>
                  <w:r>
                    <w:rPr>
                      <w:rFonts w:eastAsia="仿宋"/>
                      <w:b/>
                      <w:bCs/>
                      <w:caps/>
                      <w:color w:val="FF0000"/>
                      <w:szCs w:val="21"/>
                    </w:rPr>
                    <w:t>产生情况</w:t>
                  </w:r>
                </w:p>
              </w:tc>
              <w:tc>
                <w:tcPr>
                  <w:tcW w:w="266" w:type="pct"/>
                  <w:tcBorders>
                    <w:tl2br w:val="nil"/>
                    <w:tr2bl w:val="nil"/>
                  </w:tcBorders>
                  <w:vAlign w:val="center"/>
                </w:tcPr>
                <w:p w14:paraId="4E355383">
                  <w:pPr>
                    <w:adjustRightInd w:val="0"/>
                    <w:snapToGrid w:val="0"/>
                    <w:jc w:val="center"/>
                    <w:rPr>
                      <w:rFonts w:eastAsia="仿宋"/>
                      <w:b/>
                      <w:bCs/>
                      <w:caps/>
                      <w:color w:val="FF0000"/>
                      <w:szCs w:val="21"/>
                    </w:rPr>
                  </w:pPr>
                  <w:r>
                    <w:rPr>
                      <w:rFonts w:eastAsia="仿宋"/>
                      <w:b/>
                      <w:bCs/>
                      <w:caps/>
                      <w:color w:val="FF0000"/>
                      <w:szCs w:val="21"/>
                    </w:rPr>
                    <w:t>排放形式</w:t>
                  </w:r>
                </w:p>
              </w:tc>
              <w:tc>
                <w:tcPr>
                  <w:tcW w:w="358" w:type="pct"/>
                  <w:tcBorders>
                    <w:tl2br w:val="nil"/>
                    <w:tr2bl w:val="nil"/>
                  </w:tcBorders>
                  <w:vAlign w:val="center"/>
                </w:tcPr>
                <w:p w14:paraId="40FF6373">
                  <w:pPr>
                    <w:adjustRightInd w:val="0"/>
                    <w:snapToGrid w:val="0"/>
                    <w:jc w:val="center"/>
                    <w:rPr>
                      <w:rFonts w:eastAsia="仿宋"/>
                      <w:b/>
                      <w:bCs/>
                      <w:caps/>
                      <w:color w:val="FF0000"/>
                      <w:szCs w:val="21"/>
                    </w:rPr>
                  </w:pPr>
                  <w:r>
                    <w:rPr>
                      <w:rFonts w:eastAsia="仿宋"/>
                      <w:b/>
                      <w:bCs/>
                      <w:caps/>
                      <w:color w:val="FF0000"/>
                      <w:szCs w:val="21"/>
                    </w:rPr>
                    <w:t>处理设施</w:t>
                  </w:r>
                </w:p>
              </w:tc>
              <w:tc>
                <w:tcPr>
                  <w:tcW w:w="311" w:type="pct"/>
                  <w:tcBorders>
                    <w:tl2br w:val="nil"/>
                    <w:tr2bl w:val="nil"/>
                  </w:tcBorders>
                  <w:vAlign w:val="center"/>
                </w:tcPr>
                <w:p w14:paraId="49F9BD8A">
                  <w:pPr>
                    <w:adjustRightInd w:val="0"/>
                    <w:snapToGrid w:val="0"/>
                    <w:jc w:val="center"/>
                    <w:rPr>
                      <w:rFonts w:eastAsia="仿宋"/>
                      <w:b/>
                      <w:bCs/>
                      <w:caps/>
                      <w:color w:val="FF0000"/>
                      <w:szCs w:val="21"/>
                    </w:rPr>
                  </w:pPr>
                  <w:r>
                    <w:rPr>
                      <w:rFonts w:eastAsia="仿宋"/>
                      <w:b/>
                      <w:bCs/>
                      <w:caps/>
                      <w:color w:val="FF0000"/>
                      <w:szCs w:val="21"/>
                    </w:rPr>
                    <w:t>去除效率</w:t>
                  </w:r>
                </w:p>
              </w:tc>
              <w:tc>
                <w:tcPr>
                  <w:tcW w:w="266" w:type="pct"/>
                  <w:tcBorders>
                    <w:tl2br w:val="nil"/>
                    <w:tr2bl w:val="nil"/>
                  </w:tcBorders>
                  <w:vAlign w:val="center"/>
                </w:tcPr>
                <w:p w14:paraId="4FEC9DD9">
                  <w:pPr>
                    <w:adjustRightInd w:val="0"/>
                    <w:snapToGrid w:val="0"/>
                    <w:jc w:val="center"/>
                    <w:rPr>
                      <w:rFonts w:eastAsia="仿宋"/>
                      <w:b/>
                      <w:bCs/>
                      <w:caps/>
                      <w:color w:val="FF0000"/>
                      <w:szCs w:val="21"/>
                    </w:rPr>
                  </w:pPr>
                  <w:r>
                    <w:rPr>
                      <w:rFonts w:eastAsia="仿宋"/>
                      <w:b/>
                      <w:bCs/>
                      <w:caps/>
                      <w:color w:val="FF0000"/>
                      <w:szCs w:val="21"/>
                    </w:rPr>
                    <w:t>单次持续时间</w:t>
                  </w:r>
                </w:p>
              </w:tc>
              <w:tc>
                <w:tcPr>
                  <w:tcW w:w="266" w:type="pct"/>
                  <w:tcBorders>
                    <w:tl2br w:val="nil"/>
                    <w:tr2bl w:val="nil"/>
                  </w:tcBorders>
                  <w:vAlign w:val="center"/>
                </w:tcPr>
                <w:p w14:paraId="728E788A">
                  <w:pPr>
                    <w:adjustRightInd w:val="0"/>
                    <w:snapToGrid w:val="0"/>
                    <w:jc w:val="center"/>
                    <w:rPr>
                      <w:rFonts w:eastAsia="仿宋"/>
                      <w:b/>
                      <w:bCs/>
                      <w:caps/>
                      <w:color w:val="FF0000"/>
                      <w:szCs w:val="21"/>
                    </w:rPr>
                  </w:pPr>
                  <w:r>
                    <w:rPr>
                      <w:rFonts w:eastAsia="仿宋"/>
                      <w:b/>
                      <w:bCs/>
                      <w:caps/>
                      <w:color w:val="FF0000"/>
                      <w:szCs w:val="21"/>
                    </w:rPr>
                    <w:t>年发生频次</w:t>
                  </w:r>
                </w:p>
              </w:tc>
              <w:tc>
                <w:tcPr>
                  <w:tcW w:w="921" w:type="pct"/>
                  <w:tcBorders>
                    <w:tl2br w:val="nil"/>
                    <w:tr2bl w:val="nil"/>
                  </w:tcBorders>
                  <w:vAlign w:val="center"/>
                </w:tcPr>
                <w:p w14:paraId="2D5BD3D9">
                  <w:pPr>
                    <w:adjustRightInd w:val="0"/>
                    <w:snapToGrid w:val="0"/>
                    <w:jc w:val="center"/>
                    <w:rPr>
                      <w:rFonts w:eastAsia="仿宋"/>
                      <w:b/>
                      <w:bCs/>
                      <w:caps/>
                      <w:color w:val="FF0000"/>
                      <w:szCs w:val="21"/>
                    </w:rPr>
                  </w:pPr>
                  <w:r>
                    <w:rPr>
                      <w:rFonts w:eastAsia="仿宋"/>
                      <w:b/>
                      <w:bCs/>
                      <w:caps/>
                      <w:color w:val="FF0000"/>
                      <w:szCs w:val="21"/>
                    </w:rPr>
                    <w:t>排放情况</w:t>
                  </w:r>
                </w:p>
              </w:tc>
              <w:tc>
                <w:tcPr>
                  <w:tcW w:w="533" w:type="pct"/>
                  <w:tcBorders>
                    <w:tl2br w:val="nil"/>
                    <w:tr2bl w:val="nil"/>
                  </w:tcBorders>
                  <w:vAlign w:val="center"/>
                </w:tcPr>
                <w:p w14:paraId="7EDEB143">
                  <w:pPr>
                    <w:adjustRightInd w:val="0"/>
                    <w:snapToGrid w:val="0"/>
                    <w:jc w:val="center"/>
                    <w:rPr>
                      <w:rFonts w:eastAsia="仿宋"/>
                      <w:b/>
                      <w:bCs/>
                      <w:caps/>
                      <w:color w:val="FF0000"/>
                      <w:szCs w:val="21"/>
                    </w:rPr>
                  </w:pPr>
                  <w:r>
                    <w:rPr>
                      <w:rFonts w:eastAsia="仿宋"/>
                      <w:b/>
                      <w:bCs/>
                      <w:caps/>
                      <w:color w:val="FF0000"/>
                      <w:szCs w:val="21"/>
                    </w:rPr>
                    <w:t>应对措施</w:t>
                  </w:r>
                </w:p>
              </w:tc>
            </w:tr>
            <w:tr w14:paraId="594A016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11" w:hRule="atLeast"/>
                <w:jc w:val="center"/>
              </w:trPr>
              <w:tc>
                <w:tcPr>
                  <w:tcW w:w="269" w:type="pct"/>
                  <w:vMerge w:val="restart"/>
                  <w:tcBorders>
                    <w:tl2br w:val="nil"/>
                    <w:tr2bl w:val="nil"/>
                  </w:tcBorders>
                  <w:vAlign w:val="center"/>
                </w:tcPr>
                <w:p w14:paraId="7DDA79B9">
                  <w:pPr>
                    <w:adjustRightInd w:val="0"/>
                    <w:snapToGrid w:val="0"/>
                    <w:jc w:val="center"/>
                    <w:rPr>
                      <w:rFonts w:eastAsia="仿宋"/>
                      <w:caps/>
                      <w:color w:val="FF0000"/>
                      <w:szCs w:val="21"/>
                    </w:rPr>
                  </w:pPr>
                  <w:r>
                    <w:rPr>
                      <w:rFonts w:eastAsia="仿宋"/>
                      <w:caps/>
                      <w:color w:val="FF0000"/>
                      <w:szCs w:val="21"/>
                    </w:rPr>
                    <w:t>废气处理设施出现故障</w:t>
                  </w:r>
                </w:p>
              </w:tc>
              <w:tc>
                <w:tcPr>
                  <w:tcW w:w="333" w:type="pct"/>
                  <w:tcBorders>
                    <w:tl2br w:val="nil"/>
                    <w:tr2bl w:val="nil"/>
                  </w:tcBorders>
                  <w:vAlign w:val="center"/>
                </w:tcPr>
                <w:p w14:paraId="64D9025C">
                  <w:pPr>
                    <w:adjustRightInd w:val="0"/>
                    <w:snapToGrid w:val="0"/>
                    <w:jc w:val="center"/>
                    <w:rPr>
                      <w:rFonts w:eastAsia="仿宋"/>
                      <w:caps/>
                      <w:color w:val="FF0000"/>
                      <w:szCs w:val="21"/>
                    </w:rPr>
                  </w:pPr>
                  <w:r>
                    <w:rPr>
                      <w:rFonts w:eastAsia="仿宋"/>
                      <w:caps/>
                      <w:color w:val="FF0000"/>
                      <w:szCs w:val="21"/>
                    </w:rPr>
                    <w:t>DA</w:t>
                  </w:r>
                </w:p>
                <w:p w14:paraId="4721425E">
                  <w:pPr>
                    <w:adjustRightInd w:val="0"/>
                    <w:snapToGrid w:val="0"/>
                    <w:jc w:val="center"/>
                    <w:rPr>
                      <w:rFonts w:hint="eastAsia" w:eastAsia="仿宋"/>
                      <w:caps/>
                      <w:color w:val="FF0000"/>
                      <w:szCs w:val="21"/>
                      <w:lang w:eastAsia="zh-CN"/>
                    </w:rPr>
                  </w:pPr>
                  <w:r>
                    <w:rPr>
                      <w:rFonts w:eastAsia="仿宋"/>
                      <w:caps/>
                      <w:color w:val="FF0000"/>
                      <w:szCs w:val="21"/>
                    </w:rPr>
                    <w:t>00</w:t>
                  </w:r>
                  <w:r>
                    <w:rPr>
                      <w:rFonts w:hint="eastAsia" w:eastAsia="仿宋"/>
                      <w:caps/>
                      <w:color w:val="FF0000"/>
                      <w:szCs w:val="21"/>
                      <w:lang w:val="en-US" w:eastAsia="zh-CN"/>
                    </w:rPr>
                    <w:t>1</w:t>
                  </w:r>
                </w:p>
              </w:tc>
              <w:tc>
                <w:tcPr>
                  <w:tcW w:w="293" w:type="pct"/>
                  <w:tcBorders>
                    <w:tl2br w:val="nil"/>
                    <w:tr2bl w:val="nil"/>
                  </w:tcBorders>
                  <w:vAlign w:val="center"/>
                </w:tcPr>
                <w:p w14:paraId="2DB96B5D">
                  <w:pPr>
                    <w:adjustRightInd w:val="0"/>
                    <w:snapToGrid w:val="0"/>
                    <w:jc w:val="center"/>
                    <w:rPr>
                      <w:rFonts w:eastAsia="仿宋"/>
                      <w:caps/>
                      <w:color w:val="FF0000"/>
                      <w:szCs w:val="21"/>
                    </w:rPr>
                  </w:pPr>
                  <w:r>
                    <w:rPr>
                      <w:rFonts w:eastAsia="仿宋"/>
                      <w:caps/>
                      <w:color w:val="FF0000"/>
                      <w:szCs w:val="21"/>
                    </w:rPr>
                    <w:t>废气处理设施效率降低</w:t>
                  </w:r>
                </w:p>
              </w:tc>
              <w:tc>
                <w:tcPr>
                  <w:tcW w:w="328" w:type="pct"/>
                  <w:tcBorders>
                    <w:tl2br w:val="nil"/>
                    <w:tr2bl w:val="nil"/>
                  </w:tcBorders>
                  <w:vAlign w:val="center"/>
                </w:tcPr>
                <w:p w14:paraId="51C230B1">
                  <w:pPr>
                    <w:adjustRightInd w:val="0"/>
                    <w:snapToGrid w:val="0"/>
                    <w:jc w:val="center"/>
                    <w:rPr>
                      <w:rFonts w:eastAsia="仿宋"/>
                      <w:caps/>
                      <w:color w:val="FF0000"/>
                      <w:szCs w:val="21"/>
                    </w:rPr>
                  </w:pPr>
                  <w:r>
                    <w:rPr>
                      <w:rFonts w:eastAsia="仿宋"/>
                      <w:color w:val="FF0000"/>
                      <w:szCs w:val="21"/>
                    </w:rPr>
                    <w:t>颗粒物</w:t>
                  </w:r>
                </w:p>
              </w:tc>
              <w:tc>
                <w:tcPr>
                  <w:tcW w:w="849" w:type="pct"/>
                  <w:tcBorders>
                    <w:tl2br w:val="nil"/>
                    <w:tr2bl w:val="nil"/>
                  </w:tcBorders>
                  <w:vAlign w:val="center"/>
                </w:tcPr>
                <w:p w14:paraId="630EE527">
                  <w:pPr>
                    <w:widowControl/>
                    <w:adjustRightInd w:val="0"/>
                    <w:snapToGrid w:val="0"/>
                    <w:jc w:val="center"/>
                    <w:textAlignment w:val="center"/>
                    <w:rPr>
                      <w:rFonts w:eastAsia="仿宋"/>
                      <w:color w:val="FF0000"/>
                      <w:szCs w:val="21"/>
                    </w:rPr>
                  </w:pPr>
                  <w:r>
                    <w:rPr>
                      <w:rFonts w:hint="eastAsia" w:eastAsia="仿宋"/>
                      <w:caps/>
                      <w:color w:val="FF0000"/>
                      <w:szCs w:val="21"/>
                      <w:lang w:val="en-US" w:eastAsia="zh-CN"/>
                    </w:rPr>
                    <w:t>1258</w:t>
                  </w:r>
                  <w:r>
                    <w:rPr>
                      <w:rFonts w:eastAsia="仿宋"/>
                      <w:color w:val="FF0000"/>
                      <w:szCs w:val="21"/>
                    </w:rPr>
                    <w:t>mg/m</w:t>
                  </w:r>
                  <w:r>
                    <w:rPr>
                      <w:rFonts w:eastAsia="仿宋"/>
                      <w:color w:val="FF0000"/>
                      <w:szCs w:val="21"/>
                      <w:vertAlign w:val="superscript"/>
                    </w:rPr>
                    <w:t>3</w:t>
                  </w:r>
                </w:p>
                <w:p w14:paraId="5613BDE3">
                  <w:pPr>
                    <w:adjustRightInd w:val="0"/>
                    <w:snapToGrid w:val="0"/>
                    <w:jc w:val="center"/>
                    <w:rPr>
                      <w:rFonts w:eastAsia="仿宋"/>
                      <w:color w:val="FF0000"/>
                      <w:szCs w:val="21"/>
                    </w:rPr>
                  </w:pPr>
                  <w:r>
                    <w:rPr>
                      <w:rFonts w:hint="eastAsia" w:eastAsia="仿宋"/>
                      <w:color w:val="FF0000"/>
                      <w:szCs w:val="21"/>
                      <w:lang w:val="en-US" w:eastAsia="zh-CN"/>
                    </w:rPr>
                    <w:t>76.4</w:t>
                  </w:r>
                  <w:r>
                    <w:rPr>
                      <w:rFonts w:eastAsia="仿宋"/>
                      <w:color w:val="FF0000"/>
                      <w:szCs w:val="21"/>
                    </w:rPr>
                    <w:t>kg/h</w:t>
                  </w:r>
                </w:p>
              </w:tc>
              <w:tc>
                <w:tcPr>
                  <w:tcW w:w="266" w:type="pct"/>
                  <w:tcBorders>
                    <w:tl2br w:val="nil"/>
                    <w:tr2bl w:val="nil"/>
                  </w:tcBorders>
                  <w:vAlign w:val="center"/>
                </w:tcPr>
                <w:p w14:paraId="6692D8DB">
                  <w:pPr>
                    <w:adjustRightInd w:val="0"/>
                    <w:snapToGrid w:val="0"/>
                    <w:jc w:val="center"/>
                    <w:rPr>
                      <w:rFonts w:eastAsia="仿宋"/>
                      <w:caps/>
                      <w:color w:val="FF0000"/>
                      <w:szCs w:val="21"/>
                    </w:rPr>
                  </w:pPr>
                  <w:r>
                    <w:rPr>
                      <w:rFonts w:eastAsia="仿宋"/>
                      <w:caps/>
                      <w:color w:val="FF0000"/>
                      <w:szCs w:val="21"/>
                    </w:rPr>
                    <w:t>有组织</w:t>
                  </w:r>
                </w:p>
              </w:tc>
              <w:tc>
                <w:tcPr>
                  <w:tcW w:w="358" w:type="pct"/>
                  <w:tcBorders>
                    <w:tl2br w:val="nil"/>
                    <w:tr2bl w:val="nil"/>
                  </w:tcBorders>
                  <w:vAlign w:val="center"/>
                </w:tcPr>
                <w:p w14:paraId="0B264FB4">
                  <w:pPr>
                    <w:adjustRightInd w:val="0"/>
                    <w:snapToGrid w:val="0"/>
                    <w:jc w:val="center"/>
                    <w:rPr>
                      <w:rFonts w:eastAsia="仿宋"/>
                      <w:caps/>
                      <w:color w:val="FF0000"/>
                      <w:szCs w:val="21"/>
                    </w:rPr>
                  </w:pPr>
                  <w:r>
                    <w:rPr>
                      <w:rFonts w:eastAsia="仿宋"/>
                      <w:color w:val="FF0000"/>
                      <w:szCs w:val="21"/>
                    </w:rPr>
                    <w:t>布袋除尘器</w:t>
                  </w:r>
                </w:p>
              </w:tc>
              <w:tc>
                <w:tcPr>
                  <w:tcW w:w="311" w:type="pct"/>
                  <w:tcBorders>
                    <w:tl2br w:val="nil"/>
                    <w:tr2bl w:val="nil"/>
                  </w:tcBorders>
                  <w:vAlign w:val="center"/>
                </w:tcPr>
                <w:p w14:paraId="2F18369B">
                  <w:pPr>
                    <w:adjustRightInd w:val="0"/>
                    <w:snapToGrid w:val="0"/>
                    <w:jc w:val="center"/>
                    <w:rPr>
                      <w:rFonts w:eastAsia="仿宋"/>
                      <w:caps/>
                      <w:color w:val="FF0000"/>
                      <w:szCs w:val="21"/>
                    </w:rPr>
                  </w:pPr>
                  <w:r>
                    <w:rPr>
                      <w:rFonts w:hint="eastAsia" w:eastAsia="仿宋"/>
                      <w:caps/>
                      <w:color w:val="FF0000"/>
                      <w:szCs w:val="21"/>
                    </w:rPr>
                    <w:t>50</w:t>
                  </w:r>
                  <w:r>
                    <w:rPr>
                      <w:rFonts w:eastAsia="仿宋"/>
                      <w:caps/>
                      <w:color w:val="FF0000"/>
                      <w:szCs w:val="21"/>
                    </w:rPr>
                    <w:t>%</w:t>
                  </w:r>
                </w:p>
              </w:tc>
              <w:tc>
                <w:tcPr>
                  <w:tcW w:w="266" w:type="pct"/>
                  <w:tcBorders>
                    <w:tl2br w:val="nil"/>
                    <w:tr2bl w:val="nil"/>
                  </w:tcBorders>
                  <w:vAlign w:val="center"/>
                </w:tcPr>
                <w:p w14:paraId="6B77295A">
                  <w:pPr>
                    <w:adjustRightInd w:val="0"/>
                    <w:snapToGrid w:val="0"/>
                    <w:jc w:val="center"/>
                    <w:rPr>
                      <w:rFonts w:eastAsia="仿宋"/>
                      <w:caps/>
                      <w:color w:val="FF0000"/>
                      <w:szCs w:val="21"/>
                    </w:rPr>
                  </w:pPr>
                  <w:r>
                    <w:rPr>
                      <w:rFonts w:eastAsia="仿宋"/>
                      <w:caps/>
                      <w:color w:val="FF0000"/>
                      <w:szCs w:val="21"/>
                    </w:rPr>
                    <w:t>1</w:t>
                  </w:r>
                  <w:r>
                    <w:rPr>
                      <w:rFonts w:eastAsia="仿宋"/>
                      <w:color w:val="FF0000"/>
                      <w:szCs w:val="21"/>
                    </w:rPr>
                    <w:t>h</w:t>
                  </w:r>
                </w:p>
              </w:tc>
              <w:tc>
                <w:tcPr>
                  <w:tcW w:w="266" w:type="pct"/>
                  <w:tcBorders>
                    <w:tl2br w:val="nil"/>
                    <w:tr2bl w:val="nil"/>
                  </w:tcBorders>
                  <w:vAlign w:val="center"/>
                </w:tcPr>
                <w:p w14:paraId="3A1B22E8">
                  <w:pPr>
                    <w:adjustRightInd w:val="0"/>
                    <w:snapToGrid w:val="0"/>
                    <w:jc w:val="center"/>
                    <w:rPr>
                      <w:rFonts w:eastAsia="仿宋"/>
                      <w:caps/>
                      <w:color w:val="FF0000"/>
                      <w:szCs w:val="21"/>
                    </w:rPr>
                  </w:pPr>
                  <w:r>
                    <w:rPr>
                      <w:rFonts w:eastAsia="仿宋"/>
                      <w:caps/>
                      <w:color w:val="FF0000"/>
                      <w:szCs w:val="21"/>
                    </w:rPr>
                    <w:t>1次/年</w:t>
                  </w:r>
                </w:p>
              </w:tc>
              <w:tc>
                <w:tcPr>
                  <w:tcW w:w="921" w:type="pct"/>
                  <w:tcBorders>
                    <w:tl2br w:val="nil"/>
                    <w:tr2bl w:val="nil"/>
                  </w:tcBorders>
                  <w:vAlign w:val="center"/>
                </w:tcPr>
                <w:p w14:paraId="0D9D08A9">
                  <w:pPr>
                    <w:widowControl/>
                    <w:adjustRightInd w:val="0"/>
                    <w:snapToGrid w:val="0"/>
                    <w:jc w:val="center"/>
                    <w:textAlignment w:val="center"/>
                    <w:rPr>
                      <w:rFonts w:eastAsia="仿宋"/>
                      <w:color w:val="FF0000"/>
                      <w:szCs w:val="21"/>
                    </w:rPr>
                  </w:pPr>
                  <w:r>
                    <w:rPr>
                      <w:rFonts w:hint="eastAsia" w:eastAsia="仿宋"/>
                      <w:caps/>
                      <w:color w:val="FF0000"/>
                      <w:szCs w:val="21"/>
                      <w:lang w:val="en-US" w:eastAsia="zh-CN"/>
                    </w:rPr>
                    <w:t>629</w:t>
                  </w:r>
                  <w:r>
                    <w:rPr>
                      <w:rFonts w:eastAsia="仿宋"/>
                      <w:color w:val="FF0000"/>
                      <w:szCs w:val="21"/>
                    </w:rPr>
                    <w:t>mg/m</w:t>
                  </w:r>
                  <w:r>
                    <w:rPr>
                      <w:rFonts w:eastAsia="仿宋"/>
                      <w:color w:val="FF0000"/>
                      <w:szCs w:val="21"/>
                      <w:vertAlign w:val="superscript"/>
                    </w:rPr>
                    <w:t>3</w:t>
                  </w:r>
                </w:p>
                <w:p w14:paraId="66799A3D">
                  <w:pPr>
                    <w:adjustRightInd w:val="0"/>
                    <w:snapToGrid w:val="0"/>
                    <w:jc w:val="center"/>
                    <w:rPr>
                      <w:rFonts w:eastAsia="仿宋"/>
                      <w:caps/>
                      <w:color w:val="FF0000"/>
                      <w:szCs w:val="21"/>
                    </w:rPr>
                  </w:pPr>
                  <w:r>
                    <w:rPr>
                      <w:rFonts w:hint="eastAsia" w:eastAsia="仿宋"/>
                      <w:color w:val="FF0000"/>
                      <w:szCs w:val="21"/>
                      <w:lang w:val="en-US" w:eastAsia="zh-CN"/>
                    </w:rPr>
                    <w:t>38.2</w:t>
                  </w:r>
                  <w:r>
                    <w:rPr>
                      <w:rFonts w:eastAsia="仿宋"/>
                      <w:color w:val="FF0000"/>
                      <w:szCs w:val="21"/>
                    </w:rPr>
                    <w:t>kg/h</w:t>
                  </w:r>
                </w:p>
              </w:tc>
              <w:tc>
                <w:tcPr>
                  <w:tcW w:w="533" w:type="pct"/>
                  <w:vMerge w:val="restart"/>
                  <w:tcBorders>
                    <w:tl2br w:val="nil"/>
                    <w:tr2bl w:val="nil"/>
                  </w:tcBorders>
                  <w:vAlign w:val="center"/>
                </w:tcPr>
                <w:p w14:paraId="492A0A53">
                  <w:pPr>
                    <w:adjustRightInd w:val="0"/>
                    <w:snapToGrid w:val="0"/>
                    <w:jc w:val="center"/>
                    <w:rPr>
                      <w:rFonts w:eastAsia="仿宋"/>
                      <w:caps/>
                      <w:color w:val="FF0000"/>
                      <w:szCs w:val="21"/>
                    </w:rPr>
                  </w:pPr>
                  <w:r>
                    <w:rPr>
                      <w:rFonts w:eastAsia="仿宋"/>
                      <w:caps/>
                      <w:color w:val="FF0000"/>
                      <w:szCs w:val="21"/>
                    </w:rPr>
                    <w:t>定期检修维护，保证环保措施正常运行，如遇故障，立即停产</w:t>
                  </w:r>
                </w:p>
              </w:tc>
            </w:tr>
            <w:tr w14:paraId="0137CE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11" w:hRule="atLeast"/>
                <w:jc w:val="center"/>
              </w:trPr>
              <w:tc>
                <w:tcPr>
                  <w:tcW w:w="269" w:type="pct"/>
                  <w:vMerge w:val="continue"/>
                  <w:tcBorders>
                    <w:tl2br w:val="nil"/>
                    <w:tr2bl w:val="nil"/>
                  </w:tcBorders>
                  <w:vAlign w:val="center"/>
                </w:tcPr>
                <w:p w14:paraId="0185D9F2">
                  <w:pPr>
                    <w:adjustRightInd w:val="0"/>
                    <w:snapToGrid w:val="0"/>
                    <w:jc w:val="center"/>
                    <w:rPr>
                      <w:rFonts w:eastAsia="仿宋"/>
                      <w:caps/>
                      <w:color w:val="FF0000"/>
                      <w:szCs w:val="21"/>
                    </w:rPr>
                  </w:pPr>
                </w:p>
              </w:tc>
              <w:tc>
                <w:tcPr>
                  <w:tcW w:w="333" w:type="pct"/>
                  <w:tcBorders>
                    <w:tl2br w:val="nil"/>
                    <w:tr2bl w:val="nil"/>
                  </w:tcBorders>
                  <w:vAlign w:val="center"/>
                </w:tcPr>
                <w:p w14:paraId="57145E0D">
                  <w:pPr>
                    <w:adjustRightInd w:val="0"/>
                    <w:snapToGrid w:val="0"/>
                    <w:jc w:val="center"/>
                    <w:rPr>
                      <w:rFonts w:eastAsia="仿宋"/>
                      <w:caps/>
                      <w:color w:val="FF0000"/>
                      <w:szCs w:val="21"/>
                    </w:rPr>
                  </w:pPr>
                  <w:r>
                    <w:rPr>
                      <w:rFonts w:eastAsia="仿宋"/>
                      <w:caps/>
                      <w:color w:val="FF0000"/>
                      <w:szCs w:val="21"/>
                    </w:rPr>
                    <w:t>DA</w:t>
                  </w:r>
                </w:p>
                <w:p w14:paraId="490C3A59">
                  <w:pPr>
                    <w:adjustRightInd w:val="0"/>
                    <w:snapToGrid w:val="0"/>
                    <w:jc w:val="center"/>
                    <w:rPr>
                      <w:rFonts w:hint="eastAsia" w:eastAsia="仿宋"/>
                      <w:caps/>
                      <w:color w:val="FF0000"/>
                      <w:szCs w:val="21"/>
                      <w:lang w:val="en-US" w:eastAsia="zh-CN"/>
                    </w:rPr>
                  </w:pPr>
                  <w:r>
                    <w:rPr>
                      <w:rFonts w:eastAsia="仿宋"/>
                      <w:caps/>
                      <w:color w:val="FF0000"/>
                      <w:szCs w:val="21"/>
                    </w:rPr>
                    <w:t>00</w:t>
                  </w:r>
                  <w:r>
                    <w:rPr>
                      <w:rFonts w:hint="eastAsia" w:eastAsia="仿宋"/>
                      <w:caps/>
                      <w:color w:val="FF0000"/>
                      <w:szCs w:val="21"/>
                      <w:lang w:val="en-US" w:eastAsia="zh-CN"/>
                    </w:rPr>
                    <w:t>2</w:t>
                  </w:r>
                </w:p>
              </w:tc>
              <w:tc>
                <w:tcPr>
                  <w:tcW w:w="293" w:type="pct"/>
                  <w:tcBorders>
                    <w:tl2br w:val="nil"/>
                    <w:tr2bl w:val="nil"/>
                  </w:tcBorders>
                  <w:vAlign w:val="center"/>
                </w:tcPr>
                <w:p w14:paraId="586D2F0C">
                  <w:pPr>
                    <w:adjustRightInd w:val="0"/>
                    <w:snapToGrid w:val="0"/>
                    <w:jc w:val="center"/>
                    <w:rPr>
                      <w:rFonts w:eastAsia="仿宋"/>
                      <w:caps/>
                      <w:color w:val="FF0000"/>
                      <w:szCs w:val="21"/>
                    </w:rPr>
                  </w:pPr>
                  <w:r>
                    <w:rPr>
                      <w:rFonts w:eastAsia="仿宋"/>
                      <w:caps/>
                      <w:color w:val="FF0000"/>
                      <w:szCs w:val="21"/>
                    </w:rPr>
                    <w:t>废气处理设施效率降低</w:t>
                  </w:r>
                </w:p>
              </w:tc>
              <w:tc>
                <w:tcPr>
                  <w:tcW w:w="328" w:type="pct"/>
                  <w:tcBorders>
                    <w:tl2br w:val="nil"/>
                    <w:tr2bl w:val="nil"/>
                  </w:tcBorders>
                  <w:vAlign w:val="center"/>
                </w:tcPr>
                <w:p w14:paraId="39D7BF68">
                  <w:pPr>
                    <w:adjustRightInd w:val="0"/>
                    <w:snapToGrid w:val="0"/>
                    <w:jc w:val="center"/>
                    <w:rPr>
                      <w:rFonts w:eastAsia="仿宋"/>
                      <w:color w:val="FF0000"/>
                      <w:szCs w:val="21"/>
                    </w:rPr>
                  </w:pPr>
                  <w:r>
                    <w:rPr>
                      <w:rFonts w:eastAsia="仿宋"/>
                      <w:color w:val="FF0000"/>
                      <w:szCs w:val="21"/>
                    </w:rPr>
                    <w:t>颗粒物</w:t>
                  </w:r>
                </w:p>
              </w:tc>
              <w:tc>
                <w:tcPr>
                  <w:tcW w:w="849" w:type="pct"/>
                  <w:tcBorders>
                    <w:tl2br w:val="nil"/>
                    <w:tr2bl w:val="nil"/>
                  </w:tcBorders>
                  <w:vAlign w:val="center"/>
                </w:tcPr>
                <w:p w14:paraId="5797DBC6">
                  <w:pPr>
                    <w:widowControl/>
                    <w:adjustRightInd w:val="0"/>
                    <w:snapToGrid w:val="0"/>
                    <w:jc w:val="center"/>
                    <w:textAlignment w:val="center"/>
                    <w:rPr>
                      <w:rFonts w:eastAsia="仿宋"/>
                      <w:color w:val="FF0000"/>
                      <w:szCs w:val="21"/>
                    </w:rPr>
                  </w:pPr>
                  <w:r>
                    <w:rPr>
                      <w:rFonts w:hint="eastAsia" w:eastAsia="仿宋"/>
                      <w:caps/>
                      <w:color w:val="FF0000"/>
                      <w:szCs w:val="21"/>
                      <w:lang w:val="en-US" w:eastAsia="zh-CN"/>
                    </w:rPr>
                    <w:t>1244</w:t>
                  </w:r>
                  <w:r>
                    <w:rPr>
                      <w:rFonts w:eastAsia="仿宋"/>
                      <w:color w:val="FF0000"/>
                      <w:szCs w:val="21"/>
                    </w:rPr>
                    <w:t>mg/m</w:t>
                  </w:r>
                  <w:r>
                    <w:rPr>
                      <w:rFonts w:eastAsia="仿宋"/>
                      <w:color w:val="FF0000"/>
                      <w:szCs w:val="21"/>
                      <w:vertAlign w:val="superscript"/>
                    </w:rPr>
                    <w:t>3</w:t>
                  </w:r>
                </w:p>
                <w:p w14:paraId="28A12462">
                  <w:pPr>
                    <w:adjustRightInd w:val="0"/>
                    <w:snapToGrid w:val="0"/>
                    <w:jc w:val="center"/>
                    <w:rPr>
                      <w:rFonts w:hint="eastAsia" w:eastAsia="仿宋"/>
                      <w:color w:val="FF0000"/>
                      <w:szCs w:val="21"/>
                      <w:lang w:val="en-US" w:eastAsia="zh-CN"/>
                    </w:rPr>
                  </w:pPr>
                  <w:r>
                    <w:rPr>
                      <w:rFonts w:hint="eastAsia" w:eastAsia="仿宋"/>
                      <w:color w:val="FF0000"/>
                      <w:szCs w:val="21"/>
                      <w:lang w:val="en-US" w:eastAsia="zh-CN"/>
                    </w:rPr>
                    <w:t>75.6</w:t>
                  </w:r>
                  <w:r>
                    <w:rPr>
                      <w:rFonts w:eastAsia="仿宋"/>
                      <w:color w:val="FF0000"/>
                      <w:szCs w:val="21"/>
                    </w:rPr>
                    <w:t>kg/h</w:t>
                  </w:r>
                </w:p>
              </w:tc>
              <w:tc>
                <w:tcPr>
                  <w:tcW w:w="266" w:type="pct"/>
                  <w:tcBorders>
                    <w:tl2br w:val="nil"/>
                    <w:tr2bl w:val="nil"/>
                  </w:tcBorders>
                  <w:vAlign w:val="center"/>
                </w:tcPr>
                <w:p w14:paraId="5A67DC76">
                  <w:pPr>
                    <w:adjustRightInd w:val="0"/>
                    <w:snapToGrid w:val="0"/>
                    <w:jc w:val="center"/>
                    <w:rPr>
                      <w:rFonts w:eastAsia="仿宋"/>
                      <w:caps/>
                      <w:color w:val="FF0000"/>
                      <w:szCs w:val="21"/>
                    </w:rPr>
                  </w:pPr>
                  <w:r>
                    <w:rPr>
                      <w:rFonts w:eastAsia="仿宋"/>
                      <w:caps/>
                      <w:color w:val="FF0000"/>
                      <w:szCs w:val="21"/>
                    </w:rPr>
                    <w:t>有组织</w:t>
                  </w:r>
                </w:p>
              </w:tc>
              <w:tc>
                <w:tcPr>
                  <w:tcW w:w="358" w:type="pct"/>
                  <w:tcBorders>
                    <w:tl2br w:val="nil"/>
                    <w:tr2bl w:val="nil"/>
                  </w:tcBorders>
                  <w:vAlign w:val="center"/>
                </w:tcPr>
                <w:p w14:paraId="632460ED">
                  <w:pPr>
                    <w:adjustRightInd w:val="0"/>
                    <w:snapToGrid w:val="0"/>
                    <w:jc w:val="center"/>
                    <w:rPr>
                      <w:rFonts w:eastAsia="仿宋"/>
                      <w:color w:val="FF0000"/>
                      <w:szCs w:val="21"/>
                    </w:rPr>
                  </w:pPr>
                  <w:r>
                    <w:rPr>
                      <w:rFonts w:eastAsia="仿宋"/>
                      <w:color w:val="FF0000"/>
                      <w:szCs w:val="21"/>
                    </w:rPr>
                    <w:t>布袋除尘器</w:t>
                  </w:r>
                </w:p>
              </w:tc>
              <w:tc>
                <w:tcPr>
                  <w:tcW w:w="311" w:type="pct"/>
                  <w:tcBorders>
                    <w:tl2br w:val="nil"/>
                    <w:tr2bl w:val="nil"/>
                  </w:tcBorders>
                  <w:vAlign w:val="center"/>
                </w:tcPr>
                <w:p w14:paraId="40434506">
                  <w:pPr>
                    <w:adjustRightInd w:val="0"/>
                    <w:snapToGrid w:val="0"/>
                    <w:jc w:val="center"/>
                    <w:rPr>
                      <w:rFonts w:hint="eastAsia" w:eastAsia="仿宋"/>
                      <w:caps/>
                      <w:color w:val="FF0000"/>
                      <w:szCs w:val="21"/>
                    </w:rPr>
                  </w:pPr>
                  <w:r>
                    <w:rPr>
                      <w:rFonts w:hint="eastAsia" w:eastAsia="仿宋"/>
                      <w:caps/>
                      <w:color w:val="FF0000"/>
                      <w:szCs w:val="21"/>
                    </w:rPr>
                    <w:t>50</w:t>
                  </w:r>
                  <w:r>
                    <w:rPr>
                      <w:rFonts w:eastAsia="仿宋"/>
                      <w:caps/>
                      <w:color w:val="FF0000"/>
                      <w:szCs w:val="21"/>
                    </w:rPr>
                    <w:t>%</w:t>
                  </w:r>
                </w:p>
              </w:tc>
              <w:tc>
                <w:tcPr>
                  <w:tcW w:w="266" w:type="pct"/>
                  <w:tcBorders>
                    <w:tl2br w:val="nil"/>
                    <w:tr2bl w:val="nil"/>
                  </w:tcBorders>
                  <w:vAlign w:val="center"/>
                </w:tcPr>
                <w:p w14:paraId="22BF0D8C">
                  <w:pPr>
                    <w:adjustRightInd w:val="0"/>
                    <w:snapToGrid w:val="0"/>
                    <w:jc w:val="center"/>
                    <w:rPr>
                      <w:rFonts w:eastAsia="仿宋"/>
                      <w:caps/>
                      <w:color w:val="FF0000"/>
                      <w:szCs w:val="21"/>
                    </w:rPr>
                  </w:pPr>
                  <w:r>
                    <w:rPr>
                      <w:rFonts w:eastAsia="仿宋"/>
                      <w:caps/>
                      <w:color w:val="FF0000"/>
                      <w:szCs w:val="21"/>
                    </w:rPr>
                    <w:t>1</w:t>
                  </w:r>
                  <w:r>
                    <w:rPr>
                      <w:rFonts w:eastAsia="仿宋"/>
                      <w:color w:val="FF0000"/>
                      <w:szCs w:val="21"/>
                    </w:rPr>
                    <w:t>h</w:t>
                  </w:r>
                </w:p>
              </w:tc>
              <w:tc>
                <w:tcPr>
                  <w:tcW w:w="266" w:type="pct"/>
                  <w:tcBorders>
                    <w:tl2br w:val="nil"/>
                    <w:tr2bl w:val="nil"/>
                  </w:tcBorders>
                  <w:vAlign w:val="center"/>
                </w:tcPr>
                <w:p w14:paraId="0AD0E7D7">
                  <w:pPr>
                    <w:adjustRightInd w:val="0"/>
                    <w:snapToGrid w:val="0"/>
                    <w:jc w:val="center"/>
                    <w:rPr>
                      <w:rFonts w:eastAsia="仿宋"/>
                      <w:caps/>
                      <w:color w:val="FF0000"/>
                      <w:szCs w:val="21"/>
                    </w:rPr>
                  </w:pPr>
                  <w:r>
                    <w:rPr>
                      <w:rFonts w:eastAsia="仿宋"/>
                      <w:caps/>
                      <w:color w:val="FF0000"/>
                      <w:szCs w:val="21"/>
                    </w:rPr>
                    <w:t>1次/年</w:t>
                  </w:r>
                </w:p>
              </w:tc>
              <w:tc>
                <w:tcPr>
                  <w:tcW w:w="921" w:type="pct"/>
                  <w:tcBorders>
                    <w:tl2br w:val="nil"/>
                    <w:tr2bl w:val="nil"/>
                  </w:tcBorders>
                  <w:vAlign w:val="center"/>
                </w:tcPr>
                <w:p w14:paraId="67EC0D37">
                  <w:pPr>
                    <w:widowControl/>
                    <w:adjustRightInd w:val="0"/>
                    <w:snapToGrid w:val="0"/>
                    <w:jc w:val="center"/>
                    <w:textAlignment w:val="center"/>
                    <w:rPr>
                      <w:rFonts w:eastAsia="仿宋"/>
                      <w:color w:val="FF0000"/>
                      <w:szCs w:val="21"/>
                    </w:rPr>
                  </w:pPr>
                  <w:r>
                    <w:rPr>
                      <w:rFonts w:hint="eastAsia" w:eastAsia="仿宋"/>
                      <w:caps/>
                      <w:color w:val="FF0000"/>
                      <w:szCs w:val="21"/>
                      <w:lang w:val="en-US" w:eastAsia="zh-CN"/>
                    </w:rPr>
                    <w:t>622</w:t>
                  </w:r>
                  <w:r>
                    <w:rPr>
                      <w:rFonts w:eastAsia="仿宋"/>
                      <w:color w:val="FF0000"/>
                      <w:szCs w:val="21"/>
                    </w:rPr>
                    <w:t>mg/m</w:t>
                  </w:r>
                  <w:r>
                    <w:rPr>
                      <w:rFonts w:eastAsia="仿宋"/>
                      <w:color w:val="FF0000"/>
                      <w:szCs w:val="21"/>
                      <w:vertAlign w:val="superscript"/>
                    </w:rPr>
                    <w:t>3</w:t>
                  </w:r>
                </w:p>
                <w:p w14:paraId="67AB8C69">
                  <w:pPr>
                    <w:adjustRightInd w:val="0"/>
                    <w:snapToGrid w:val="0"/>
                    <w:jc w:val="center"/>
                    <w:rPr>
                      <w:rFonts w:hint="eastAsia" w:eastAsia="仿宋"/>
                      <w:color w:val="FF0000"/>
                      <w:szCs w:val="21"/>
                      <w:lang w:val="en-US" w:eastAsia="zh-CN"/>
                    </w:rPr>
                  </w:pPr>
                  <w:r>
                    <w:rPr>
                      <w:rFonts w:hint="eastAsia" w:eastAsia="仿宋"/>
                      <w:color w:val="FF0000"/>
                      <w:szCs w:val="21"/>
                      <w:lang w:val="en-US" w:eastAsia="zh-CN"/>
                    </w:rPr>
                    <w:t>37.8</w:t>
                  </w:r>
                  <w:r>
                    <w:rPr>
                      <w:rFonts w:eastAsia="仿宋"/>
                      <w:color w:val="FF0000"/>
                      <w:szCs w:val="21"/>
                    </w:rPr>
                    <w:t>kg/h</w:t>
                  </w:r>
                </w:p>
              </w:tc>
              <w:tc>
                <w:tcPr>
                  <w:tcW w:w="533" w:type="pct"/>
                  <w:vMerge w:val="continue"/>
                  <w:tcBorders>
                    <w:tl2br w:val="nil"/>
                    <w:tr2bl w:val="nil"/>
                  </w:tcBorders>
                  <w:vAlign w:val="center"/>
                </w:tcPr>
                <w:p w14:paraId="3874427E">
                  <w:pPr>
                    <w:adjustRightInd w:val="0"/>
                    <w:snapToGrid w:val="0"/>
                    <w:jc w:val="center"/>
                    <w:rPr>
                      <w:rFonts w:eastAsia="仿宋"/>
                      <w:caps/>
                      <w:color w:val="FF0000"/>
                      <w:szCs w:val="21"/>
                    </w:rPr>
                  </w:pPr>
                </w:p>
              </w:tc>
            </w:tr>
          </w:tbl>
          <w:p w14:paraId="14259AD8">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由上表可知，非正常工况下，有组织排放污染物排放浓度、排放速率增大。为防止非正常工况排放，企业必须加强废气处理设施的管理，定期检修，确保废气处理设施正常运行，在废气处理设施停止运行或出现故障时，产生废气的各工序也必须相应停止生产。为杜绝废气非正常排放，应采取以下措施确保废气达标排放：</w:t>
            </w:r>
          </w:p>
          <w:p w14:paraId="0CA829D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①安排专人负责环保设备的日常维护和管理，每隔固定时间检查、汇报情况，及时发现废气处理设施的隐患，确保废气处理设施系统正常运行；</w:t>
            </w:r>
          </w:p>
          <w:p w14:paraId="00CED6C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②建立健全的环保管理机构，对环保管理人员和技术人员进行岗位培训，委托具有专业资质的环境检测单位对项目排放的各类污染物进行定期检测；</w:t>
            </w:r>
          </w:p>
          <w:p w14:paraId="75825D4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pPr>
            <w:r>
              <w:rPr>
                <w:rFonts w:eastAsia="仿宋"/>
                <w:color w:val="000000" w:themeColor="text1"/>
                <w:sz w:val="24"/>
                <w14:textFill>
                  <w14:solidFill>
                    <w14:schemeClr w14:val="tx1"/>
                  </w14:solidFill>
                </w14:textFill>
              </w:rPr>
              <w:t>③应定期维护、检修废气处理设施，以保持废气处理设施的净化效率。</w:t>
            </w:r>
          </w:p>
          <w:p w14:paraId="4CB9DAE2">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2.</w:t>
            </w:r>
            <w:r>
              <w:rPr>
                <w:rFonts w:hint="eastAsia"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2</w:t>
            </w:r>
            <w:r>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废</w:t>
            </w:r>
            <w:r>
              <w:rPr>
                <w:rFonts w:hint="eastAsia"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水</w:t>
            </w:r>
          </w:p>
          <w:p w14:paraId="74D33723">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w:t>
            </w:r>
            <w:r>
              <w:rPr>
                <w:rFonts w:hint="eastAsia"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w:t>
            </w:r>
            <w:r>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.1废</w:t>
            </w:r>
            <w:r>
              <w:rPr>
                <w:rFonts w:hint="eastAsia"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水</w:t>
            </w:r>
            <w:r>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污染源分析</w:t>
            </w:r>
          </w:p>
          <w:p w14:paraId="522C23FE">
            <w:pPr>
              <w:pStyle w:val="32"/>
              <w:spacing w:beforeLines="0" w:afterLines="0" w:line="360" w:lineRule="auto"/>
              <w:ind w:firstLine="480" w:firstLineChars="200"/>
              <w:jc w:val="both"/>
              <w:rPr>
                <w:rFonts w:ascii="Times New Roman" w:eastAsia="仿宋"/>
                <w:color w:val="000000" w:themeColor="text1"/>
                <w:sz w:val="24"/>
                <w:szCs w:val="24"/>
                <w14:textFill>
                  <w14:solidFill>
                    <w14:schemeClr w14:val="tx1"/>
                  </w14:solidFill>
                </w14:textFill>
              </w:rPr>
            </w:pPr>
            <w:r>
              <w:rPr>
                <w:rFonts w:ascii="Times New Roman" w:eastAsia="仿宋"/>
                <w:bCs/>
                <w:color w:val="000000" w:themeColor="text1"/>
                <w:sz w:val="24"/>
                <w:szCs w:val="24"/>
                <w14:textFill>
                  <w14:solidFill>
                    <w14:schemeClr w14:val="tx1"/>
                  </w14:solidFill>
                </w14:textFill>
              </w:rPr>
              <w:t>本项目生活污水产生量为</w:t>
            </w:r>
            <w:bookmarkStart w:id="47" w:name="_GoBack"/>
            <w:bookmarkEnd w:id="47"/>
            <w:r>
              <w:rPr>
                <w:rFonts w:hint="eastAsia" w:ascii="Times New Roman" w:eastAsia="仿宋"/>
                <w:bCs/>
                <w:color w:val="000000" w:themeColor="text1"/>
                <w:sz w:val="24"/>
                <w:szCs w:val="24"/>
                <w:lang w:val="en-US" w:eastAsia="zh-CN"/>
                <w14:textFill>
                  <w14:solidFill>
                    <w14:schemeClr w14:val="tx1"/>
                  </w14:solidFill>
                </w14:textFill>
              </w:rPr>
              <w:t>0.96</w:t>
            </w:r>
            <w:r>
              <w:rPr>
                <w:rFonts w:ascii="Times New Roman" w:eastAsia="仿宋"/>
                <w:bCs/>
                <w:color w:val="000000" w:themeColor="text1"/>
                <w:sz w:val="24"/>
                <w:szCs w:val="24"/>
                <w14:textFill>
                  <w14:solidFill>
                    <w14:schemeClr w14:val="tx1"/>
                  </w14:solidFill>
                </w14:textFill>
              </w:rPr>
              <w:t>m</w:t>
            </w:r>
            <w:r>
              <w:rPr>
                <w:rFonts w:ascii="Times New Roman" w:eastAsia="仿宋"/>
                <w:bCs/>
                <w:color w:val="000000" w:themeColor="text1"/>
                <w:sz w:val="24"/>
                <w:szCs w:val="24"/>
                <w:vertAlign w:val="superscript"/>
                <w14:textFill>
                  <w14:solidFill>
                    <w14:schemeClr w14:val="tx1"/>
                  </w14:solidFill>
                </w14:textFill>
              </w:rPr>
              <w:t>3</w:t>
            </w:r>
            <w:r>
              <w:rPr>
                <w:rFonts w:ascii="Times New Roman" w:eastAsia="仿宋"/>
                <w:bCs/>
                <w:color w:val="000000" w:themeColor="text1"/>
                <w:sz w:val="24"/>
                <w:szCs w:val="24"/>
                <w14:textFill>
                  <w14:solidFill>
                    <w14:schemeClr w14:val="tx1"/>
                  </w14:solidFill>
                </w14:textFill>
              </w:rPr>
              <w:t>/d</w:t>
            </w:r>
            <w:r>
              <w:rPr>
                <w:rFonts w:hint="eastAsia" w:ascii="Times New Roman" w:eastAsia="仿宋"/>
                <w:color w:val="000000" w:themeColor="text1"/>
                <w:sz w:val="24"/>
                <w:szCs w:val="24"/>
                <w14:textFill>
                  <w14:solidFill>
                    <w14:schemeClr w14:val="tx1"/>
                  </w14:solidFill>
                </w14:textFill>
              </w:rPr>
              <w:t>，本项目洗漱废水用于厂区泼洒降尘，设置环保型厕所一座</w:t>
            </w:r>
            <w:r>
              <w:rPr>
                <w:rFonts w:ascii="Times New Roman" w:eastAsia="仿宋"/>
                <w:color w:val="000000" w:themeColor="text1"/>
                <w:sz w:val="24"/>
                <w:szCs w:val="24"/>
                <w14:textFill>
                  <w14:solidFill>
                    <w14:schemeClr w14:val="tx1"/>
                  </w14:solidFill>
                </w14:textFill>
              </w:rPr>
              <w:t>。</w:t>
            </w:r>
          </w:p>
          <w:p w14:paraId="3A1A9B5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w:t>
            </w:r>
            <w:r>
              <w:rPr>
                <w:rFonts w:hint="eastAsia"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w:t>
            </w:r>
            <w:r>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w:t>
            </w:r>
            <w:r>
              <w:rPr>
                <w:rFonts w:hint="eastAsia"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w:t>
            </w:r>
            <w:r>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废</w:t>
            </w:r>
            <w:r>
              <w:rPr>
                <w:rFonts w:hint="eastAsia"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水环境影响分析</w:t>
            </w:r>
          </w:p>
          <w:p w14:paraId="60D1303D">
            <w:pPr>
              <w:pStyle w:val="32"/>
              <w:spacing w:beforeLines="0" w:afterLines="0" w:line="360" w:lineRule="auto"/>
              <w:ind w:firstLine="480" w:firstLineChars="200"/>
              <w:jc w:val="both"/>
              <w:rPr>
                <w:rFonts w:ascii="Times New Roman" w:eastAsia="仿宋"/>
                <w:color w:val="000000" w:themeColor="text1"/>
                <w:sz w:val="24"/>
                <w:szCs w:val="24"/>
                <w14:textFill>
                  <w14:solidFill>
                    <w14:schemeClr w14:val="tx1"/>
                  </w14:solidFill>
                </w14:textFill>
              </w:rPr>
            </w:pPr>
            <w:r>
              <w:rPr>
                <w:rFonts w:ascii="Times New Roman" w:eastAsia="仿宋"/>
                <w:bCs/>
                <w:color w:val="000000" w:themeColor="text1"/>
                <w:sz w:val="24"/>
                <w:szCs w:val="24"/>
                <w14:textFill>
                  <w14:solidFill>
                    <w14:schemeClr w14:val="tx1"/>
                  </w14:solidFill>
                </w14:textFill>
              </w:rPr>
              <w:t>本项目生活污水产生量为</w:t>
            </w:r>
            <w:r>
              <w:rPr>
                <w:rFonts w:hint="eastAsia" w:ascii="Times New Roman" w:eastAsia="仿宋"/>
                <w:bCs/>
                <w:color w:val="000000" w:themeColor="text1"/>
                <w:sz w:val="24"/>
                <w:szCs w:val="24"/>
                <w:lang w:val="en-US" w:eastAsia="zh-CN"/>
                <w14:textFill>
                  <w14:solidFill>
                    <w14:schemeClr w14:val="tx1"/>
                  </w14:solidFill>
                </w14:textFill>
              </w:rPr>
              <w:t>0.96</w:t>
            </w:r>
            <w:r>
              <w:rPr>
                <w:rFonts w:ascii="Times New Roman" w:eastAsia="仿宋"/>
                <w:bCs/>
                <w:color w:val="000000" w:themeColor="text1"/>
                <w:sz w:val="24"/>
                <w:szCs w:val="24"/>
                <w14:textFill>
                  <w14:solidFill>
                    <w14:schemeClr w14:val="tx1"/>
                  </w14:solidFill>
                </w14:textFill>
              </w:rPr>
              <w:t>m</w:t>
            </w:r>
            <w:r>
              <w:rPr>
                <w:rFonts w:ascii="Times New Roman" w:eastAsia="仿宋"/>
                <w:bCs/>
                <w:color w:val="000000" w:themeColor="text1"/>
                <w:sz w:val="24"/>
                <w:szCs w:val="24"/>
                <w:vertAlign w:val="superscript"/>
                <w14:textFill>
                  <w14:solidFill>
                    <w14:schemeClr w14:val="tx1"/>
                  </w14:solidFill>
                </w14:textFill>
              </w:rPr>
              <w:t>3</w:t>
            </w:r>
            <w:r>
              <w:rPr>
                <w:rFonts w:ascii="Times New Roman" w:eastAsia="仿宋"/>
                <w:bCs/>
                <w:color w:val="000000" w:themeColor="text1"/>
                <w:sz w:val="24"/>
                <w:szCs w:val="24"/>
                <w14:textFill>
                  <w14:solidFill>
                    <w14:schemeClr w14:val="tx1"/>
                  </w14:solidFill>
                </w14:textFill>
              </w:rPr>
              <w:t>/d</w:t>
            </w:r>
            <w:r>
              <w:rPr>
                <w:rFonts w:hint="eastAsia" w:ascii="Times New Roman" w:eastAsia="仿宋"/>
                <w:color w:val="000000" w:themeColor="text1"/>
                <w:sz w:val="24"/>
                <w:szCs w:val="24"/>
                <w14:textFill>
                  <w14:solidFill>
                    <w14:schemeClr w14:val="tx1"/>
                  </w14:solidFill>
                </w14:textFill>
              </w:rPr>
              <w:t>，本项目洗漱废水用于厂区泼洒降尘，设置环保型厕所一座</w:t>
            </w:r>
            <w:r>
              <w:rPr>
                <w:rFonts w:hint="eastAsia" w:ascii="Times New Roman" w:eastAsia="仿宋"/>
                <w:color w:val="000000" w:themeColor="text1"/>
                <w:sz w:val="24"/>
                <w:szCs w:val="24"/>
                <w:lang w:eastAsia="zh-CN"/>
                <w14:textFill>
                  <w14:solidFill>
                    <w14:schemeClr w14:val="tx1"/>
                  </w14:solidFill>
                </w14:textFill>
              </w:rPr>
              <w:t>，</w:t>
            </w:r>
            <w:r>
              <w:rPr>
                <w:rFonts w:hint="eastAsia" w:ascii="Times New Roman" w:eastAsia="仿宋"/>
                <w:color w:val="000000" w:themeColor="text1"/>
                <w:sz w:val="24"/>
                <w:szCs w:val="24"/>
                <w:lang w:val="en-US" w:eastAsia="zh-CN"/>
                <w14:textFill>
                  <w14:solidFill>
                    <w14:schemeClr w14:val="tx1"/>
                  </w14:solidFill>
                </w14:textFill>
              </w:rPr>
              <w:t>对周围环境影响较小</w:t>
            </w:r>
            <w:r>
              <w:rPr>
                <w:rFonts w:ascii="Times New Roman" w:eastAsia="仿宋"/>
                <w:color w:val="000000" w:themeColor="text1"/>
                <w:sz w:val="24"/>
                <w:szCs w:val="24"/>
                <w14:textFill>
                  <w14:solidFill>
                    <w14:schemeClr w14:val="tx1"/>
                  </w14:solidFill>
                </w14:textFill>
              </w:rPr>
              <w:t>。</w:t>
            </w:r>
          </w:p>
          <w:p w14:paraId="00E183D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w:t>
            </w:r>
            <w:r>
              <w:rPr>
                <w:rFonts w:hint="eastAsia"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w:t>
            </w:r>
            <w:r>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w:t>
            </w:r>
            <w:r>
              <w:rPr>
                <w:rFonts w:hint="eastAsia"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3</w:t>
            </w:r>
            <w:r>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废</w:t>
            </w:r>
            <w:r>
              <w:rPr>
                <w:rFonts w:hint="eastAsia"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水排放监测计划</w:t>
            </w:r>
          </w:p>
          <w:p w14:paraId="65312C27">
            <w:pPr>
              <w:keepNext w:val="0"/>
              <w:keepLines w:val="0"/>
              <w:pageBreakBefore w:val="0"/>
              <w:widowControl w:val="0"/>
              <w:kinsoku/>
              <w:wordWrap/>
              <w:overflowPunct/>
              <w:topLinePunct w:val="0"/>
              <w:autoSpaceDE/>
              <w:autoSpaceDN/>
              <w:bidi w:val="0"/>
              <w:adjustRightInd w:val="0"/>
              <w:snapToGrid w:val="0"/>
              <w:spacing w:line="360" w:lineRule="auto"/>
              <w:ind w:firstLine="482"/>
              <w:jc w:val="left"/>
              <w:textAlignment w:val="auto"/>
              <w:rPr>
                <w:rFonts w:hint="eastAsia" w:eastAsia="仿宋"/>
                <w:color w:val="000000" w:themeColor="text1"/>
                <w:sz w:val="24"/>
                <w:lang w:val="en-US" w:eastAsia="zh-CN"/>
                <w14:textFill>
                  <w14:solidFill>
                    <w14:schemeClr w14:val="tx1"/>
                  </w14:solidFill>
                </w14:textFill>
              </w:rPr>
            </w:pPr>
            <w:r>
              <w:rPr>
                <w:rFonts w:eastAsia="仿宋"/>
                <w:color w:val="000000" w:themeColor="text1"/>
                <w:sz w:val="24"/>
                <w14:textFill>
                  <w14:solidFill>
                    <w14:schemeClr w14:val="tx1"/>
                  </w14:solidFill>
                </w14:textFill>
              </w:rPr>
              <w:t>本项目</w:t>
            </w:r>
            <w:r>
              <w:rPr>
                <w:rFonts w:hint="eastAsia" w:eastAsia="仿宋"/>
                <w:color w:val="000000" w:themeColor="text1"/>
                <w:sz w:val="24"/>
                <w:lang w:val="en-US" w:eastAsia="zh-CN"/>
                <w14:textFill>
                  <w14:solidFill>
                    <w14:schemeClr w14:val="tx1"/>
                  </w14:solidFill>
                </w14:textFill>
              </w:rPr>
              <w:t>无</w:t>
            </w:r>
            <w:r>
              <w:rPr>
                <w:rFonts w:eastAsia="仿宋"/>
                <w:color w:val="000000" w:themeColor="text1"/>
                <w:sz w:val="24"/>
                <w14:textFill>
                  <w14:solidFill>
                    <w14:schemeClr w14:val="tx1"/>
                  </w14:solidFill>
                </w14:textFill>
              </w:rPr>
              <w:t>废</w:t>
            </w:r>
            <w:r>
              <w:rPr>
                <w:rFonts w:hint="eastAsia" w:eastAsia="仿宋"/>
                <w:color w:val="000000" w:themeColor="text1"/>
                <w:sz w:val="24"/>
                <w14:textFill>
                  <w14:solidFill>
                    <w14:schemeClr w14:val="tx1"/>
                  </w14:solidFill>
                </w14:textFill>
              </w:rPr>
              <w:t>水</w:t>
            </w:r>
            <w:r>
              <w:rPr>
                <w:rFonts w:eastAsia="仿宋"/>
                <w:color w:val="000000" w:themeColor="text1"/>
                <w:sz w:val="24"/>
                <w14:textFill>
                  <w14:solidFill>
                    <w14:schemeClr w14:val="tx1"/>
                  </w14:solidFill>
                </w14:textFill>
              </w:rPr>
              <w:t>排放</w:t>
            </w:r>
            <w:r>
              <w:rPr>
                <w:rFonts w:hint="eastAsia" w:eastAsia="仿宋"/>
                <w:color w:val="000000" w:themeColor="text1"/>
                <w:sz w:val="24"/>
                <w:lang w:val="en-US" w:eastAsia="zh-CN"/>
                <w14:textFill>
                  <w14:solidFill>
                    <w14:schemeClr w14:val="tx1"/>
                  </w14:solidFill>
                </w14:textFill>
              </w:rPr>
              <w:t>口，不设置废水排放监测计划。</w:t>
            </w:r>
          </w:p>
          <w:p w14:paraId="33B73B92">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2.3</w:t>
            </w:r>
            <w:r>
              <w:rPr>
                <w:rFonts w:hint="eastAsia" w:eastAsia="仿宋" w:cs="Times New Roman"/>
                <w:b/>
                <w:bCs/>
                <w:color w:val="000000" w:themeColor="text1"/>
                <w:spacing w:val="0"/>
                <w:kern w:val="0"/>
                <w:position w:val="0"/>
                <w:sz w:val="24"/>
                <w:szCs w:val="24"/>
                <w:highlight w:val="none"/>
                <w:lang w:val="en-US" w:eastAsia="zh-CN" w:bidi="ar"/>
                <w14:textFill>
                  <w14:solidFill>
                    <w14:schemeClr w14:val="tx1"/>
                  </w14:solidFill>
                </w14:textFill>
              </w:rPr>
              <w:t>噪声</w:t>
            </w:r>
          </w:p>
          <w:p w14:paraId="37DD04A8">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pPr>
            <w:r>
              <w:rPr>
                <w:rFonts w:hint="eastAsia"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2.3.1噪声源强分析</w:t>
            </w:r>
          </w:p>
          <w:p w14:paraId="0AFEC7B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auto"/>
                <w:highlight w:val="none"/>
              </w:rPr>
            </w:pPr>
            <w:r>
              <w:rPr>
                <w:rFonts w:hint="default" w:ascii="Times New Roman" w:hAnsi="Times New Roman" w:eastAsia="微软雅黑" w:cs="Times New Roman"/>
                <w:color w:val="auto"/>
                <w:kern w:val="0"/>
                <w:sz w:val="24"/>
                <w:szCs w:val="24"/>
                <w:highlight w:val="none"/>
                <w:lang w:val="en-US" w:eastAsia="zh-CN" w:bidi="ar"/>
              </w:rPr>
              <w:t>⑴</w:t>
            </w:r>
            <w:r>
              <w:rPr>
                <w:rFonts w:hint="default" w:ascii="Times New Roman" w:hAnsi="Times New Roman" w:eastAsia="仿宋" w:cs="Times New Roman"/>
                <w:color w:val="auto"/>
                <w:kern w:val="0"/>
                <w:sz w:val="24"/>
                <w:szCs w:val="24"/>
                <w:highlight w:val="none"/>
                <w:lang w:val="en-US" w:eastAsia="zh-CN" w:bidi="ar"/>
              </w:rPr>
              <w:t>爆破噪声环境影响分析</w:t>
            </w:r>
          </w:p>
          <w:p w14:paraId="40B265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本项目白天爆破时，露天采场设备均处于停产状态，噪声源为爆破噪声，按照最不利条件，即在开展爆破作业的情</w:t>
            </w:r>
            <w:r>
              <w:rPr>
                <w:rFonts w:hint="eastAsia" w:ascii="Times New Roman" w:hAnsi="Times New Roman" w:eastAsia="仿宋" w:cs="Times New Roman"/>
                <w:color w:val="auto"/>
                <w:sz w:val="24"/>
                <w:highlight w:val="none"/>
                <w:lang w:val="en-US" w:eastAsia="zh-CN"/>
              </w:rPr>
              <w:t>况下</w:t>
            </w:r>
            <w:r>
              <w:rPr>
                <w:rFonts w:hint="default" w:ascii="Times New Roman" w:hAnsi="Times New Roman" w:eastAsia="仿宋" w:cs="Times New Roman"/>
                <w:color w:val="auto"/>
                <w:sz w:val="24"/>
                <w:highlight w:val="none"/>
                <w:lang w:val="en-US" w:eastAsia="zh-CN"/>
              </w:rPr>
              <w:t>进行预测。爆破时产生的瞬时噪声最高可达130dB（A），而本项目矿山爆破采用深孔爆破，瞬时噪声经同类爆破现场调查为110dB（A）左右。本环评对爆破时的强噪声采用点声源的几何发散模式进行预测：</w:t>
            </w:r>
          </w:p>
          <w:p w14:paraId="75DFDF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视爆破时噪声源为点声源，声场为半自由声场，依据《环境影响评价技术导则</w:t>
            </w:r>
            <w:r>
              <w:rPr>
                <w:rFonts w:hint="eastAsia" w:ascii="Times New Roman" w:hAnsi="Times New Roman"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 xml:space="preserve">声环境》（HJ2.4-2021），选用无指向性点声源几何发散衰减预测模式预测厂界噪声。 </w:t>
            </w:r>
          </w:p>
          <w:p w14:paraId="4E8340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kern w:val="0"/>
                <w:sz w:val="24"/>
                <w:szCs w:val="24"/>
                <w:highlight w:val="none"/>
                <w:lang w:val="en-US" w:eastAsia="zh-CN" w:bidi="ar"/>
              </w:rPr>
            </w:pPr>
            <w:r>
              <w:rPr>
                <w:rFonts w:hint="default" w:ascii="Times New Roman" w:hAnsi="Times New Roman" w:eastAsia="仿宋" w:cs="Times New Roman"/>
                <w:color w:val="auto"/>
                <w:sz w:val="24"/>
                <w:highlight w:val="none"/>
                <w:lang w:val="en-US" w:eastAsia="zh-CN"/>
              </w:rPr>
              <w:t>点</w:t>
            </w:r>
            <w:r>
              <w:rPr>
                <w:rFonts w:hint="default" w:ascii="Times New Roman" w:hAnsi="Times New Roman" w:eastAsia="仿宋" w:cs="Times New Roman"/>
                <w:color w:val="auto"/>
                <w:kern w:val="0"/>
                <w:sz w:val="24"/>
                <w:szCs w:val="24"/>
                <w:highlight w:val="none"/>
                <w:lang w:val="en-US" w:eastAsia="zh-CN" w:bidi="ar"/>
              </w:rPr>
              <w:t>声源预测模式：</w:t>
            </w:r>
          </w:p>
          <w:p w14:paraId="718B6A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L</w:t>
            </w:r>
            <w:r>
              <w:rPr>
                <w:rFonts w:hint="default" w:ascii="Times New Roman" w:hAnsi="Times New Roman" w:eastAsia="仿宋" w:cs="Times New Roman"/>
                <w:color w:val="auto"/>
                <w:sz w:val="24"/>
                <w:highlight w:val="none"/>
                <w:vertAlign w:val="subscript"/>
                <w:lang w:val="en-US" w:eastAsia="zh-CN"/>
              </w:rPr>
              <w:t>A</w:t>
            </w:r>
            <w:r>
              <w:rPr>
                <w:rFonts w:hint="default" w:ascii="Times New Roman" w:hAnsi="Times New Roman" w:eastAsia="仿宋" w:cs="Times New Roman"/>
                <w:color w:val="auto"/>
                <w:sz w:val="24"/>
                <w:highlight w:val="none"/>
                <w:lang w:val="en-US" w:eastAsia="zh-CN"/>
              </w:rPr>
              <w:t>（r）=L</w:t>
            </w:r>
            <w:r>
              <w:rPr>
                <w:rFonts w:hint="default" w:ascii="Times New Roman" w:hAnsi="Times New Roman" w:eastAsia="仿宋" w:cs="Times New Roman"/>
                <w:color w:val="auto"/>
                <w:sz w:val="24"/>
                <w:highlight w:val="none"/>
                <w:vertAlign w:val="subscript"/>
                <w:lang w:val="en-US" w:eastAsia="zh-CN"/>
              </w:rPr>
              <w:t>Aw</w:t>
            </w:r>
            <w:r>
              <w:rPr>
                <w:rFonts w:hint="default" w:ascii="Times New Roman" w:hAnsi="Times New Roman" w:eastAsia="仿宋" w:cs="Times New Roman"/>
                <w:color w:val="auto"/>
                <w:sz w:val="24"/>
                <w:highlight w:val="none"/>
                <w:lang w:val="en-US" w:eastAsia="zh-CN"/>
              </w:rPr>
              <w:t xml:space="preserve">-20lgr-8 </w:t>
            </w:r>
          </w:p>
          <w:p w14:paraId="561845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式中：L</w:t>
            </w:r>
            <w:r>
              <w:rPr>
                <w:rFonts w:hint="default" w:ascii="Times New Roman" w:hAnsi="Times New Roman" w:eastAsia="仿宋" w:cs="Times New Roman"/>
                <w:color w:val="auto"/>
                <w:sz w:val="24"/>
                <w:highlight w:val="none"/>
                <w:vertAlign w:val="subscript"/>
                <w:lang w:val="en-US" w:eastAsia="zh-CN"/>
              </w:rPr>
              <w:t>A</w:t>
            </w:r>
            <w:r>
              <w:rPr>
                <w:rFonts w:hint="default" w:ascii="Times New Roman" w:hAnsi="Times New Roman" w:eastAsia="仿宋" w:cs="Times New Roman"/>
                <w:color w:val="auto"/>
                <w:sz w:val="24"/>
                <w:highlight w:val="none"/>
                <w:lang w:val="en-US" w:eastAsia="zh-CN"/>
              </w:rPr>
              <w:t xml:space="preserve">（r）—距声源r处的A声级，dB（A）； </w:t>
            </w:r>
          </w:p>
          <w:p w14:paraId="6FF1DD4C">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L</w:t>
            </w:r>
            <w:r>
              <w:rPr>
                <w:rFonts w:hint="default" w:ascii="Times New Roman" w:hAnsi="Times New Roman" w:eastAsia="仿宋" w:cs="Times New Roman"/>
                <w:color w:val="auto"/>
                <w:sz w:val="24"/>
                <w:highlight w:val="none"/>
                <w:vertAlign w:val="subscript"/>
                <w:lang w:val="en-US" w:eastAsia="zh-CN"/>
              </w:rPr>
              <w:t>Aw</w:t>
            </w:r>
            <w:r>
              <w:rPr>
                <w:rFonts w:hint="default" w:ascii="Times New Roman" w:hAnsi="Times New Roman" w:eastAsia="仿宋" w:cs="Times New Roman"/>
                <w:color w:val="auto"/>
                <w:sz w:val="24"/>
                <w:highlight w:val="none"/>
                <w:lang w:val="en-US" w:eastAsia="zh-CN"/>
              </w:rPr>
              <w:t xml:space="preserve">—点声源A计权声功率级，dB（A）； </w:t>
            </w:r>
          </w:p>
          <w:p w14:paraId="18778328">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 xml:space="preserve">r——点声源至预测点的距离，m。 </w:t>
            </w:r>
          </w:p>
          <w:p w14:paraId="2A2E49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根据同类矿山开采项目类比监测结果见表</w:t>
            </w:r>
            <w:r>
              <w:rPr>
                <w:rFonts w:hint="eastAsia" w:eastAsia="仿宋" w:cs="Times New Roman"/>
                <w:color w:val="auto"/>
                <w:sz w:val="24"/>
                <w:highlight w:val="none"/>
                <w:lang w:val="en-US" w:eastAsia="zh-CN"/>
              </w:rPr>
              <w:t>43</w:t>
            </w:r>
            <w:r>
              <w:rPr>
                <w:rFonts w:hint="default" w:ascii="Times New Roman" w:hAnsi="Times New Roman" w:eastAsia="仿宋" w:cs="Times New Roman"/>
                <w:color w:val="auto"/>
                <w:sz w:val="24"/>
                <w:highlight w:val="none"/>
                <w:lang w:val="en-US" w:eastAsia="zh-CN"/>
              </w:rPr>
              <w:t>。</w:t>
            </w:r>
          </w:p>
          <w:p w14:paraId="56F43646">
            <w:pPr>
              <w:pStyle w:val="13"/>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eastAsia="仿宋" w:cs="Times New Roman"/>
                <w:b/>
                <w:color w:val="000000" w:themeColor="text1"/>
                <w:sz w:val="21"/>
                <w:szCs w:val="21"/>
                <w:lang w:val="en-US" w:eastAsia="zh-CN"/>
                <w14:textFill>
                  <w14:solidFill>
                    <w14:schemeClr w14:val="tx1"/>
                  </w14:solidFill>
                </w14:textFill>
              </w:rPr>
            </w:pPr>
            <w:r>
              <w:rPr>
                <w:rFonts w:hint="default" w:ascii="Times New Roman" w:eastAsia="仿宋" w:cs="Times New Roman"/>
                <w:b/>
                <w:color w:val="000000" w:themeColor="text1"/>
                <w:sz w:val="21"/>
                <w:szCs w:val="21"/>
                <w:lang w:val="en-US" w:eastAsia="zh-CN"/>
                <w14:textFill>
                  <w14:solidFill>
                    <w14:schemeClr w14:val="tx1"/>
                  </w14:solidFill>
                </w14:textFill>
              </w:rPr>
              <w:t>表</w:t>
            </w:r>
            <w:r>
              <w:rPr>
                <w:rFonts w:hint="eastAsia" w:ascii="Times New Roman" w:eastAsia="仿宋" w:cs="Times New Roman"/>
                <w:b/>
                <w:color w:val="000000" w:themeColor="text1"/>
                <w:sz w:val="21"/>
                <w:szCs w:val="21"/>
                <w:lang w:val="en-US" w:eastAsia="zh-CN"/>
                <w14:textFill>
                  <w14:solidFill>
                    <w14:schemeClr w14:val="tx1"/>
                  </w14:solidFill>
                </w14:textFill>
              </w:rPr>
              <w:t>43</w:t>
            </w:r>
            <w:r>
              <w:rPr>
                <w:rFonts w:hint="default" w:ascii="Times New Roman" w:eastAsia="仿宋" w:cs="Times New Roman"/>
                <w:b/>
                <w:color w:val="000000" w:themeColor="text1"/>
                <w:sz w:val="21"/>
                <w:szCs w:val="21"/>
                <w:lang w:val="en-US" w:eastAsia="zh-CN"/>
                <w14:textFill>
                  <w14:solidFill>
                    <w14:schemeClr w14:val="tx1"/>
                  </w14:solidFill>
                </w14:textFill>
              </w:rPr>
              <w:t xml:space="preserve">   爆破噪声衰减情况一览表</w:t>
            </w:r>
          </w:p>
          <w:tbl>
            <w:tblPr>
              <w:tblStyle w:val="39"/>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2393"/>
              <w:gridCol w:w="1496"/>
              <w:gridCol w:w="378"/>
              <w:gridCol w:w="386"/>
              <w:gridCol w:w="381"/>
              <w:gridCol w:w="544"/>
              <w:gridCol w:w="544"/>
              <w:gridCol w:w="578"/>
              <w:gridCol w:w="567"/>
            </w:tblGrid>
            <w:tr w14:paraId="7FD8123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1645" w:type="pct"/>
                  <w:tcBorders>
                    <w:tl2br w:val="nil"/>
                    <w:tr2bl w:val="nil"/>
                  </w:tcBorders>
                  <w:vAlign w:val="center"/>
                </w:tcPr>
                <w:p w14:paraId="08B3191F">
                  <w:pPr>
                    <w:pStyle w:val="59"/>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类型</w:t>
                  </w:r>
                </w:p>
              </w:tc>
              <w:tc>
                <w:tcPr>
                  <w:tcW w:w="1028" w:type="pct"/>
                  <w:tcBorders>
                    <w:tl2br w:val="nil"/>
                    <w:tr2bl w:val="nil"/>
                  </w:tcBorders>
                  <w:vAlign w:val="center"/>
                </w:tcPr>
                <w:p w14:paraId="32F575CD">
                  <w:pPr>
                    <w:pStyle w:val="59"/>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r</w:t>
                  </w:r>
                  <w:r>
                    <w:rPr>
                      <w:rFonts w:hint="default" w:ascii="Times New Roman" w:hAnsi="Times New Roman" w:eastAsia="仿宋" w:cs="Times New Roman"/>
                      <w:color w:val="auto"/>
                      <w:spacing w:val="-26"/>
                      <w:sz w:val="21"/>
                      <w:szCs w:val="21"/>
                      <w:highlight w:val="none"/>
                    </w:rPr>
                    <w:t xml:space="preserve"> </w:t>
                  </w:r>
                  <w:r>
                    <w:rPr>
                      <w:rFonts w:hint="default" w:ascii="Times New Roman" w:hAnsi="Times New Roman" w:eastAsia="仿宋" w:cs="Times New Roman"/>
                      <w:color w:val="auto"/>
                      <w:spacing w:val="-2"/>
                      <w:sz w:val="21"/>
                      <w:szCs w:val="21"/>
                      <w:highlight w:val="none"/>
                    </w:rPr>
                    <w:t>，m</w:t>
                  </w:r>
                </w:p>
              </w:tc>
              <w:tc>
                <w:tcPr>
                  <w:tcW w:w="260" w:type="pct"/>
                  <w:tcBorders>
                    <w:tl2br w:val="nil"/>
                    <w:tr2bl w:val="nil"/>
                  </w:tcBorders>
                  <w:vAlign w:val="center"/>
                </w:tcPr>
                <w:p w14:paraId="0DB35E7E">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8"/>
                      <w:sz w:val="21"/>
                      <w:szCs w:val="21"/>
                      <w:highlight w:val="none"/>
                    </w:rPr>
                    <w:t>10</w:t>
                  </w:r>
                </w:p>
              </w:tc>
              <w:tc>
                <w:tcPr>
                  <w:tcW w:w="265" w:type="pct"/>
                  <w:tcBorders>
                    <w:tl2br w:val="nil"/>
                    <w:tr2bl w:val="nil"/>
                  </w:tcBorders>
                  <w:vAlign w:val="center"/>
                </w:tcPr>
                <w:p w14:paraId="637C7A66">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20</w:t>
                  </w:r>
                </w:p>
              </w:tc>
              <w:tc>
                <w:tcPr>
                  <w:tcW w:w="262" w:type="pct"/>
                  <w:tcBorders>
                    <w:tl2br w:val="nil"/>
                    <w:tr2bl w:val="nil"/>
                  </w:tcBorders>
                  <w:vAlign w:val="center"/>
                </w:tcPr>
                <w:p w14:paraId="4EE5DC87">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50</w:t>
                  </w:r>
                </w:p>
              </w:tc>
              <w:tc>
                <w:tcPr>
                  <w:tcW w:w="374" w:type="pct"/>
                  <w:tcBorders>
                    <w:tl2br w:val="nil"/>
                    <w:tr2bl w:val="nil"/>
                  </w:tcBorders>
                  <w:vAlign w:val="center"/>
                </w:tcPr>
                <w:p w14:paraId="3D2BE046">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100</w:t>
                  </w:r>
                </w:p>
              </w:tc>
              <w:tc>
                <w:tcPr>
                  <w:tcW w:w="374" w:type="pct"/>
                  <w:tcBorders>
                    <w:tl2br w:val="nil"/>
                    <w:tr2bl w:val="nil"/>
                  </w:tcBorders>
                  <w:vAlign w:val="center"/>
                </w:tcPr>
                <w:p w14:paraId="536602E1">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150</w:t>
                  </w:r>
                </w:p>
              </w:tc>
              <w:tc>
                <w:tcPr>
                  <w:tcW w:w="397" w:type="pct"/>
                  <w:tcBorders>
                    <w:tl2br w:val="nil"/>
                    <w:tr2bl w:val="nil"/>
                  </w:tcBorders>
                  <w:vAlign w:val="center"/>
                </w:tcPr>
                <w:p w14:paraId="1D4FB1B4">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200</w:t>
                  </w:r>
                </w:p>
              </w:tc>
              <w:tc>
                <w:tcPr>
                  <w:tcW w:w="390" w:type="pct"/>
                  <w:tcBorders>
                    <w:tl2br w:val="nil"/>
                    <w:tr2bl w:val="nil"/>
                  </w:tcBorders>
                  <w:vAlign w:val="center"/>
                </w:tcPr>
                <w:p w14:paraId="1D09803B">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500</w:t>
                  </w:r>
                </w:p>
              </w:tc>
            </w:tr>
            <w:tr w14:paraId="564CA00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1645" w:type="pct"/>
                  <w:tcBorders>
                    <w:tl2br w:val="nil"/>
                    <w:tr2bl w:val="nil"/>
                  </w:tcBorders>
                  <w:vAlign w:val="center"/>
                </w:tcPr>
                <w:p w14:paraId="506C5585">
                  <w:pPr>
                    <w:pStyle w:val="59"/>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6"/>
                      <w:sz w:val="21"/>
                      <w:szCs w:val="21"/>
                      <w:highlight w:val="none"/>
                    </w:rPr>
                    <w:t>一般爆破</w:t>
                  </w:r>
                </w:p>
              </w:tc>
              <w:tc>
                <w:tcPr>
                  <w:tcW w:w="1028" w:type="pct"/>
                  <w:vMerge w:val="restart"/>
                  <w:tcBorders>
                    <w:tl2br w:val="nil"/>
                    <w:tr2bl w:val="nil"/>
                  </w:tcBorders>
                  <w:vAlign w:val="center"/>
                </w:tcPr>
                <w:p w14:paraId="17C70289">
                  <w:pPr>
                    <w:pStyle w:val="59"/>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L</w:t>
                  </w:r>
                  <w:r>
                    <w:rPr>
                      <w:rFonts w:hint="default" w:ascii="Times New Roman" w:hAnsi="Times New Roman" w:eastAsia="仿宋" w:cs="Times New Roman"/>
                      <w:color w:val="auto"/>
                      <w:sz w:val="21"/>
                      <w:szCs w:val="21"/>
                      <w:highlight w:val="none"/>
                      <w:vertAlign w:val="subscript"/>
                    </w:rPr>
                    <w:t>Aw</w:t>
                  </w:r>
                  <w:r>
                    <w:rPr>
                      <w:rFonts w:hint="default" w:ascii="Times New Roman" w:hAnsi="Times New Roman" w:eastAsia="仿宋" w:cs="Times New Roman"/>
                      <w:color w:val="auto"/>
                      <w:spacing w:val="14"/>
                      <w:sz w:val="21"/>
                      <w:szCs w:val="21"/>
                      <w:highlight w:val="none"/>
                    </w:rPr>
                    <w:t>，</w:t>
                  </w:r>
                  <w:r>
                    <w:rPr>
                      <w:rFonts w:hint="default" w:ascii="Times New Roman" w:hAnsi="Times New Roman" w:eastAsia="仿宋" w:cs="Times New Roman"/>
                      <w:color w:val="auto"/>
                      <w:sz w:val="21"/>
                      <w:szCs w:val="21"/>
                      <w:highlight w:val="none"/>
                    </w:rPr>
                    <w:t>dB</w:t>
                  </w:r>
                  <w:r>
                    <w:rPr>
                      <w:rFonts w:hint="default" w:ascii="Times New Roman" w:hAnsi="Times New Roman" w:eastAsia="仿宋" w:cs="Times New Roman"/>
                      <w:color w:val="auto"/>
                      <w:spacing w:val="6"/>
                      <w:sz w:val="21"/>
                      <w:szCs w:val="21"/>
                      <w:highlight w:val="none"/>
                    </w:rPr>
                    <w:t>（A）</w:t>
                  </w:r>
                </w:p>
              </w:tc>
              <w:tc>
                <w:tcPr>
                  <w:tcW w:w="260" w:type="pct"/>
                  <w:tcBorders>
                    <w:tl2br w:val="nil"/>
                    <w:tr2bl w:val="nil"/>
                  </w:tcBorders>
                  <w:vAlign w:val="center"/>
                </w:tcPr>
                <w:p w14:paraId="69527D93">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92</w:t>
                  </w:r>
                </w:p>
              </w:tc>
              <w:tc>
                <w:tcPr>
                  <w:tcW w:w="265" w:type="pct"/>
                  <w:tcBorders>
                    <w:tl2br w:val="nil"/>
                    <w:tr2bl w:val="nil"/>
                  </w:tcBorders>
                  <w:vAlign w:val="center"/>
                </w:tcPr>
                <w:p w14:paraId="543ABA8C">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86</w:t>
                  </w:r>
                </w:p>
              </w:tc>
              <w:tc>
                <w:tcPr>
                  <w:tcW w:w="262" w:type="pct"/>
                  <w:tcBorders>
                    <w:tl2br w:val="nil"/>
                    <w:tr2bl w:val="nil"/>
                  </w:tcBorders>
                  <w:vAlign w:val="center"/>
                </w:tcPr>
                <w:p w14:paraId="6C81A9D7">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78</w:t>
                  </w:r>
                </w:p>
              </w:tc>
              <w:tc>
                <w:tcPr>
                  <w:tcW w:w="374" w:type="pct"/>
                  <w:tcBorders>
                    <w:tl2br w:val="nil"/>
                    <w:tr2bl w:val="nil"/>
                  </w:tcBorders>
                  <w:vAlign w:val="center"/>
                </w:tcPr>
                <w:p w14:paraId="098FD12F">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72</w:t>
                  </w:r>
                </w:p>
              </w:tc>
              <w:tc>
                <w:tcPr>
                  <w:tcW w:w="374" w:type="pct"/>
                  <w:tcBorders>
                    <w:tl2br w:val="nil"/>
                    <w:tr2bl w:val="nil"/>
                  </w:tcBorders>
                  <w:vAlign w:val="center"/>
                </w:tcPr>
                <w:p w14:paraId="53371970">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69</w:t>
                  </w:r>
                </w:p>
              </w:tc>
              <w:tc>
                <w:tcPr>
                  <w:tcW w:w="397" w:type="pct"/>
                  <w:tcBorders>
                    <w:tl2br w:val="nil"/>
                    <w:tr2bl w:val="nil"/>
                  </w:tcBorders>
                  <w:vAlign w:val="center"/>
                </w:tcPr>
                <w:p w14:paraId="7C6B04A4">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66</w:t>
                  </w:r>
                </w:p>
              </w:tc>
              <w:tc>
                <w:tcPr>
                  <w:tcW w:w="390" w:type="pct"/>
                  <w:tcBorders>
                    <w:tl2br w:val="nil"/>
                    <w:tr2bl w:val="nil"/>
                  </w:tcBorders>
                  <w:vAlign w:val="center"/>
                </w:tcPr>
                <w:p w14:paraId="7E87A8E0">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58</w:t>
                  </w:r>
                </w:p>
              </w:tc>
            </w:tr>
            <w:tr w14:paraId="0B8D177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1645" w:type="pct"/>
                  <w:tcBorders>
                    <w:tl2br w:val="nil"/>
                    <w:tr2bl w:val="nil"/>
                  </w:tcBorders>
                  <w:vAlign w:val="center"/>
                </w:tcPr>
                <w:p w14:paraId="582F6F77">
                  <w:pPr>
                    <w:pStyle w:val="59"/>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8"/>
                      <w:sz w:val="21"/>
                      <w:szCs w:val="21"/>
                      <w:highlight w:val="none"/>
                    </w:rPr>
                    <w:t>深孔爆破</w:t>
                  </w:r>
                </w:p>
              </w:tc>
              <w:tc>
                <w:tcPr>
                  <w:tcW w:w="1028" w:type="pct"/>
                  <w:vMerge w:val="continue"/>
                  <w:tcBorders>
                    <w:tl2br w:val="nil"/>
                    <w:tr2bl w:val="nil"/>
                  </w:tcBorders>
                  <w:vAlign w:val="center"/>
                </w:tcPr>
                <w:p w14:paraId="787C9053">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p>
              </w:tc>
              <w:tc>
                <w:tcPr>
                  <w:tcW w:w="260" w:type="pct"/>
                  <w:tcBorders>
                    <w:tl2br w:val="nil"/>
                    <w:tr2bl w:val="nil"/>
                  </w:tcBorders>
                  <w:vAlign w:val="center"/>
                </w:tcPr>
                <w:p w14:paraId="3A50152D">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80</w:t>
                  </w:r>
                </w:p>
              </w:tc>
              <w:tc>
                <w:tcPr>
                  <w:tcW w:w="265" w:type="pct"/>
                  <w:tcBorders>
                    <w:tl2br w:val="nil"/>
                    <w:tr2bl w:val="nil"/>
                  </w:tcBorders>
                  <w:vAlign w:val="center"/>
                </w:tcPr>
                <w:p w14:paraId="017B5E29">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76</w:t>
                  </w:r>
                </w:p>
              </w:tc>
              <w:tc>
                <w:tcPr>
                  <w:tcW w:w="262" w:type="pct"/>
                  <w:tcBorders>
                    <w:tl2br w:val="nil"/>
                    <w:tr2bl w:val="nil"/>
                  </w:tcBorders>
                  <w:vAlign w:val="center"/>
                </w:tcPr>
                <w:p w14:paraId="5EF96521">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68</w:t>
                  </w:r>
                </w:p>
              </w:tc>
              <w:tc>
                <w:tcPr>
                  <w:tcW w:w="374" w:type="pct"/>
                  <w:tcBorders>
                    <w:tl2br w:val="nil"/>
                    <w:tr2bl w:val="nil"/>
                  </w:tcBorders>
                  <w:vAlign w:val="center"/>
                </w:tcPr>
                <w:p w14:paraId="6A730F9A">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60</w:t>
                  </w:r>
                </w:p>
              </w:tc>
              <w:tc>
                <w:tcPr>
                  <w:tcW w:w="374" w:type="pct"/>
                  <w:tcBorders>
                    <w:tl2br w:val="nil"/>
                    <w:tr2bl w:val="nil"/>
                  </w:tcBorders>
                  <w:vAlign w:val="center"/>
                </w:tcPr>
                <w:p w14:paraId="1ECD76BD">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58</w:t>
                  </w:r>
                </w:p>
              </w:tc>
              <w:tc>
                <w:tcPr>
                  <w:tcW w:w="397" w:type="pct"/>
                  <w:tcBorders>
                    <w:tl2br w:val="nil"/>
                    <w:tr2bl w:val="nil"/>
                  </w:tcBorders>
                  <w:vAlign w:val="center"/>
                </w:tcPr>
                <w:p w14:paraId="2E55A786">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56</w:t>
                  </w:r>
                </w:p>
              </w:tc>
              <w:tc>
                <w:tcPr>
                  <w:tcW w:w="390" w:type="pct"/>
                  <w:tcBorders>
                    <w:tl2br w:val="nil"/>
                    <w:tr2bl w:val="nil"/>
                  </w:tcBorders>
                  <w:vAlign w:val="center"/>
                </w:tcPr>
                <w:p w14:paraId="06BE1A8A">
                  <w:pPr>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48</w:t>
                  </w:r>
                </w:p>
              </w:tc>
            </w:tr>
          </w:tbl>
          <w:p w14:paraId="7C28F86A">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由上表可见</w:t>
            </w:r>
            <w:r>
              <w:rPr>
                <w:rFonts w:hint="eastAsia" w:eastAsia="仿宋" w:cs="Times New Roman"/>
                <w:color w:val="auto"/>
                <w:sz w:val="24"/>
                <w:highlight w:val="none"/>
                <w:lang w:val="en-US" w:eastAsia="zh-CN"/>
              </w:rPr>
              <w:t>，</w:t>
            </w:r>
            <w:r>
              <w:rPr>
                <w:rFonts w:hint="default" w:ascii="Times New Roman" w:hAnsi="Times New Roman" w:eastAsia="仿宋" w:cs="Times New Roman"/>
                <w:color w:val="auto"/>
                <w:sz w:val="24"/>
                <w:highlight w:val="none"/>
                <w:lang w:val="en-US" w:eastAsia="zh-CN"/>
              </w:rPr>
              <w:t>本项目爆破</w:t>
            </w:r>
            <w:r>
              <w:rPr>
                <w:rFonts w:hint="eastAsia" w:eastAsia="仿宋" w:cs="Times New Roman"/>
                <w:color w:val="auto"/>
                <w:sz w:val="24"/>
                <w:highlight w:val="none"/>
                <w:lang w:val="en-US" w:eastAsia="zh-CN"/>
              </w:rPr>
              <w:t>采用深孔爆破</w:t>
            </w:r>
            <w:r>
              <w:rPr>
                <w:rFonts w:hint="default" w:ascii="Times New Roman" w:hAnsi="Times New Roman" w:eastAsia="仿宋" w:cs="Times New Roman"/>
                <w:color w:val="auto"/>
                <w:sz w:val="24"/>
                <w:highlight w:val="none"/>
                <w:lang w:val="en-US" w:eastAsia="zh-CN"/>
              </w:rPr>
              <w:t>可使爆破噪声影响比一般浅孔爆破时降低很多，在100m处噪声达到60dB（A）， 200m处降至56dB（A）。根据预测，当采用深孔爆破时，50m处爆破瞬时噪声值约为68dB（A），根据《声环境质量标准》（GB3096-2008）说明中规定：突发噪声指突然发生持续时间短强度较高的噪声，如工程爆破等，其夜间突发噪声最大声级不得超过环境噪声限值的15dB（A），对昼间突发噪声最大声级没有限制要求。项目爆破在昼间实施，矿区周边</w:t>
            </w:r>
            <w:r>
              <w:rPr>
                <w:rFonts w:hint="eastAsia" w:eastAsia="仿宋" w:cs="Times New Roman"/>
                <w:color w:val="auto"/>
                <w:sz w:val="24"/>
                <w:highlight w:val="none"/>
                <w:lang w:val="en-US" w:eastAsia="zh-CN"/>
              </w:rPr>
              <w:t>50</w:t>
            </w:r>
            <w:r>
              <w:rPr>
                <w:rFonts w:hint="default" w:ascii="Times New Roman" w:hAnsi="Times New Roman" w:eastAsia="仿宋" w:cs="Times New Roman"/>
                <w:color w:val="auto"/>
                <w:sz w:val="24"/>
                <w:highlight w:val="none"/>
                <w:lang w:val="en-US" w:eastAsia="zh-CN"/>
              </w:rPr>
              <w:t>m范围内无居民点，由于爆破是瞬间的，且在爆破开采区域边界的开采时限较短，爆破噪声产生的影响是短暂的，因此爆破噪声对周围声环境的影响不大。本环评建议企业爆破时，采取合理设置装药量，不过量装药，适当增加最小抵抗线等措施降低爆破噪声。</w:t>
            </w:r>
          </w:p>
          <w:p w14:paraId="0A7ECC6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Cs/>
                <w:color w:val="auto"/>
                <w:spacing w:val="0"/>
                <w:sz w:val="24"/>
                <w:highlight w:val="none"/>
                <w:lang w:val="en-US" w:eastAsia="zh-CN"/>
              </w:rPr>
            </w:pPr>
            <w:r>
              <w:rPr>
                <w:rFonts w:hint="default" w:ascii="Times New Roman" w:hAnsi="Times New Roman" w:eastAsia="仿宋" w:cs="Times New Roman"/>
                <w:bCs/>
                <w:color w:val="auto"/>
                <w:spacing w:val="0"/>
                <w:sz w:val="24"/>
                <w:highlight w:val="none"/>
                <w:lang w:val="en-US" w:eastAsia="zh-CN"/>
              </w:rPr>
              <w:t>⑵露天采场声环境影响分析</w:t>
            </w:r>
          </w:p>
          <w:p w14:paraId="791D7A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①</w:t>
            </w:r>
            <w:r>
              <w:rPr>
                <w:rFonts w:hint="default" w:ascii="Times New Roman" w:hAnsi="Times New Roman" w:eastAsia="仿宋" w:cs="Times New Roman"/>
                <w:color w:val="auto"/>
                <w:sz w:val="24"/>
                <w:highlight w:val="none"/>
                <w:lang w:val="en-US" w:eastAsia="zh-CN"/>
              </w:rPr>
              <w:t>噪声源强</w:t>
            </w:r>
          </w:p>
          <w:p w14:paraId="1FC0387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lang w:val="en-US" w:eastAsia="zh-CN"/>
              </w:rPr>
              <w:t>本</w:t>
            </w:r>
            <w:r>
              <w:rPr>
                <w:rFonts w:hint="default" w:ascii="Times New Roman" w:hAnsi="Times New Roman" w:eastAsia="仿宋" w:cs="Times New Roman"/>
                <w:color w:val="auto"/>
                <w:sz w:val="24"/>
                <w:highlight w:val="none"/>
              </w:rPr>
              <w:t>项目</w:t>
            </w:r>
            <w:r>
              <w:rPr>
                <w:rFonts w:hint="default" w:ascii="Times New Roman" w:hAnsi="Times New Roman" w:eastAsia="仿宋" w:cs="Times New Roman"/>
                <w:color w:val="auto"/>
                <w:sz w:val="24"/>
                <w:highlight w:val="none"/>
                <w:lang w:val="en-US" w:eastAsia="zh-CN"/>
              </w:rPr>
              <w:t>露天采场</w:t>
            </w:r>
            <w:r>
              <w:rPr>
                <w:rFonts w:hint="default" w:ascii="Times New Roman" w:hAnsi="Times New Roman" w:eastAsia="仿宋" w:cs="Times New Roman"/>
                <w:color w:val="auto"/>
                <w:sz w:val="24"/>
                <w:highlight w:val="none"/>
              </w:rPr>
              <w:t>运营期噪声主要来源于开采区</w:t>
            </w:r>
            <w:r>
              <w:rPr>
                <w:rFonts w:hint="default" w:ascii="Times New Roman" w:hAnsi="Times New Roman" w:eastAsia="仿宋" w:cs="Times New Roman"/>
                <w:color w:val="auto"/>
                <w:sz w:val="24"/>
                <w:highlight w:val="none"/>
                <w:lang w:val="en-US" w:eastAsia="zh-CN"/>
              </w:rPr>
              <w:t>采矿</w:t>
            </w:r>
            <w:r>
              <w:rPr>
                <w:rFonts w:hint="default" w:ascii="Times New Roman" w:hAnsi="Times New Roman" w:eastAsia="仿宋" w:cs="Times New Roman"/>
                <w:color w:val="auto"/>
                <w:sz w:val="24"/>
                <w:highlight w:val="none"/>
              </w:rPr>
              <w:t>设备运行噪声，为减少噪声对区域声环境的影响，本次评价针对</w:t>
            </w:r>
            <w:r>
              <w:rPr>
                <w:rFonts w:hint="default" w:ascii="Times New Roman" w:hAnsi="Times New Roman" w:eastAsia="仿宋" w:cs="Times New Roman"/>
                <w:color w:val="auto"/>
                <w:sz w:val="24"/>
                <w:highlight w:val="none"/>
                <w:lang w:val="en-US" w:eastAsia="zh-CN"/>
              </w:rPr>
              <w:t>采矿</w:t>
            </w:r>
            <w:r>
              <w:rPr>
                <w:rFonts w:hint="default" w:ascii="Times New Roman" w:hAnsi="Times New Roman" w:eastAsia="仿宋" w:cs="Times New Roman"/>
                <w:color w:val="auto"/>
                <w:sz w:val="24"/>
                <w:highlight w:val="none"/>
              </w:rPr>
              <w:t>设备提出相应的噪声防治措施，采取措施后，项目各生产设备噪声源强见表</w:t>
            </w:r>
            <w:r>
              <w:rPr>
                <w:rFonts w:hint="eastAsia" w:eastAsia="仿宋" w:cs="Times New Roman"/>
                <w:color w:val="auto"/>
                <w:sz w:val="24"/>
                <w:highlight w:val="none"/>
                <w:lang w:val="en-US" w:eastAsia="zh-CN"/>
              </w:rPr>
              <w:t>44</w:t>
            </w:r>
            <w:r>
              <w:rPr>
                <w:rFonts w:hint="default" w:ascii="Times New Roman" w:hAnsi="Times New Roman" w:eastAsia="仿宋" w:cs="Times New Roman"/>
                <w:color w:val="auto"/>
                <w:sz w:val="24"/>
                <w:highlight w:val="none"/>
              </w:rPr>
              <w:t>。</w:t>
            </w:r>
          </w:p>
          <w:p w14:paraId="26F628E4">
            <w:pPr>
              <w:pStyle w:val="13"/>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eastAsia="仿宋" w:cs="Times New Roman"/>
                <w:b/>
                <w:color w:val="000000" w:themeColor="text1"/>
                <w:sz w:val="21"/>
                <w:szCs w:val="21"/>
                <w:lang w:val="en-US" w:eastAsia="zh-CN"/>
                <w14:textFill>
                  <w14:solidFill>
                    <w14:schemeClr w14:val="tx1"/>
                  </w14:solidFill>
                </w14:textFill>
              </w:rPr>
            </w:pPr>
            <w:r>
              <w:rPr>
                <w:rFonts w:hint="default" w:ascii="Times New Roman" w:eastAsia="仿宋" w:cs="Times New Roman"/>
                <w:b/>
                <w:color w:val="000000" w:themeColor="text1"/>
                <w:sz w:val="21"/>
                <w:szCs w:val="21"/>
                <w:lang w:val="en-US" w:eastAsia="zh-CN"/>
                <w14:textFill>
                  <w14:solidFill>
                    <w14:schemeClr w14:val="tx1"/>
                  </w14:solidFill>
                </w14:textFill>
              </w:rPr>
              <w:t>表</w:t>
            </w:r>
            <w:r>
              <w:rPr>
                <w:rFonts w:hint="eastAsia" w:ascii="Times New Roman" w:eastAsia="仿宋" w:cs="Times New Roman"/>
                <w:b/>
                <w:color w:val="000000" w:themeColor="text1"/>
                <w:sz w:val="21"/>
                <w:szCs w:val="21"/>
                <w:lang w:val="en-US" w:eastAsia="zh-CN"/>
                <w14:textFill>
                  <w14:solidFill>
                    <w14:schemeClr w14:val="tx1"/>
                  </w14:solidFill>
                </w14:textFill>
              </w:rPr>
              <w:t>44</w:t>
            </w:r>
            <w:r>
              <w:rPr>
                <w:rFonts w:hint="default" w:ascii="Times New Roman" w:eastAsia="仿宋" w:cs="Times New Roman"/>
                <w:b/>
                <w:color w:val="000000" w:themeColor="text1"/>
                <w:sz w:val="21"/>
                <w:szCs w:val="21"/>
                <w:lang w:val="en-US" w:eastAsia="zh-CN"/>
                <w14:textFill>
                  <w14:solidFill>
                    <w14:schemeClr w14:val="tx1"/>
                  </w14:solidFill>
                </w14:textFill>
              </w:rPr>
              <w:t xml:space="preserve">   项目露天采场噪声源强调查清单（室外声源）</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39"/>
              <w:gridCol w:w="1598"/>
              <w:gridCol w:w="714"/>
              <w:gridCol w:w="724"/>
              <w:gridCol w:w="755"/>
              <w:gridCol w:w="1216"/>
              <w:gridCol w:w="1035"/>
              <w:gridCol w:w="686"/>
            </w:tblGrid>
            <w:tr w14:paraId="1741EE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1" w:hRule="atLeast"/>
                <w:jc w:val="center"/>
              </w:trPr>
              <w:tc>
                <w:tcPr>
                  <w:tcW w:w="370" w:type="pct"/>
                  <w:vMerge w:val="restart"/>
                  <w:tcBorders>
                    <w:tl2br w:val="nil"/>
                    <w:tr2bl w:val="nil"/>
                  </w:tcBorders>
                  <w:noWrap w:val="0"/>
                  <w:vAlign w:val="center"/>
                </w:tcPr>
                <w:p w14:paraId="681DE8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序号</w:t>
                  </w:r>
                </w:p>
              </w:tc>
              <w:tc>
                <w:tcPr>
                  <w:tcW w:w="1099" w:type="pct"/>
                  <w:vMerge w:val="restart"/>
                  <w:tcBorders>
                    <w:tl2br w:val="nil"/>
                    <w:tr2bl w:val="nil"/>
                  </w:tcBorders>
                  <w:noWrap w:val="0"/>
                  <w:vAlign w:val="center"/>
                </w:tcPr>
                <w:p w14:paraId="6164BF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声源名称</w:t>
                  </w:r>
                </w:p>
              </w:tc>
              <w:tc>
                <w:tcPr>
                  <w:tcW w:w="1508" w:type="pct"/>
                  <w:gridSpan w:val="3"/>
                  <w:tcBorders>
                    <w:tl2br w:val="nil"/>
                    <w:tr2bl w:val="nil"/>
                  </w:tcBorders>
                  <w:noWrap w:val="0"/>
                  <w:vAlign w:val="center"/>
                </w:tcPr>
                <w:p w14:paraId="34D137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空间相对位置/m</w:t>
                  </w:r>
                </w:p>
              </w:tc>
              <w:tc>
                <w:tcPr>
                  <w:tcW w:w="836" w:type="pct"/>
                  <w:tcBorders>
                    <w:tl2br w:val="nil"/>
                    <w:tr2bl w:val="nil"/>
                  </w:tcBorders>
                  <w:noWrap w:val="0"/>
                  <w:vAlign w:val="center"/>
                </w:tcPr>
                <w:p w14:paraId="494C88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声源源强</w:t>
                  </w:r>
                </w:p>
              </w:tc>
              <w:tc>
                <w:tcPr>
                  <w:tcW w:w="712" w:type="pct"/>
                  <w:vMerge w:val="restart"/>
                  <w:tcBorders>
                    <w:tl2br w:val="nil"/>
                    <w:tr2bl w:val="nil"/>
                  </w:tcBorders>
                  <w:noWrap w:val="0"/>
                  <w:vAlign w:val="center"/>
                </w:tcPr>
                <w:p w14:paraId="46243B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声源控制措施</w:t>
                  </w:r>
                </w:p>
              </w:tc>
              <w:tc>
                <w:tcPr>
                  <w:tcW w:w="471" w:type="pct"/>
                  <w:vMerge w:val="restart"/>
                  <w:tcBorders>
                    <w:tl2br w:val="nil"/>
                    <w:tr2bl w:val="nil"/>
                  </w:tcBorders>
                  <w:noWrap w:val="0"/>
                  <w:vAlign w:val="center"/>
                </w:tcPr>
                <w:p w14:paraId="574B84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运行时段</w:t>
                  </w:r>
                </w:p>
              </w:tc>
            </w:tr>
            <w:tr w14:paraId="521C66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2" w:hRule="atLeast"/>
                <w:jc w:val="center"/>
              </w:trPr>
              <w:tc>
                <w:tcPr>
                  <w:tcW w:w="370" w:type="pct"/>
                  <w:vMerge w:val="continue"/>
                  <w:tcBorders>
                    <w:tl2br w:val="nil"/>
                    <w:tr2bl w:val="nil"/>
                  </w:tcBorders>
                  <w:noWrap w:val="0"/>
                  <w:vAlign w:val="center"/>
                </w:tcPr>
                <w:p w14:paraId="216024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p>
              </w:tc>
              <w:tc>
                <w:tcPr>
                  <w:tcW w:w="1099" w:type="pct"/>
                  <w:vMerge w:val="continue"/>
                  <w:tcBorders>
                    <w:tl2br w:val="nil"/>
                    <w:tr2bl w:val="nil"/>
                  </w:tcBorders>
                  <w:noWrap w:val="0"/>
                  <w:vAlign w:val="center"/>
                </w:tcPr>
                <w:p w14:paraId="6AE579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p>
              </w:tc>
              <w:tc>
                <w:tcPr>
                  <w:tcW w:w="491" w:type="pct"/>
                  <w:tcBorders>
                    <w:tl2br w:val="nil"/>
                    <w:tr2bl w:val="nil"/>
                  </w:tcBorders>
                  <w:noWrap w:val="0"/>
                  <w:vAlign w:val="center"/>
                </w:tcPr>
                <w:p w14:paraId="2BB564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X</w:t>
                  </w:r>
                </w:p>
              </w:tc>
              <w:tc>
                <w:tcPr>
                  <w:tcW w:w="498" w:type="pct"/>
                  <w:tcBorders>
                    <w:tl2br w:val="nil"/>
                    <w:tr2bl w:val="nil"/>
                  </w:tcBorders>
                  <w:noWrap w:val="0"/>
                  <w:vAlign w:val="center"/>
                </w:tcPr>
                <w:p w14:paraId="3B2705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Y</w:t>
                  </w:r>
                </w:p>
              </w:tc>
              <w:tc>
                <w:tcPr>
                  <w:tcW w:w="519" w:type="pct"/>
                  <w:tcBorders>
                    <w:tl2br w:val="nil"/>
                    <w:tr2bl w:val="nil"/>
                  </w:tcBorders>
                  <w:noWrap w:val="0"/>
                  <w:vAlign w:val="center"/>
                </w:tcPr>
                <w:p w14:paraId="4684C9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Z</w:t>
                  </w:r>
                </w:p>
              </w:tc>
              <w:tc>
                <w:tcPr>
                  <w:tcW w:w="836" w:type="pct"/>
                  <w:tcBorders>
                    <w:tl2br w:val="nil"/>
                    <w:tr2bl w:val="nil"/>
                  </w:tcBorders>
                  <w:noWrap w:val="0"/>
                  <w:vAlign w:val="center"/>
                </w:tcPr>
                <w:p w14:paraId="3774B8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声功率级/dB（A）</w:t>
                  </w:r>
                </w:p>
              </w:tc>
              <w:tc>
                <w:tcPr>
                  <w:tcW w:w="712" w:type="pct"/>
                  <w:vMerge w:val="continue"/>
                  <w:tcBorders>
                    <w:tl2br w:val="nil"/>
                    <w:tr2bl w:val="nil"/>
                  </w:tcBorders>
                  <w:noWrap w:val="0"/>
                  <w:vAlign w:val="center"/>
                </w:tcPr>
                <w:p w14:paraId="7DE94D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p>
              </w:tc>
              <w:tc>
                <w:tcPr>
                  <w:tcW w:w="471" w:type="pct"/>
                  <w:vMerge w:val="continue"/>
                  <w:tcBorders>
                    <w:tl2br w:val="nil"/>
                    <w:tr2bl w:val="nil"/>
                  </w:tcBorders>
                  <w:noWrap w:val="0"/>
                  <w:vAlign w:val="center"/>
                </w:tcPr>
                <w:p w14:paraId="1D20C7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p>
              </w:tc>
            </w:tr>
            <w:tr w14:paraId="1738C2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2" w:hRule="atLeast"/>
                <w:jc w:val="center"/>
              </w:trPr>
              <w:tc>
                <w:tcPr>
                  <w:tcW w:w="370" w:type="pct"/>
                  <w:tcBorders>
                    <w:tl2br w:val="nil"/>
                    <w:tr2bl w:val="nil"/>
                  </w:tcBorders>
                  <w:noWrap w:val="0"/>
                  <w:vAlign w:val="center"/>
                </w:tcPr>
                <w:p w14:paraId="460790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w:t>
                  </w:r>
                </w:p>
              </w:tc>
              <w:tc>
                <w:tcPr>
                  <w:tcW w:w="1099" w:type="pct"/>
                  <w:tcBorders>
                    <w:tl2br w:val="nil"/>
                    <w:tr2bl w:val="nil"/>
                  </w:tcBorders>
                  <w:noWrap w:val="0"/>
                  <w:vAlign w:val="center"/>
                </w:tcPr>
                <w:p w14:paraId="1B5C4B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rPr>
                    <w:t>挖掘机</w:t>
                  </w:r>
                </w:p>
              </w:tc>
              <w:tc>
                <w:tcPr>
                  <w:tcW w:w="491" w:type="pct"/>
                  <w:tcBorders>
                    <w:tl2br w:val="nil"/>
                    <w:tr2bl w:val="nil"/>
                  </w:tcBorders>
                  <w:noWrap w:val="0"/>
                  <w:vAlign w:val="center"/>
                </w:tcPr>
                <w:p w14:paraId="14B043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color w:val="auto"/>
                      <w:sz w:val="21"/>
                      <w:szCs w:val="21"/>
                      <w:highlight w:val="none"/>
                    </w:rPr>
                  </w:pPr>
                  <w:r>
                    <w:rPr>
                      <w:rFonts w:hint="eastAsia" w:ascii="Times New Roman" w:hAnsi="Times New Roman" w:eastAsia="仿宋" w:cs="Times New Roman"/>
                      <w:i w:val="0"/>
                      <w:iCs w:val="0"/>
                      <w:color w:val="auto"/>
                      <w:kern w:val="0"/>
                      <w:sz w:val="21"/>
                      <w:szCs w:val="21"/>
                      <w:highlight w:val="none"/>
                      <w:u w:val="none"/>
                      <w:lang w:val="en-US" w:eastAsia="zh-CN" w:bidi="ar"/>
                    </w:rPr>
                    <w:t>-286</w:t>
                  </w:r>
                  <w:r>
                    <w:rPr>
                      <w:rFonts w:hint="default" w:ascii="Times New Roman" w:hAnsi="Times New Roman" w:eastAsia="仿宋" w:cs="Times New Roman"/>
                      <w:i w:val="0"/>
                      <w:iCs w:val="0"/>
                      <w:color w:val="auto"/>
                      <w:kern w:val="0"/>
                      <w:sz w:val="21"/>
                      <w:szCs w:val="21"/>
                      <w:highlight w:val="none"/>
                      <w:u w:val="none"/>
                      <w:lang w:val="en-US" w:eastAsia="zh-CN" w:bidi="ar"/>
                    </w:rPr>
                    <w:t xml:space="preserve"> </w:t>
                  </w:r>
                </w:p>
              </w:tc>
              <w:tc>
                <w:tcPr>
                  <w:tcW w:w="498" w:type="pct"/>
                  <w:tcBorders>
                    <w:tl2br w:val="nil"/>
                    <w:tr2bl w:val="nil"/>
                  </w:tcBorders>
                  <w:noWrap w:val="0"/>
                  <w:vAlign w:val="center"/>
                </w:tcPr>
                <w:p w14:paraId="0F9113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color w:val="auto"/>
                      <w:sz w:val="21"/>
                      <w:szCs w:val="21"/>
                      <w:highlight w:val="none"/>
                      <w:lang w:val="en-US"/>
                    </w:rPr>
                  </w:pPr>
                  <w:r>
                    <w:rPr>
                      <w:rFonts w:hint="eastAsia" w:ascii="Times New Roman" w:hAnsi="Times New Roman" w:eastAsia="仿宋" w:cs="Times New Roman"/>
                      <w:i w:val="0"/>
                      <w:iCs w:val="0"/>
                      <w:color w:val="auto"/>
                      <w:kern w:val="0"/>
                      <w:sz w:val="21"/>
                      <w:szCs w:val="21"/>
                      <w:highlight w:val="none"/>
                      <w:u w:val="none"/>
                      <w:lang w:val="en-US" w:eastAsia="zh-CN" w:bidi="ar"/>
                    </w:rPr>
                    <w:t>503</w:t>
                  </w:r>
                </w:p>
              </w:tc>
              <w:tc>
                <w:tcPr>
                  <w:tcW w:w="519" w:type="pct"/>
                  <w:tcBorders>
                    <w:tl2br w:val="nil"/>
                    <w:tr2bl w:val="nil"/>
                  </w:tcBorders>
                  <w:noWrap w:val="0"/>
                  <w:vAlign w:val="center"/>
                </w:tcPr>
                <w:p w14:paraId="174D50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1</w:t>
                  </w:r>
                  <w:r>
                    <w:rPr>
                      <w:rFonts w:hint="eastAsia" w:ascii="Times New Roman" w:hAnsi="Times New Roman" w:eastAsia="仿宋" w:cs="Times New Roman"/>
                      <w:i w:val="0"/>
                      <w:iCs w:val="0"/>
                      <w:color w:val="auto"/>
                      <w:kern w:val="0"/>
                      <w:sz w:val="21"/>
                      <w:szCs w:val="21"/>
                      <w:highlight w:val="none"/>
                      <w:u w:val="none"/>
                      <w:lang w:val="en-US" w:eastAsia="zh-CN" w:bidi="ar"/>
                    </w:rPr>
                    <w:t>.5</w:t>
                  </w:r>
                </w:p>
              </w:tc>
              <w:tc>
                <w:tcPr>
                  <w:tcW w:w="836" w:type="pct"/>
                  <w:tcBorders>
                    <w:tl2br w:val="nil"/>
                    <w:tr2bl w:val="nil"/>
                  </w:tcBorders>
                  <w:noWrap w:val="0"/>
                  <w:vAlign w:val="center"/>
                </w:tcPr>
                <w:p w14:paraId="1D2A5B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85</w:t>
                  </w:r>
                </w:p>
              </w:tc>
              <w:tc>
                <w:tcPr>
                  <w:tcW w:w="712" w:type="pct"/>
                  <w:vMerge w:val="restart"/>
                  <w:tcBorders>
                    <w:tl2br w:val="nil"/>
                    <w:tr2bl w:val="nil"/>
                  </w:tcBorders>
                  <w:noWrap w:val="0"/>
                  <w:vAlign w:val="center"/>
                </w:tcPr>
                <w:p w14:paraId="362613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pacing w:val="7"/>
                      <w:sz w:val="21"/>
                      <w:szCs w:val="21"/>
                      <w:highlight w:val="none"/>
                    </w:rPr>
                    <w:t>选用低噪</w:t>
                  </w:r>
                  <w:r>
                    <w:rPr>
                      <w:rFonts w:hint="default" w:ascii="Times New Roman" w:hAnsi="Times New Roman" w:eastAsia="仿宋" w:cs="Times New Roman"/>
                      <w:color w:val="auto"/>
                      <w:spacing w:val="5"/>
                      <w:sz w:val="21"/>
                      <w:szCs w:val="21"/>
                      <w:highlight w:val="none"/>
                    </w:rPr>
                    <w:t>声设备</w:t>
                  </w:r>
                </w:p>
              </w:tc>
              <w:tc>
                <w:tcPr>
                  <w:tcW w:w="471" w:type="pct"/>
                  <w:tcBorders>
                    <w:tl2br w:val="nil"/>
                    <w:tr2bl w:val="nil"/>
                  </w:tcBorders>
                  <w:noWrap w:val="0"/>
                  <w:vAlign w:val="center"/>
                </w:tcPr>
                <w:p w14:paraId="3F4E26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val="en-US" w:eastAsia="zh-CN"/>
                    </w:rPr>
                    <w:t>昼间</w:t>
                  </w:r>
                </w:p>
              </w:tc>
            </w:tr>
            <w:tr w14:paraId="14C6139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2" w:hRule="atLeast"/>
                <w:jc w:val="center"/>
              </w:trPr>
              <w:tc>
                <w:tcPr>
                  <w:tcW w:w="370" w:type="pct"/>
                  <w:tcBorders>
                    <w:tl2br w:val="nil"/>
                    <w:tr2bl w:val="nil"/>
                  </w:tcBorders>
                  <w:noWrap w:val="0"/>
                  <w:vAlign w:val="center"/>
                </w:tcPr>
                <w:p w14:paraId="4795FE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eastAsia="仿宋" w:cs="Times New Roman"/>
                      <w:color w:val="auto"/>
                      <w:sz w:val="21"/>
                      <w:szCs w:val="21"/>
                      <w:highlight w:val="none"/>
                      <w:lang w:val="en-US" w:eastAsia="zh-CN"/>
                    </w:rPr>
                    <w:t>2</w:t>
                  </w:r>
                </w:p>
              </w:tc>
              <w:tc>
                <w:tcPr>
                  <w:tcW w:w="1099" w:type="pct"/>
                  <w:tcBorders>
                    <w:tl2br w:val="nil"/>
                    <w:tr2bl w:val="nil"/>
                  </w:tcBorders>
                  <w:noWrap w:val="0"/>
                  <w:vAlign w:val="center"/>
                </w:tcPr>
                <w:p w14:paraId="524811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i w:val="0"/>
                      <w:iCs w:val="0"/>
                      <w:color w:val="auto"/>
                      <w:kern w:val="0"/>
                      <w:sz w:val="21"/>
                      <w:szCs w:val="21"/>
                      <w:highlight w:val="none"/>
                      <w:u w:val="none"/>
                      <w:lang w:val="en-US" w:eastAsia="zh-CN" w:bidi="ar"/>
                    </w:rPr>
                    <w:t>液压潜孔钻机</w:t>
                  </w:r>
                </w:p>
              </w:tc>
              <w:tc>
                <w:tcPr>
                  <w:tcW w:w="491" w:type="pct"/>
                  <w:tcBorders>
                    <w:tl2br w:val="nil"/>
                    <w:tr2bl w:val="nil"/>
                  </w:tcBorders>
                  <w:noWrap w:val="0"/>
                  <w:vAlign w:val="center"/>
                </w:tcPr>
                <w:p w14:paraId="4DBBE4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color w:val="auto"/>
                      <w:sz w:val="21"/>
                      <w:szCs w:val="21"/>
                      <w:highlight w:val="none"/>
                    </w:rPr>
                  </w:pPr>
                  <w:r>
                    <w:rPr>
                      <w:rFonts w:hint="eastAsia" w:ascii="Times New Roman" w:hAnsi="Times New Roman" w:eastAsia="仿宋" w:cs="Times New Roman"/>
                      <w:i w:val="0"/>
                      <w:iCs w:val="0"/>
                      <w:color w:val="auto"/>
                      <w:kern w:val="0"/>
                      <w:sz w:val="21"/>
                      <w:szCs w:val="21"/>
                      <w:highlight w:val="none"/>
                      <w:u w:val="none"/>
                      <w:lang w:val="en-US" w:eastAsia="zh-CN" w:bidi="ar"/>
                    </w:rPr>
                    <w:t>-135</w:t>
                  </w:r>
                  <w:r>
                    <w:rPr>
                      <w:rFonts w:hint="default" w:ascii="Times New Roman" w:hAnsi="Times New Roman" w:eastAsia="仿宋" w:cs="Times New Roman"/>
                      <w:i w:val="0"/>
                      <w:iCs w:val="0"/>
                      <w:color w:val="auto"/>
                      <w:kern w:val="0"/>
                      <w:sz w:val="21"/>
                      <w:szCs w:val="21"/>
                      <w:highlight w:val="none"/>
                      <w:u w:val="none"/>
                      <w:lang w:val="en-US" w:eastAsia="zh-CN" w:bidi="ar"/>
                    </w:rPr>
                    <w:t xml:space="preserve"> </w:t>
                  </w:r>
                </w:p>
              </w:tc>
              <w:tc>
                <w:tcPr>
                  <w:tcW w:w="498" w:type="pct"/>
                  <w:tcBorders>
                    <w:tl2br w:val="nil"/>
                    <w:tr2bl w:val="nil"/>
                  </w:tcBorders>
                  <w:noWrap w:val="0"/>
                  <w:vAlign w:val="center"/>
                </w:tcPr>
                <w:p w14:paraId="464AF8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color w:val="auto"/>
                      <w:sz w:val="21"/>
                      <w:szCs w:val="21"/>
                      <w:highlight w:val="none"/>
                    </w:rPr>
                  </w:pPr>
                  <w:r>
                    <w:rPr>
                      <w:rFonts w:hint="eastAsia" w:ascii="Times New Roman" w:hAnsi="Times New Roman" w:eastAsia="仿宋" w:cs="Times New Roman"/>
                      <w:i w:val="0"/>
                      <w:iCs w:val="0"/>
                      <w:color w:val="auto"/>
                      <w:kern w:val="0"/>
                      <w:sz w:val="21"/>
                      <w:szCs w:val="21"/>
                      <w:highlight w:val="none"/>
                      <w:u w:val="none"/>
                      <w:lang w:val="en-US" w:eastAsia="zh-CN" w:bidi="ar"/>
                    </w:rPr>
                    <w:t>530</w:t>
                  </w:r>
                  <w:r>
                    <w:rPr>
                      <w:rFonts w:hint="default" w:ascii="Times New Roman" w:hAnsi="Times New Roman" w:eastAsia="仿宋" w:cs="Times New Roman"/>
                      <w:i w:val="0"/>
                      <w:iCs w:val="0"/>
                      <w:color w:val="auto"/>
                      <w:kern w:val="0"/>
                      <w:sz w:val="21"/>
                      <w:szCs w:val="21"/>
                      <w:highlight w:val="none"/>
                      <w:u w:val="none"/>
                      <w:lang w:val="en-US" w:eastAsia="zh-CN" w:bidi="ar"/>
                    </w:rPr>
                    <w:t xml:space="preserve"> </w:t>
                  </w:r>
                </w:p>
              </w:tc>
              <w:tc>
                <w:tcPr>
                  <w:tcW w:w="519" w:type="pct"/>
                  <w:tcBorders>
                    <w:tl2br w:val="nil"/>
                    <w:tr2bl w:val="nil"/>
                  </w:tcBorders>
                  <w:noWrap w:val="0"/>
                  <w:vAlign w:val="center"/>
                </w:tcPr>
                <w:p w14:paraId="011F3E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color w:val="auto"/>
                      <w:sz w:val="21"/>
                      <w:szCs w:val="21"/>
                      <w:highlight w:val="none"/>
                      <w:lang w:val="en-US"/>
                    </w:rPr>
                  </w:pPr>
                  <w:r>
                    <w:rPr>
                      <w:rFonts w:hint="default" w:ascii="Times New Roman" w:hAnsi="Times New Roman" w:eastAsia="仿宋" w:cs="Times New Roman"/>
                      <w:i w:val="0"/>
                      <w:iCs w:val="0"/>
                      <w:color w:val="auto"/>
                      <w:kern w:val="0"/>
                      <w:sz w:val="21"/>
                      <w:szCs w:val="21"/>
                      <w:highlight w:val="none"/>
                      <w:u w:val="none"/>
                      <w:lang w:val="en-US" w:eastAsia="zh-CN" w:bidi="ar"/>
                    </w:rPr>
                    <w:t>1</w:t>
                  </w:r>
                  <w:r>
                    <w:rPr>
                      <w:rFonts w:hint="eastAsia" w:ascii="Times New Roman" w:hAnsi="Times New Roman" w:eastAsia="仿宋" w:cs="Times New Roman"/>
                      <w:i w:val="0"/>
                      <w:iCs w:val="0"/>
                      <w:color w:val="auto"/>
                      <w:kern w:val="0"/>
                      <w:sz w:val="21"/>
                      <w:szCs w:val="21"/>
                      <w:highlight w:val="none"/>
                      <w:u w:val="none"/>
                      <w:lang w:val="en-US" w:eastAsia="zh-CN" w:bidi="ar"/>
                    </w:rPr>
                    <w:t>.2</w:t>
                  </w:r>
                </w:p>
              </w:tc>
              <w:tc>
                <w:tcPr>
                  <w:tcW w:w="836" w:type="pct"/>
                  <w:tcBorders>
                    <w:tl2br w:val="nil"/>
                    <w:tr2bl w:val="nil"/>
                  </w:tcBorders>
                  <w:noWrap w:val="0"/>
                  <w:vAlign w:val="center"/>
                </w:tcPr>
                <w:p w14:paraId="08CB29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90</w:t>
                  </w:r>
                </w:p>
              </w:tc>
              <w:tc>
                <w:tcPr>
                  <w:tcW w:w="712" w:type="pct"/>
                  <w:vMerge w:val="continue"/>
                  <w:tcBorders>
                    <w:tl2br w:val="nil"/>
                    <w:tr2bl w:val="nil"/>
                  </w:tcBorders>
                  <w:noWrap w:val="0"/>
                  <w:vAlign w:val="center"/>
                </w:tcPr>
                <w:p w14:paraId="69E5D5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p>
              </w:tc>
              <w:tc>
                <w:tcPr>
                  <w:tcW w:w="471" w:type="pct"/>
                  <w:tcBorders>
                    <w:tl2br w:val="nil"/>
                    <w:tr2bl w:val="nil"/>
                  </w:tcBorders>
                  <w:noWrap w:val="0"/>
                  <w:vAlign w:val="center"/>
                </w:tcPr>
                <w:p w14:paraId="4DDED6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昼间</w:t>
                  </w:r>
                </w:p>
              </w:tc>
            </w:tr>
            <w:tr w14:paraId="69CB6CE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2" w:hRule="atLeast"/>
                <w:jc w:val="center"/>
              </w:trPr>
              <w:tc>
                <w:tcPr>
                  <w:tcW w:w="5000" w:type="pct"/>
                  <w:gridSpan w:val="8"/>
                  <w:tcBorders>
                    <w:tl2br w:val="nil"/>
                    <w:tr2bl w:val="nil"/>
                  </w:tcBorders>
                  <w:noWrap w:val="0"/>
                  <w:vAlign w:val="center"/>
                </w:tcPr>
                <w:p w14:paraId="7C77A3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仿宋" w:cs="Times New Roman"/>
                      <w:color w:val="auto"/>
                      <w:sz w:val="21"/>
                      <w:szCs w:val="21"/>
                      <w:highlight w:val="none"/>
                      <w:lang w:val="en-US" w:eastAsia="zh-CN"/>
                    </w:rPr>
                  </w:pPr>
                  <w:r>
                    <w:rPr>
                      <w:rFonts w:hint="eastAsia" w:ascii="Times New Roman" w:hAnsi="Times New Roman" w:eastAsia="仿宋" w:cs="Times New Roman"/>
                      <w:b w:val="0"/>
                      <w:bCs w:val="0"/>
                      <w:color w:val="000000" w:themeColor="text1"/>
                      <w:sz w:val="21"/>
                      <w:szCs w:val="21"/>
                      <w:highlight w:val="none"/>
                      <w:vertAlign w:val="baseline"/>
                      <w:lang w:val="en-US" w:eastAsia="zh-CN"/>
                      <w14:textFill>
                        <w14:solidFill>
                          <w14:schemeClr w14:val="tx1"/>
                        </w14:solidFill>
                      </w14:textFill>
                    </w:rPr>
                    <w:t>注：本项目</w:t>
                  </w:r>
                  <w:r>
                    <w:rPr>
                      <w:rFonts w:hint="default" w:ascii="Times New Roman" w:hAnsi="Times New Roman" w:eastAsia="仿宋" w:cs="Times New Roman"/>
                      <w:b w:val="0"/>
                      <w:bCs w:val="0"/>
                      <w:color w:val="000000" w:themeColor="text1"/>
                      <w:sz w:val="21"/>
                      <w:szCs w:val="21"/>
                      <w:highlight w:val="none"/>
                      <w:vertAlign w:val="baseline"/>
                      <w:lang w:val="en-US" w:eastAsia="zh-CN"/>
                      <w14:textFill>
                        <w14:solidFill>
                          <w14:schemeClr w14:val="tx1"/>
                        </w14:solidFill>
                      </w14:textFill>
                    </w:rPr>
                    <w:t>主要声源的三维坐标原点为</w:t>
                  </w:r>
                  <w:r>
                    <w:rPr>
                      <w:rFonts w:hint="eastAsia" w:ascii="Times New Roman" w:hAnsi="Times New Roman" w:eastAsia="仿宋" w:cs="Times New Roman"/>
                      <w:b w:val="0"/>
                      <w:bCs w:val="0"/>
                      <w:color w:val="000000" w:themeColor="text1"/>
                      <w:sz w:val="21"/>
                      <w:szCs w:val="21"/>
                      <w:highlight w:val="none"/>
                      <w:vertAlign w:val="baseline"/>
                      <w:lang w:val="en-US" w:eastAsia="zh-CN"/>
                      <w14:textFill>
                        <w14:solidFill>
                          <w14:schemeClr w14:val="tx1"/>
                        </w14:solidFill>
                      </w14:textFill>
                    </w:rPr>
                    <w:t>经度100.12270162，纬度39.46535295</w:t>
                  </w:r>
                </w:p>
              </w:tc>
            </w:tr>
          </w:tbl>
          <w:p w14:paraId="02E366D9">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eastAsia="仿宋" w:cs="Times New Roman"/>
                <w:bCs/>
                <w:color w:val="000000" w:themeColor="text1"/>
                <w:spacing w:val="0"/>
                <w:sz w:val="24"/>
                <w:highlight w:val="none"/>
                <w:lang w:val="en-US" w:eastAsia="zh-CN"/>
                <w14:textFill>
                  <w14:solidFill>
                    <w14:schemeClr w14:val="tx1"/>
                  </w14:solidFill>
                </w14:textFill>
              </w:rPr>
            </w:pPr>
            <w:r>
              <w:rPr>
                <w:rFonts w:hint="default" w:ascii="Times New Roman" w:hAnsi="Times New Roman" w:eastAsia="仿宋" w:cs="Times New Roman"/>
                <w:bCs/>
                <w:color w:val="000000" w:themeColor="text1"/>
                <w:spacing w:val="0"/>
                <w:sz w:val="24"/>
                <w:highlight w:val="none"/>
                <w:lang w:val="en-US" w:eastAsia="zh-CN"/>
                <w14:textFill>
                  <w14:solidFill>
                    <w14:schemeClr w14:val="tx1"/>
                  </w14:solidFill>
                </w14:textFill>
              </w:rPr>
              <w:t>⑵</w:t>
            </w:r>
            <w:r>
              <w:rPr>
                <w:rFonts w:hint="eastAsia" w:ascii="Times New Roman" w:hAnsi="Times New Roman" w:eastAsia="仿宋" w:cs="Times New Roman"/>
                <w:bCs/>
                <w:color w:val="000000" w:themeColor="text1"/>
                <w:spacing w:val="0"/>
                <w:sz w:val="24"/>
                <w:highlight w:val="none"/>
                <w:lang w:val="en-US" w:eastAsia="zh-CN"/>
                <w14:textFill>
                  <w14:solidFill>
                    <w14:schemeClr w14:val="tx1"/>
                  </w14:solidFill>
                </w14:textFill>
              </w:rPr>
              <w:t>石料</w:t>
            </w:r>
            <w:r>
              <w:rPr>
                <w:rFonts w:hint="eastAsia" w:eastAsia="仿宋" w:cs="Times New Roman"/>
                <w:bCs/>
                <w:color w:val="000000" w:themeColor="text1"/>
                <w:spacing w:val="0"/>
                <w:sz w:val="24"/>
                <w:highlight w:val="none"/>
                <w:lang w:val="en-US" w:eastAsia="zh-CN"/>
                <w14:textFill>
                  <w14:solidFill>
                    <w14:schemeClr w14:val="tx1"/>
                  </w14:solidFill>
                </w14:textFill>
              </w:rPr>
              <w:t>破碎场</w:t>
            </w:r>
            <w:r>
              <w:rPr>
                <w:rFonts w:hint="eastAsia" w:ascii="Times New Roman" w:hAnsi="Times New Roman" w:eastAsia="仿宋" w:cs="Times New Roman"/>
                <w:bCs/>
                <w:color w:val="000000" w:themeColor="text1"/>
                <w:spacing w:val="0"/>
                <w:sz w:val="24"/>
                <w:highlight w:val="none"/>
                <w:lang w:val="en-US" w:eastAsia="zh-CN"/>
                <w14:textFill>
                  <w14:solidFill>
                    <w14:schemeClr w14:val="tx1"/>
                  </w14:solidFill>
                </w14:textFill>
              </w:rPr>
              <w:t>源强</w:t>
            </w:r>
          </w:p>
          <w:p w14:paraId="252DBE23">
            <w:pPr>
              <w:adjustRightInd w:val="0"/>
              <w:snapToGrid w:val="0"/>
              <w:spacing w:line="360" w:lineRule="auto"/>
              <w:ind w:firstLine="480" w:firstLineChars="200"/>
              <w:rPr>
                <w:rFonts w:eastAsia="仿宋"/>
                <w:color w:val="000000" w:themeColor="text1"/>
                <w:kern w:val="0"/>
                <w:sz w:val="24"/>
                <w14:textFill>
                  <w14:solidFill>
                    <w14:schemeClr w14:val="tx1"/>
                  </w14:solidFill>
                </w14:textFill>
              </w:rPr>
            </w:pPr>
            <w:r>
              <w:rPr>
                <w:rFonts w:eastAsia="仿宋"/>
                <w:color w:val="000000" w:themeColor="text1"/>
                <w:kern w:val="0"/>
                <w:sz w:val="24"/>
                <w14:textFill>
                  <w14:solidFill>
                    <w14:schemeClr w14:val="tx1"/>
                  </w14:solidFill>
                </w14:textFill>
              </w:rPr>
              <w:t>运营期噪声主要为机械噪声，且项目对产噪较大的机械进行控制，即尽量选用低噪设备，采取基础</w:t>
            </w:r>
            <w:r>
              <w:rPr>
                <w:rFonts w:hint="eastAsia" w:eastAsia="仿宋"/>
                <w:color w:val="000000" w:themeColor="text1"/>
                <w:kern w:val="0"/>
                <w:sz w:val="24"/>
                <w:lang w:eastAsia="zh-CN"/>
                <w14:textFill>
                  <w14:solidFill>
                    <w14:schemeClr w14:val="tx1"/>
                  </w14:solidFill>
                </w14:textFill>
              </w:rPr>
              <w:t>减振，</w:t>
            </w:r>
            <w:r>
              <w:rPr>
                <w:rFonts w:hint="eastAsia" w:eastAsia="仿宋"/>
                <w:color w:val="000000" w:themeColor="text1"/>
                <w:kern w:val="0"/>
                <w:sz w:val="24"/>
                <w:lang w:val="en-US" w:eastAsia="zh-CN"/>
                <w14:textFill>
                  <w14:solidFill>
                    <w14:schemeClr w14:val="tx1"/>
                  </w14:solidFill>
                </w14:textFill>
              </w:rPr>
              <w:t>建筑隔声等</w:t>
            </w:r>
            <w:r>
              <w:rPr>
                <w:rFonts w:eastAsia="仿宋"/>
                <w:color w:val="000000" w:themeColor="text1"/>
                <w:kern w:val="0"/>
                <w:sz w:val="24"/>
                <w14:textFill>
                  <w14:solidFill>
                    <w14:schemeClr w14:val="tx1"/>
                  </w14:solidFill>
                </w14:textFill>
              </w:rPr>
              <w:t>措施。</w:t>
            </w:r>
            <w:r>
              <w:rPr>
                <w:rFonts w:hint="eastAsia" w:eastAsia="仿宋"/>
                <w:color w:val="000000" w:themeColor="text1"/>
                <w:kern w:val="0"/>
                <w:sz w:val="24"/>
                <w14:textFill>
                  <w14:solidFill>
                    <w14:schemeClr w14:val="tx1"/>
                  </w14:solidFill>
                </w14:textFill>
              </w:rPr>
              <w:t>依据《环境噪声与振动控制工程技术导则》（H</w:t>
            </w:r>
            <w:r>
              <w:rPr>
                <w:rFonts w:eastAsia="仿宋"/>
                <w:color w:val="000000" w:themeColor="text1"/>
                <w:kern w:val="0"/>
                <w:sz w:val="24"/>
                <w14:textFill>
                  <w14:solidFill>
                    <w14:schemeClr w14:val="tx1"/>
                  </w14:solidFill>
                </w14:textFill>
              </w:rPr>
              <w:t>J2034-2013</w:t>
            </w:r>
            <w:r>
              <w:rPr>
                <w:rFonts w:hint="eastAsia" w:eastAsia="仿宋"/>
                <w:color w:val="000000" w:themeColor="text1"/>
                <w:kern w:val="0"/>
                <w:sz w:val="24"/>
                <w14:textFill>
                  <w14:solidFill>
                    <w14:schemeClr w14:val="tx1"/>
                  </w14:solidFill>
                </w14:textFill>
              </w:rPr>
              <w:t>）表A</w:t>
            </w:r>
            <w:r>
              <w:rPr>
                <w:rFonts w:eastAsia="仿宋"/>
                <w:color w:val="000000" w:themeColor="text1"/>
                <w:kern w:val="0"/>
                <w:sz w:val="24"/>
                <w14:textFill>
                  <w14:solidFill>
                    <w14:schemeClr w14:val="tx1"/>
                  </w14:solidFill>
                </w14:textFill>
              </w:rPr>
              <w:t>.2</w:t>
            </w:r>
            <w:r>
              <w:rPr>
                <w:rFonts w:hint="eastAsia" w:eastAsia="仿宋"/>
                <w:color w:val="000000" w:themeColor="text1"/>
                <w:kern w:val="0"/>
                <w:sz w:val="24"/>
                <w:lang w:eastAsia="zh-CN"/>
                <w14:textFill>
                  <w14:solidFill>
                    <w14:schemeClr w14:val="tx1"/>
                  </w14:solidFill>
                </w14:textFill>
              </w:rPr>
              <w:t>，</w:t>
            </w:r>
            <w:r>
              <w:rPr>
                <w:rFonts w:eastAsia="仿宋"/>
                <w:color w:val="000000" w:themeColor="text1"/>
                <w:kern w:val="0"/>
                <w:sz w:val="24"/>
                <w14:textFill>
                  <w14:solidFill>
                    <w14:schemeClr w14:val="tx1"/>
                  </w14:solidFill>
                </w14:textFill>
              </w:rPr>
              <w:t>确定本项目主要噪声源及强度见表</w:t>
            </w:r>
            <w:r>
              <w:rPr>
                <w:rFonts w:hint="eastAsia" w:eastAsia="仿宋"/>
                <w:color w:val="000000" w:themeColor="text1"/>
                <w:kern w:val="0"/>
                <w:sz w:val="24"/>
                <w:lang w:val="en-US" w:eastAsia="zh-CN"/>
                <w14:textFill>
                  <w14:solidFill>
                    <w14:schemeClr w14:val="tx1"/>
                  </w14:solidFill>
                </w14:textFill>
              </w:rPr>
              <w:t>45</w:t>
            </w:r>
            <w:r>
              <w:rPr>
                <w:rFonts w:eastAsia="仿宋"/>
                <w:color w:val="000000" w:themeColor="text1"/>
                <w:kern w:val="0"/>
                <w:sz w:val="24"/>
                <w14:textFill>
                  <w14:solidFill>
                    <w14:schemeClr w14:val="tx1"/>
                  </w14:solidFill>
                </w14:textFill>
              </w:rPr>
              <w:t>。</w:t>
            </w:r>
          </w:p>
          <w:p w14:paraId="045F734E">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仿宋" w:cs="Times New Roman"/>
                <w:b/>
                <w:bCs/>
                <w:color w:val="000000"/>
                <w:szCs w:val="21"/>
              </w:rPr>
            </w:pPr>
            <w:r>
              <w:rPr>
                <w:rFonts w:ascii="Times New Roman" w:hAnsi="Times New Roman" w:eastAsia="仿宋" w:cs="Times New Roman"/>
                <w:b/>
                <w:bCs/>
                <w:color w:val="000000"/>
                <w:szCs w:val="21"/>
              </w:rPr>
              <w:t>表</w:t>
            </w:r>
            <w:r>
              <w:rPr>
                <w:rFonts w:hint="eastAsia" w:eastAsia="仿宋" w:cs="Times New Roman"/>
                <w:b/>
                <w:bCs/>
                <w:color w:val="000000"/>
                <w:szCs w:val="21"/>
                <w:lang w:val="en-US" w:eastAsia="zh-CN"/>
              </w:rPr>
              <w:t>45</w:t>
            </w:r>
            <w:r>
              <w:rPr>
                <w:rFonts w:ascii="Times New Roman" w:hAnsi="Times New Roman" w:eastAsia="仿宋" w:cs="Times New Roman"/>
                <w:b/>
                <w:bCs/>
                <w:color w:val="000000"/>
                <w:szCs w:val="21"/>
              </w:rPr>
              <w:t xml:space="preserve"> 主要设备噪声源一览表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37"/>
              <w:gridCol w:w="429"/>
              <w:gridCol w:w="673"/>
              <w:gridCol w:w="725"/>
              <w:gridCol w:w="337"/>
              <w:gridCol w:w="802"/>
              <w:gridCol w:w="647"/>
              <w:gridCol w:w="569"/>
              <w:gridCol w:w="576"/>
              <w:gridCol w:w="599"/>
              <w:gridCol w:w="599"/>
              <w:gridCol w:w="599"/>
              <w:gridCol w:w="375"/>
            </w:tblGrid>
            <w:tr w14:paraId="690F12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37" w:type="dxa"/>
                  <w:vMerge w:val="restart"/>
                  <w:noWrap w:val="0"/>
                  <w:vAlign w:val="center"/>
                </w:tcPr>
                <w:p w14:paraId="7890B08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声源名称</w:t>
                  </w:r>
                </w:p>
              </w:tc>
              <w:tc>
                <w:tcPr>
                  <w:tcW w:w="429" w:type="dxa"/>
                  <w:vMerge w:val="restart"/>
                  <w:noWrap w:val="0"/>
                  <w:vAlign w:val="center"/>
                </w:tcPr>
                <w:p w14:paraId="380981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型号</w:t>
                  </w:r>
                </w:p>
              </w:tc>
              <w:tc>
                <w:tcPr>
                  <w:tcW w:w="1735" w:type="dxa"/>
                  <w:gridSpan w:val="3"/>
                  <w:noWrap w:val="0"/>
                  <w:vAlign w:val="center"/>
                </w:tcPr>
                <w:p w14:paraId="22CA04D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空间相对位置</w:t>
                  </w:r>
                </w:p>
              </w:tc>
              <w:tc>
                <w:tcPr>
                  <w:tcW w:w="802" w:type="dxa"/>
                  <w:noWrap w:val="0"/>
                  <w:vAlign w:val="center"/>
                </w:tcPr>
                <w:p w14:paraId="20CADAC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声源</w:t>
                  </w:r>
                </w:p>
                <w:p w14:paraId="752F80E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源强</w:t>
                  </w:r>
                </w:p>
              </w:tc>
              <w:tc>
                <w:tcPr>
                  <w:tcW w:w="647" w:type="dxa"/>
                  <w:vMerge w:val="restart"/>
                  <w:noWrap w:val="0"/>
                  <w:vAlign w:val="center"/>
                </w:tcPr>
                <w:p w14:paraId="2E52801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声源控制</w:t>
                  </w:r>
                </w:p>
                <w:p w14:paraId="73A2EDA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措施</w:t>
                  </w:r>
                </w:p>
              </w:tc>
              <w:tc>
                <w:tcPr>
                  <w:tcW w:w="569" w:type="dxa"/>
                  <w:vMerge w:val="restart"/>
                  <w:noWrap w:val="0"/>
                  <w:vAlign w:val="center"/>
                </w:tcPr>
                <w:p w14:paraId="513C6A8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运行时间</w:t>
                  </w:r>
                </w:p>
              </w:tc>
              <w:tc>
                <w:tcPr>
                  <w:tcW w:w="576" w:type="dxa"/>
                  <w:vMerge w:val="restart"/>
                  <w:noWrap w:val="0"/>
                  <w:vAlign w:val="center"/>
                </w:tcPr>
                <w:p w14:paraId="16B8156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距室内边界距离/m</w:t>
                  </w:r>
                </w:p>
              </w:tc>
              <w:tc>
                <w:tcPr>
                  <w:tcW w:w="599" w:type="dxa"/>
                  <w:vMerge w:val="restart"/>
                  <w:noWrap w:val="0"/>
                  <w:vAlign w:val="center"/>
                </w:tcPr>
                <w:p w14:paraId="656B1C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室内边界声级/dB（A）</w:t>
                  </w:r>
                </w:p>
              </w:tc>
              <w:tc>
                <w:tcPr>
                  <w:tcW w:w="599" w:type="dxa"/>
                  <w:vMerge w:val="restart"/>
                  <w:noWrap w:val="0"/>
                  <w:vAlign w:val="center"/>
                </w:tcPr>
                <w:p w14:paraId="452615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建筑物插入损失/dB（A）</w:t>
                  </w:r>
                </w:p>
              </w:tc>
              <w:tc>
                <w:tcPr>
                  <w:tcW w:w="974" w:type="dxa"/>
                  <w:gridSpan w:val="2"/>
                  <w:noWrap w:val="0"/>
                  <w:vAlign w:val="center"/>
                </w:tcPr>
                <w:p w14:paraId="5273F9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建筑物外噪声</w:t>
                  </w:r>
                </w:p>
              </w:tc>
            </w:tr>
            <w:tr w14:paraId="71DA96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vMerge w:val="continue"/>
                  <w:noWrap w:val="0"/>
                  <w:vAlign w:val="center"/>
                </w:tcPr>
                <w:p w14:paraId="18B653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429" w:type="dxa"/>
                  <w:vMerge w:val="continue"/>
                  <w:noWrap w:val="0"/>
                  <w:vAlign w:val="center"/>
                </w:tcPr>
                <w:p w14:paraId="5F9E493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673" w:type="dxa"/>
                  <w:noWrap w:val="0"/>
                  <w:vAlign w:val="center"/>
                </w:tcPr>
                <w:p w14:paraId="20E5A68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X</w:t>
                  </w:r>
                </w:p>
              </w:tc>
              <w:tc>
                <w:tcPr>
                  <w:tcW w:w="725" w:type="dxa"/>
                  <w:noWrap w:val="0"/>
                  <w:vAlign w:val="center"/>
                </w:tcPr>
                <w:p w14:paraId="4E89238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Y</w:t>
                  </w:r>
                </w:p>
              </w:tc>
              <w:tc>
                <w:tcPr>
                  <w:tcW w:w="337" w:type="dxa"/>
                  <w:noWrap w:val="0"/>
                  <w:vAlign w:val="center"/>
                </w:tcPr>
                <w:p w14:paraId="3A95149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Z</w:t>
                  </w:r>
                </w:p>
              </w:tc>
              <w:tc>
                <w:tcPr>
                  <w:tcW w:w="802" w:type="dxa"/>
                  <w:noWrap w:val="0"/>
                  <w:vAlign w:val="center"/>
                </w:tcPr>
                <w:p w14:paraId="6CD2B9F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声压级/dB（A）</w:t>
                  </w:r>
                </w:p>
              </w:tc>
              <w:tc>
                <w:tcPr>
                  <w:tcW w:w="647" w:type="dxa"/>
                  <w:vMerge w:val="continue"/>
                  <w:noWrap w:val="0"/>
                  <w:vAlign w:val="center"/>
                </w:tcPr>
                <w:p w14:paraId="71098B9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69" w:type="dxa"/>
                  <w:vMerge w:val="continue"/>
                  <w:noWrap w:val="0"/>
                  <w:vAlign w:val="center"/>
                </w:tcPr>
                <w:p w14:paraId="2CCC726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76" w:type="dxa"/>
                  <w:vMerge w:val="continue"/>
                  <w:noWrap w:val="0"/>
                  <w:vAlign w:val="center"/>
                </w:tcPr>
                <w:p w14:paraId="26AA833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99" w:type="dxa"/>
                  <w:vMerge w:val="continue"/>
                  <w:noWrap w:val="0"/>
                  <w:vAlign w:val="center"/>
                </w:tcPr>
                <w:p w14:paraId="421ACE2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99" w:type="dxa"/>
                  <w:vMerge w:val="continue"/>
                  <w:noWrap w:val="0"/>
                  <w:vAlign w:val="center"/>
                </w:tcPr>
                <w:p w14:paraId="65B3314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99" w:type="dxa"/>
                  <w:noWrap w:val="0"/>
                  <w:vAlign w:val="center"/>
                </w:tcPr>
                <w:p w14:paraId="6B2C860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声压级/dB（A）</w:t>
                  </w:r>
                </w:p>
              </w:tc>
              <w:tc>
                <w:tcPr>
                  <w:tcW w:w="375" w:type="dxa"/>
                  <w:noWrap w:val="0"/>
                  <w:vAlign w:val="center"/>
                </w:tcPr>
                <w:p w14:paraId="0D92C9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建筑物外距离</w:t>
                  </w:r>
                </w:p>
              </w:tc>
            </w:tr>
            <w:tr w14:paraId="0F676C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noWrap w:val="0"/>
                  <w:vAlign w:val="center"/>
                </w:tcPr>
                <w:p w14:paraId="102ED23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喂料机</w:t>
                  </w:r>
                </w:p>
              </w:tc>
              <w:tc>
                <w:tcPr>
                  <w:tcW w:w="429" w:type="dxa"/>
                  <w:noWrap w:val="0"/>
                  <w:vAlign w:val="center"/>
                </w:tcPr>
                <w:p w14:paraId="2D17243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w:t>
                  </w:r>
                </w:p>
              </w:tc>
              <w:tc>
                <w:tcPr>
                  <w:tcW w:w="673" w:type="dxa"/>
                  <w:noWrap w:val="0"/>
                  <w:vAlign w:val="center"/>
                </w:tcPr>
                <w:p w14:paraId="3097FD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-481</w:t>
                  </w:r>
                </w:p>
              </w:tc>
              <w:tc>
                <w:tcPr>
                  <w:tcW w:w="725" w:type="dxa"/>
                  <w:noWrap w:val="0"/>
                  <w:vAlign w:val="center"/>
                </w:tcPr>
                <w:p w14:paraId="067BCDF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210</w:t>
                  </w:r>
                </w:p>
              </w:tc>
              <w:tc>
                <w:tcPr>
                  <w:tcW w:w="337" w:type="dxa"/>
                  <w:noWrap w:val="0"/>
                  <w:vAlign w:val="center"/>
                </w:tcPr>
                <w:p w14:paraId="0889732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w:t>
                  </w:r>
                </w:p>
              </w:tc>
              <w:tc>
                <w:tcPr>
                  <w:tcW w:w="802" w:type="dxa"/>
                  <w:noWrap w:val="0"/>
                  <w:vAlign w:val="center"/>
                </w:tcPr>
                <w:p w14:paraId="50F4DA9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100</w:t>
                  </w:r>
                </w:p>
              </w:tc>
              <w:tc>
                <w:tcPr>
                  <w:tcW w:w="647" w:type="dxa"/>
                  <w:vMerge w:val="restart"/>
                  <w:noWrap w:val="0"/>
                  <w:vAlign w:val="center"/>
                </w:tcPr>
                <w:p w14:paraId="4C02506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基础减</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振</w:t>
                  </w:r>
                  <w:r>
                    <w:rPr>
                      <w:rFonts w:hint="default" w:ascii="Times New Roman" w:hAnsi="Times New Roman" w:eastAsia="仿宋" w:cs="Times New Roman"/>
                      <w:color w:val="000000" w:themeColor="text1"/>
                      <w:sz w:val="21"/>
                      <w:szCs w:val="21"/>
                      <w14:textFill>
                        <w14:solidFill>
                          <w14:schemeClr w14:val="tx1"/>
                        </w14:solidFill>
                      </w14:textFill>
                    </w:rPr>
                    <w:t>、建筑隔声等</w:t>
                  </w:r>
                </w:p>
              </w:tc>
              <w:tc>
                <w:tcPr>
                  <w:tcW w:w="569" w:type="dxa"/>
                  <w:vMerge w:val="restart"/>
                  <w:noWrap w:val="0"/>
                  <w:vAlign w:val="center"/>
                </w:tcPr>
                <w:p w14:paraId="1ED08FD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8h</w:t>
                  </w:r>
                </w:p>
              </w:tc>
              <w:tc>
                <w:tcPr>
                  <w:tcW w:w="576" w:type="dxa"/>
                  <w:noWrap w:val="0"/>
                  <w:vAlign w:val="center"/>
                </w:tcPr>
                <w:p w14:paraId="536E5C7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2</w:t>
                  </w:r>
                </w:p>
              </w:tc>
              <w:tc>
                <w:tcPr>
                  <w:tcW w:w="599" w:type="dxa"/>
                  <w:noWrap w:val="0"/>
                  <w:vAlign w:val="center"/>
                </w:tcPr>
                <w:p w14:paraId="5AE164A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94</w:t>
                  </w:r>
                </w:p>
              </w:tc>
              <w:tc>
                <w:tcPr>
                  <w:tcW w:w="599" w:type="dxa"/>
                  <w:vMerge w:val="restart"/>
                  <w:noWrap w:val="0"/>
                  <w:vAlign w:val="center"/>
                </w:tcPr>
                <w:p w14:paraId="177DE0A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15</w:t>
                  </w:r>
                </w:p>
              </w:tc>
              <w:tc>
                <w:tcPr>
                  <w:tcW w:w="599" w:type="dxa"/>
                  <w:noWrap w:val="0"/>
                  <w:vAlign w:val="center"/>
                </w:tcPr>
                <w:p w14:paraId="2ABE878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79</w:t>
                  </w:r>
                </w:p>
              </w:tc>
              <w:tc>
                <w:tcPr>
                  <w:tcW w:w="375" w:type="dxa"/>
                  <w:noWrap w:val="0"/>
                  <w:vAlign w:val="center"/>
                </w:tcPr>
                <w:p w14:paraId="3FDC7A6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w:t>
                  </w:r>
                </w:p>
              </w:tc>
            </w:tr>
            <w:tr w14:paraId="589302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noWrap w:val="0"/>
                  <w:vAlign w:val="center"/>
                </w:tcPr>
                <w:p w14:paraId="443A605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颚式破碎机</w:t>
                  </w:r>
                </w:p>
              </w:tc>
              <w:tc>
                <w:tcPr>
                  <w:tcW w:w="429" w:type="dxa"/>
                  <w:noWrap w:val="0"/>
                  <w:vAlign w:val="center"/>
                </w:tcPr>
                <w:p w14:paraId="36BF662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w:t>
                  </w:r>
                </w:p>
              </w:tc>
              <w:tc>
                <w:tcPr>
                  <w:tcW w:w="673" w:type="dxa"/>
                  <w:noWrap w:val="0"/>
                  <w:vAlign w:val="center"/>
                </w:tcPr>
                <w:p w14:paraId="4F7C867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-451</w:t>
                  </w:r>
                </w:p>
              </w:tc>
              <w:tc>
                <w:tcPr>
                  <w:tcW w:w="725" w:type="dxa"/>
                  <w:noWrap w:val="0"/>
                  <w:vAlign w:val="center"/>
                </w:tcPr>
                <w:p w14:paraId="198965D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203</w:t>
                  </w:r>
                </w:p>
              </w:tc>
              <w:tc>
                <w:tcPr>
                  <w:tcW w:w="337" w:type="dxa"/>
                  <w:noWrap w:val="0"/>
                  <w:vAlign w:val="center"/>
                </w:tcPr>
                <w:p w14:paraId="45A2518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w:t>
                  </w:r>
                </w:p>
              </w:tc>
              <w:tc>
                <w:tcPr>
                  <w:tcW w:w="802" w:type="dxa"/>
                  <w:noWrap w:val="0"/>
                  <w:vAlign w:val="center"/>
                </w:tcPr>
                <w:p w14:paraId="2BFECE3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105</w:t>
                  </w:r>
                </w:p>
              </w:tc>
              <w:tc>
                <w:tcPr>
                  <w:tcW w:w="647" w:type="dxa"/>
                  <w:vMerge w:val="continue"/>
                  <w:noWrap w:val="0"/>
                  <w:vAlign w:val="center"/>
                </w:tcPr>
                <w:p w14:paraId="0D20E24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69" w:type="dxa"/>
                  <w:vMerge w:val="continue"/>
                  <w:noWrap w:val="0"/>
                  <w:vAlign w:val="center"/>
                </w:tcPr>
                <w:p w14:paraId="3BE30CD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76" w:type="dxa"/>
                  <w:noWrap w:val="0"/>
                  <w:vAlign w:val="center"/>
                </w:tcPr>
                <w:p w14:paraId="7E96F88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10</w:t>
                  </w:r>
                </w:p>
              </w:tc>
              <w:tc>
                <w:tcPr>
                  <w:tcW w:w="599" w:type="dxa"/>
                  <w:noWrap w:val="0"/>
                  <w:vAlign w:val="center"/>
                </w:tcPr>
                <w:p w14:paraId="48C88DD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85</w:t>
                  </w:r>
                </w:p>
              </w:tc>
              <w:tc>
                <w:tcPr>
                  <w:tcW w:w="599" w:type="dxa"/>
                  <w:vMerge w:val="continue"/>
                  <w:noWrap w:val="0"/>
                  <w:vAlign w:val="center"/>
                </w:tcPr>
                <w:p w14:paraId="38BB3A6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99" w:type="dxa"/>
                  <w:noWrap w:val="0"/>
                  <w:vAlign w:val="center"/>
                </w:tcPr>
                <w:p w14:paraId="48FCC5B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70</w:t>
                  </w:r>
                </w:p>
              </w:tc>
              <w:tc>
                <w:tcPr>
                  <w:tcW w:w="375" w:type="dxa"/>
                  <w:noWrap w:val="0"/>
                  <w:vAlign w:val="center"/>
                </w:tcPr>
                <w:p w14:paraId="09AB03E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w:t>
                  </w:r>
                </w:p>
              </w:tc>
            </w:tr>
            <w:tr w14:paraId="0E93D1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noWrap w:val="0"/>
                  <w:vAlign w:val="center"/>
                </w:tcPr>
                <w:p w14:paraId="14FDDFB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圆锥破碎机</w:t>
                  </w:r>
                </w:p>
              </w:tc>
              <w:tc>
                <w:tcPr>
                  <w:tcW w:w="429" w:type="dxa"/>
                  <w:noWrap w:val="0"/>
                  <w:vAlign w:val="center"/>
                </w:tcPr>
                <w:p w14:paraId="150B87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w:t>
                  </w:r>
                </w:p>
              </w:tc>
              <w:tc>
                <w:tcPr>
                  <w:tcW w:w="673" w:type="dxa"/>
                  <w:noWrap w:val="0"/>
                  <w:vAlign w:val="center"/>
                </w:tcPr>
                <w:p w14:paraId="10843CD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-470</w:t>
                  </w:r>
                </w:p>
              </w:tc>
              <w:tc>
                <w:tcPr>
                  <w:tcW w:w="725" w:type="dxa"/>
                  <w:noWrap w:val="0"/>
                  <w:vAlign w:val="center"/>
                </w:tcPr>
                <w:p w14:paraId="4E7B73D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205</w:t>
                  </w:r>
                </w:p>
              </w:tc>
              <w:tc>
                <w:tcPr>
                  <w:tcW w:w="337" w:type="dxa"/>
                  <w:noWrap w:val="0"/>
                  <w:vAlign w:val="center"/>
                </w:tcPr>
                <w:p w14:paraId="23BD7E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w:t>
                  </w:r>
                </w:p>
              </w:tc>
              <w:tc>
                <w:tcPr>
                  <w:tcW w:w="802" w:type="dxa"/>
                  <w:noWrap w:val="0"/>
                  <w:vAlign w:val="center"/>
                </w:tcPr>
                <w:p w14:paraId="03024F0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105</w:t>
                  </w:r>
                </w:p>
              </w:tc>
              <w:tc>
                <w:tcPr>
                  <w:tcW w:w="647" w:type="dxa"/>
                  <w:vMerge w:val="continue"/>
                  <w:noWrap w:val="0"/>
                  <w:vAlign w:val="center"/>
                </w:tcPr>
                <w:p w14:paraId="2D9F90A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69" w:type="dxa"/>
                  <w:vMerge w:val="continue"/>
                  <w:noWrap w:val="0"/>
                  <w:vAlign w:val="center"/>
                </w:tcPr>
                <w:p w14:paraId="5E837A5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76" w:type="dxa"/>
                  <w:noWrap w:val="0"/>
                  <w:vAlign w:val="center"/>
                </w:tcPr>
                <w:p w14:paraId="451AD6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15</w:t>
                  </w:r>
                </w:p>
              </w:tc>
              <w:tc>
                <w:tcPr>
                  <w:tcW w:w="599" w:type="dxa"/>
                  <w:noWrap w:val="0"/>
                  <w:vAlign w:val="center"/>
                </w:tcPr>
                <w:p w14:paraId="0CE45A7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81</w:t>
                  </w:r>
                </w:p>
              </w:tc>
              <w:tc>
                <w:tcPr>
                  <w:tcW w:w="599" w:type="dxa"/>
                  <w:vMerge w:val="continue"/>
                  <w:noWrap w:val="0"/>
                  <w:vAlign w:val="center"/>
                </w:tcPr>
                <w:p w14:paraId="767C6C1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99" w:type="dxa"/>
                  <w:noWrap w:val="0"/>
                  <w:vAlign w:val="center"/>
                </w:tcPr>
                <w:p w14:paraId="28E1C26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66</w:t>
                  </w:r>
                </w:p>
              </w:tc>
              <w:tc>
                <w:tcPr>
                  <w:tcW w:w="375" w:type="dxa"/>
                  <w:noWrap w:val="0"/>
                  <w:vAlign w:val="center"/>
                </w:tcPr>
                <w:p w14:paraId="4DF99B9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w:t>
                  </w:r>
                </w:p>
              </w:tc>
            </w:tr>
            <w:tr w14:paraId="6D5544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noWrap w:val="0"/>
                  <w:vAlign w:val="center"/>
                </w:tcPr>
                <w:p w14:paraId="1899687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冲击式制砂机</w:t>
                  </w:r>
                </w:p>
              </w:tc>
              <w:tc>
                <w:tcPr>
                  <w:tcW w:w="429" w:type="dxa"/>
                  <w:noWrap w:val="0"/>
                  <w:vAlign w:val="center"/>
                </w:tcPr>
                <w:p w14:paraId="70C1EF4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w:t>
                  </w:r>
                </w:p>
              </w:tc>
              <w:tc>
                <w:tcPr>
                  <w:tcW w:w="673" w:type="dxa"/>
                  <w:noWrap w:val="0"/>
                  <w:vAlign w:val="center"/>
                </w:tcPr>
                <w:p w14:paraId="0A823E4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-495</w:t>
                  </w:r>
                </w:p>
              </w:tc>
              <w:tc>
                <w:tcPr>
                  <w:tcW w:w="725" w:type="dxa"/>
                  <w:noWrap w:val="0"/>
                  <w:vAlign w:val="center"/>
                </w:tcPr>
                <w:p w14:paraId="0A56A38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210</w:t>
                  </w:r>
                </w:p>
              </w:tc>
              <w:tc>
                <w:tcPr>
                  <w:tcW w:w="337" w:type="dxa"/>
                  <w:noWrap w:val="0"/>
                  <w:vAlign w:val="center"/>
                </w:tcPr>
                <w:p w14:paraId="7FBDEBA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w:t>
                  </w:r>
                </w:p>
              </w:tc>
              <w:tc>
                <w:tcPr>
                  <w:tcW w:w="802" w:type="dxa"/>
                  <w:noWrap w:val="0"/>
                  <w:vAlign w:val="center"/>
                </w:tcPr>
                <w:p w14:paraId="2111371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105</w:t>
                  </w:r>
                </w:p>
              </w:tc>
              <w:tc>
                <w:tcPr>
                  <w:tcW w:w="647" w:type="dxa"/>
                  <w:vMerge w:val="continue"/>
                  <w:noWrap w:val="0"/>
                  <w:vAlign w:val="center"/>
                </w:tcPr>
                <w:p w14:paraId="77B1113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69" w:type="dxa"/>
                  <w:vMerge w:val="continue"/>
                  <w:noWrap w:val="0"/>
                  <w:vAlign w:val="center"/>
                </w:tcPr>
                <w:p w14:paraId="408FE36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76" w:type="dxa"/>
                  <w:noWrap w:val="0"/>
                  <w:vAlign w:val="center"/>
                </w:tcPr>
                <w:p w14:paraId="4F9F63B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15</w:t>
                  </w:r>
                </w:p>
              </w:tc>
              <w:tc>
                <w:tcPr>
                  <w:tcW w:w="599" w:type="dxa"/>
                  <w:noWrap w:val="0"/>
                  <w:vAlign w:val="center"/>
                </w:tcPr>
                <w:p w14:paraId="07677C9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81</w:t>
                  </w:r>
                </w:p>
              </w:tc>
              <w:tc>
                <w:tcPr>
                  <w:tcW w:w="599" w:type="dxa"/>
                  <w:vMerge w:val="continue"/>
                  <w:noWrap w:val="0"/>
                  <w:vAlign w:val="center"/>
                </w:tcPr>
                <w:p w14:paraId="7EA7144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99" w:type="dxa"/>
                  <w:noWrap w:val="0"/>
                  <w:vAlign w:val="center"/>
                </w:tcPr>
                <w:p w14:paraId="26FA146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66</w:t>
                  </w:r>
                </w:p>
              </w:tc>
              <w:tc>
                <w:tcPr>
                  <w:tcW w:w="375" w:type="dxa"/>
                  <w:noWrap w:val="0"/>
                  <w:vAlign w:val="center"/>
                </w:tcPr>
                <w:p w14:paraId="4D676EA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w:t>
                  </w:r>
                </w:p>
              </w:tc>
            </w:tr>
            <w:tr w14:paraId="1B5743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noWrap w:val="0"/>
                  <w:vAlign w:val="center"/>
                </w:tcPr>
                <w:p w14:paraId="296DACD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振动筛</w:t>
                  </w:r>
                </w:p>
              </w:tc>
              <w:tc>
                <w:tcPr>
                  <w:tcW w:w="429" w:type="dxa"/>
                  <w:noWrap w:val="0"/>
                  <w:vAlign w:val="center"/>
                </w:tcPr>
                <w:p w14:paraId="3880A6F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w:t>
                  </w:r>
                </w:p>
              </w:tc>
              <w:tc>
                <w:tcPr>
                  <w:tcW w:w="673" w:type="dxa"/>
                  <w:noWrap w:val="0"/>
                  <w:vAlign w:val="center"/>
                </w:tcPr>
                <w:p w14:paraId="61E8B73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-430</w:t>
                  </w:r>
                </w:p>
              </w:tc>
              <w:tc>
                <w:tcPr>
                  <w:tcW w:w="725" w:type="dxa"/>
                  <w:noWrap w:val="0"/>
                  <w:vAlign w:val="center"/>
                </w:tcPr>
                <w:p w14:paraId="00A21B2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150</w:t>
                  </w:r>
                </w:p>
              </w:tc>
              <w:tc>
                <w:tcPr>
                  <w:tcW w:w="337" w:type="dxa"/>
                  <w:noWrap w:val="0"/>
                  <w:vAlign w:val="center"/>
                </w:tcPr>
                <w:p w14:paraId="6B8F46F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w:t>
                  </w:r>
                </w:p>
              </w:tc>
              <w:tc>
                <w:tcPr>
                  <w:tcW w:w="802" w:type="dxa"/>
                  <w:noWrap w:val="0"/>
                  <w:vAlign w:val="center"/>
                </w:tcPr>
                <w:p w14:paraId="60BE07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100</w:t>
                  </w:r>
                </w:p>
              </w:tc>
              <w:tc>
                <w:tcPr>
                  <w:tcW w:w="647" w:type="dxa"/>
                  <w:vMerge w:val="continue"/>
                  <w:noWrap w:val="0"/>
                  <w:vAlign w:val="center"/>
                </w:tcPr>
                <w:p w14:paraId="5DB4225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69" w:type="dxa"/>
                  <w:vMerge w:val="continue"/>
                  <w:noWrap w:val="0"/>
                  <w:vAlign w:val="center"/>
                </w:tcPr>
                <w:p w14:paraId="0ED94B3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76" w:type="dxa"/>
                  <w:noWrap w:val="0"/>
                  <w:vAlign w:val="center"/>
                </w:tcPr>
                <w:p w14:paraId="1476BA2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8</w:t>
                  </w:r>
                </w:p>
              </w:tc>
              <w:tc>
                <w:tcPr>
                  <w:tcW w:w="599" w:type="dxa"/>
                  <w:noWrap w:val="0"/>
                  <w:vAlign w:val="center"/>
                </w:tcPr>
                <w:p w14:paraId="117ECCA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82</w:t>
                  </w:r>
                </w:p>
              </w:tc>
              <w:tc>
                <w:tcPr>
                  <w:tcW w:w="599" w:type="dxa"/>
                  <w:vMerge w:val="continue"/>
                  <w:noWrap w:val="0"/>
                  <w:vAlign w:val="center"/>
                </w:tcPr>
                <w:p w14:paraId="6A497E8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99" w:type="dxa"/>
                  <w:noWrap w:val="0"/>
                  <w:vAlign w:val="center"/>
                </w:tcPr>
                <w:p w14:paraId="01BDF37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67</w:t>
                  </w:r>
                </w:p>
              </w:tc>
              <w:tc>
                <w:tcPr>
                  <w:tcW w:w="375" w:type="dxa"/>
                  <w:noWrap w:val="0"/>
                  <w:vAlign w:val="center"/>
                </w:tcPr>
                <w:p w14:paraId="6C1E39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w:t>
                  </w:r>
                </w:p>
              </w:tc>
            </w:tr>
            <w:tr w14:paraId="07981C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noWrap w:val="0"/>
                  <w:vAlign w:val="center"/>
                </w:tcPr>
                <w:p w14:paraId="42E6C26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振动筛</w:t>
                  </w:r>
                </w:p>
              </w:tc>
              <w:tc>
                <w:tcPr>
                  <w:tcW w:w="429" w:type="dxa"/>
                  <w:noWrap w:val="0"/>
                  <w:vAlign w:val="center"/>
                </w:tcPr>
                <w:p w14:paraId="501B1B5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w:t>
                  </w:r>
                </w:p>
              </w:tc>
              <w:tc>
                <w:tcPr>
                  <w:tcW w:w="673" w:type="dxa"/>
                  <w:noWrap w:val="0"/>
                  <w:vAlign w:val="center"/>
                </w:tcPr>
                <w:p w14:paraId="70D7CD0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-420</w:t>
                  </w:r>
                </w:p>
              </w:tc>
              <w:tc>
                <w:tcPr>
                  <w:tcW w:w="725" w:type="dxa"/>
                  <w:noWrap w:val="0"/>
                  <w:vAlign w:val="center"/>
                </w:tcPr>
                <w:p w14:paraId="5889B6F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150</w:t>
                  </w:r>
                </w:p>
              </w:tc>
              <w:tc>
                <w:tcPr>
                  <w:tcW w:w="337" w:type="dxa"/>
                  <w:noWrap w:val="0"/>
                  <w:vAlign w:val="center"/>
                </w:tcPr>
                <w:p w14:paraId="0C24EE3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p>
              </w:tc>
              <w:tc>
                <w:tcPr>
                  <w:tcW w:w="802" w:type="dxa"/>
                  <w:noWrap w:val="0"/>
                  <w:vAlign w:val="center"/>
                </w:tcPr>
                <w:p w14:paraId="619C1B7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100</w:t>
                  </w:r>
                </w:p>
              </w:tc>
              <w:tc>
                <w:tcPr>
                  <w:tcW w:w="647" w:type="dxa"/>
                  <w:vMerge w:val="continue"/>
                  <w:noWrap w:val="0"/>
                  <w:vAlign w:val="center"/>
                </w:tcPr>
                <w:p w14:paraId="55507E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69" w:type="dxa"/>
                  <w:vMerge w:val="continue"/>
                  <w:noWrap w:val="0"/>
                  <w:vAlign w:val="center"/>
                </w:tcPr>
                <w:p w14:paraId="07601FA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p>
              </w:tc>
              <w:tc>
                <w:tcPr>
                  <w:tcW w:w="576" w:type="dxa"/>
                  <w:noWrap w:val="0"/>
                  <w:vAlign w:val="center"/>
                </w:tcPr>
                <w:p w14:paraId="738FA6A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8</w:t>
                  </w:r>
                </w:p>
              </w:tc>
              <w:tc>
                <w:tcPr>
                  <w:tcW w:w="599" w:type="dxa"/>
                  <w:noWrap w:val="0"/>
                  <w:vAlign w:val="center"/>
                </w:tcPr>
                <w:p w14:paraId="385178E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82</w:t>
                  </w:r>
                </w:p>
              </w:tc>
              <w:tc>
                <w:tcPr>
                  <w:tcW w:w="599" w:type="dxa"/>
                  <w:vMerge w:val="continue"/>
                  <w:noWrap w:val="0"/>
                  <w:vAlign w:val="center"/>
                </w:tcPr>
                <w:p w14:paraId="0A938A1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99" w:type="dxa"/>
                  <w:noWrap w:val="0"/>
                  <w:vAlign w:val="center"/>
                </w:tcPr>
                <w:p w14:paraId="369B5DC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67</w:t>
                  </w:r>
                </w:p>
              </w:tc>
              <w:tc>
                <w:tcPr>
                  <w:tcW w:w="375" w:type="dxa"/>
                  <w:noWrap w:val="0"/>
                  <w:vAlign w:val="center"/>
                </w:tcPr>
                <w:p w14:paraId="747C9BE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w:t>
                  </w:r>
                </w:p>
              </w:tc>
            </w:tr>
            <w:tr w14:paraId="69D561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37" w:type="dxa"/>
                  <w:noWrap w:val="0"/>
                  <w:vAlign w:val="center"/>
                </w:tcPr>
                <w:p w14:paraId="0144D87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振动筛</w:t>
                  </w:r>
                </w:p>
              </w:tc>
              <w:tc>
                <w:tcPr>
                  <w:tcW w:w="429" w:type="dxa"/>
                  <w:noWrap w:val="0"/>
                  <w:vAlign w:val="center"/>
                </w:tcPr>
                <w:p w14:paraId="21DEE4D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w:t>
                  </w:r>
                </w:p>
              </w:tc>
              <w:tc>
                <w:tcPr>
                  <w:tcW w:w="673" w:type="dxa"/>
                  <w:noWrap w:val="0"/>
                  <w:vAlign w:val="center"/>
                </w:tcPr>
                <w:p w14:paraId="4BFC9B3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-410</w:t>
                  </w:r>
                </w:p>
              </w:tc>
              <w:tc>
                <w:tcPr>
                  <w:tcW w:w="725" w:type="dxa"/>
                  <w:noWrap w:val="0"/>
                  <w:vAlign w:val="center"/>
                </w:tcPr>
                <w:p w14:paraId="0A4248E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150</w:t>
                  </w:r>
                </w:p>
              </w:tc>
              <w:tc>
                <w:tcPr>
                  <w:tcW w:w="337" w:type="dxa"/>
                  <w:noWrap w:val="0"/>
                  <w:vAlign w:val="center"/>
                </w:tcPr>
                <w:p w14:paraId="65A4F68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p>
              </w:tc>
              <w:tc>
                <w:tcPr>
                  <w:tcW w:w="802" w:type="dxa"/>
                  <w:noWrap w:val="0"/>
                  <w:vAlign w:val="center"/>
                </w:tcPr>
                <w:p w14:paraId="43FB5FB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100</w:t>
                  </w:r>
                </w:p>
              </w:tc>
              <w:tc>
                <w:tcPr>
                  <w:tcW w:w="647" w:type="dxa"/>
                  <w:vMerge w:val="continue"/>
                  <w:noWrap w:val="0"/>
                  <w:vAlign w:val="center"/>
                </w:tcPr>
                <w:p w14:paraId="7BF4CBF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69" w:type="dxa"/>
                  <w:vMerge w:val="continue"/>
                  <w:noWrap w:val="0"/>
                  <w:vAlign w:val="center"/>
                </w:tcPr>
                <w:p w14:paraId="32C4502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p>
              </w:tc>
              <w:tc>
                <w:tcPr>
                  <w:tcW w:w="576" w:type="dxa"/>
                  <w:noWrap w:val="0"/>
                  <w:vAlign w:val="center"/>
                </w:tcPr>
                <w:p w14:paraId="0BB6D69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8</w:t>
                  </w:r>
                </w:p>
              </w:tc>
              <w:tc>
                <w:tcPr>
                  <w:tcW w:w="599" w:type="dxa"/>
                  <w:noWrap w:val="0"/>
                  <w:vAlign w:val="center"/>
                </w:tcPr>
                <w:p w14:paraId="04F9F46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82</w:t>
                  </w:r>
                </w:p>
              </w:tc>
              <w:tc>
                <w:tcPr>
                  <w:tcW w:w="599" w:type="dxa"/>
                  <w:vMerge w:val="continue"/>
                  <w:noWrap w:val="0"/>
                  <w:vAlign w:val="center"/>
                </w:tcPr>
                <w:p w14:paraId="13FE60E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p>
              </w:tc>
              <w:tc>
                <w:tcPr>
                  <w:tcW w:w="599" w:type="dxa"/>
                  <w:noWrap w:val="0"/>
                  <w:vAlign w:val="center"/>
                </w:tcPr>
                <w:p w14:paraId="073399E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67</w:t>
                  </w:r>
                </w:p>
              </w:tc>
              <w:tc>
                <w:tcPr>
                  <w:tcW w:w="375" w:type="dxa"/>
                  <w:noWrap w:val="0"/>
                  <w:vAlign w:val="center"/>
                </w:tcPr>
                <w:p w14:paraId="33EBFA0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w:t>
                  </w:r>
                </w:p>
              </w:tc>
            </w:tr>
            <w:tr w14:paraId="799583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267" w:type="dxa"/>
                  <w:gridSpan w:val="13"/>
                  <w:noWrap w:val="0"/>
                  <w:vAlign w:val="center"/>
                </w:tcPr>
                <w:p w14:paraId="3C774220">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color w:val="000000" w:themeColor="text1"/>
                      <w:sz w:val="21"/>
                      <w:szCs w:val="21"/>
                      <w:lang w:val="en-US"/>
                      <w14:textFill>
                        <w14:solidFill>
                          <w14:schemeClr w14:val="tx1"/>
                        </w14:solidFill>
                      </w14:textFill>
                    </w:rPr>
                  </w:pPr>
                  <w:r>
                    <w:rPr>
                      <w:rFonts w:hint="eastAsia" w:ascii="Times New Roman" w:hAnsi="Times New Roman" w:eastAsia="仿宋" w:cs="Times New Roman"/>
                      <w:b w:val="0"/>
                      <w:bCs w:val="0"/>
                      <w:color w:val="000000" w:themeColor="text1"/>
                      <w:sz w:val="21"/>
                      <w:szCs w:val="21"/>
                      <w:highlight w:val="none"/>
                      <w:vertAlign w:val="baseline"/>
                      <w:lang w:val="en-US" w:eastAsia="zh-CN"/>
                      <w14:textFill>
                        <w14:solidFill>
                          <w14:schemeClr w14:val="tx1"/>
                        </w14:solidFill>
                      </w14:textFill>
                    </w:rPr>
                    <w:t>注：本项目</w:t>
                  </w:r>
                  <w:r>
                    <w:rPr>
                      <w:rFonts w:hint="default" w:ascii="Times New Roman" w:hAnsi="Times New Roman" w:eastAsia="仿宋" w:cs="Times New Roman"/>
                      <w:b w:val="0"/>
                      <w:bCs w:val="0"/>
                      <w:color w:val="000000" w:themeColor="text1"/>
                      <w:sz w:val="21"/>
                      <w:szCs w:val="21"/>
                      <w:highlight w:val="none"/>
                      <w:vertAlign w:val="baseline"/>
                      <w:lang w:val="en-US" w:eastAsia="zh-CN"/>
                      <w14:textFill>
                        <w14:solidFill>
                          <w14:schemeClr w14:val="tx1"/>
                        </w14:solidFill>
                      </w14:textFill>
                    </w:rPr>
                    <w:t>主要声源的三维坐标原点为</w:t>
                  </w:r>
                  <w:r>
                    <w:rPr>
                      <w:rFonts w:hint="eastAsia" w:ascii="Times New Roman" w:hAnsi="Times New Roman" w:eastAsia="仿宋" w:cs="Times New Roman"/>
                      <w:b w:val="0"/>
                      <w:bCs w:val="0"/>
                      <w:color w:val="000000" w:themeColor="text1"/>
                      <w:sz w:val="21"/>
                      <w:szCs w:val="21"/>
                      <w:highlight w:val="none"/>
                      <w:vertAlign w:val="baseline"/>
                      <w:lang w:val="en-US" w:eastAsia="zh-CN"/>
                      <w14:textFill>
                        <w14:solidFill>
                          <w14:schemeClr w14:val="tx1"/>
                        </w14:solidFill>
                      </w14:textFill>
                    </w:rPr>
                    <w:t>经度100.12270162，纬度39.46535295</w:t>
                  </w:r>
                </w:p>
              </w:tc>
            </w:tr>
          </w:tbl>
          <w:p w14:paraId="3A4952A0">
            <w:pPr>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hAnsi="Times New Roman" w:eastAsia="仿宋" w:cs="Times New Roman"/>
                <w:b/>
                <w:color w:val="000000" w:themeColor="text1"/>
                <w:kern w:val="0"/>
                <w:szCs w:val="21"/>
                <w:highlight w:val="none"/>
                <w:lang w:eastAsia="zh-CN"/>
                <w14:textFill>
                  <w14:solidFill>
                    <w14:schemeClr w14:val="tx1"/>
                  </w14:solidFill>
                </w14:textFill>
              </w:rPr>
            </w:pPr>
            <w:r>
              <w:rPr>
                <w:rFonts w:ascii="Times New Roman" w:hAnsi="Times New Roman" w:eastAsia="仿宋" w:cs="Times New Roman"/>
                <w:b/>
                <w:color w:val="000000" w:themeColor="text1"/>
                <w:kern w:val="0"/>
                <w:szCs w:val="21"/>
                <w:highlight w:val="none"/>
                <w:lang w:eastAsia="zh-CN"/>
                <w14:textFill>
                  <w14:solidFill>
                    <w14:schemeClr w14:val="tx1"/>
                  </w14:solidFill>
                </w14:textFill>
              </w:rPr>
              <w:t>表</w:t>
            </w:r>
            <w:r>
              <w:rPr>
                <w:rFonts w:hint="eastAsia" w:eastAsia="仿宋" w:cs="Times New Roman"/>
                <w:b/>
                <w:color w:val="000000" w:themeColor="text1"/>
                <w:kern w:val="0"/>
                <w:szCs w:val="21"/>
                <w:highlight w:val="none"/>
                <w:lang w:val="en-US" w:eastAsia="zh-CN"/>
                <w14:textFill>
                  <w14:solidFill>
                    <w14:schemeClr w14:val="tx1"/>
                  </w14:solidFill>
                </w14:textFill>
              </w:rPr>
              <w:t xml:space="preserve">46 </w:t>
            </w:r>
            <w:r>
              <w:rPr>
                <w:rFonts w:hint="eastAsia" w:ascii="Times New Roman" w:hAnsi="Times New Roman" w:eastAsia="仿宋" w:cs="Times New Roman"/>
                <w:b/>
                <w:color w:val="000000" w:themeColor="text1"/>
                <w:kern w:val="0"/>
                <w:szCs w:val="21"/>
                <w:highlight w:val="none"/>
                <w:lang w:val="en-US" w:eastAsia="zh-CN"/>
                <w14:textFill>
                  <w14:solidFill>
                    <w14:schemeClr w14:val="tx1"/>
                  </w14:solidFill>
                </w14:textFill>
              </w:rPr>
              <w:t xml:space="preserve">  </w:t>
            </w:r>
            <w:r>
              <w:rPr>
                <w:rFonts w:ascii="Times New Roman" w:hAnsi="Times New Roman" w:eastAsia="仿宋" w:cs="Times New Roman"/>
                <w:b/>
                <w:color w:val="000000" w:themeColor="text1"/>
                <w:kern w:val="0"/>
                <w:szCs w:val="21"/>
                <w:highlight w:val="none"/>
                <w:lang w:eastAsia="zh-CN"/>
                <w14:textFill>
                  <w14:solidFill>
                    <w14:schemeClr w14:val="tx1"/>
                  </w14:solidFill>
                </w14:textFill>
              </w:rPr>
              <w:t>噪声环境影响预测基础数据表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252"/>
              <w:gridCol w:w="2382"/>
              <w:gridCol w:w="1816"/>
              <w:gridCol w:w="1817"/>
            </w:tblGrid>
            <w:tr w14:paraId="68D66B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6" w:hRule="exact"/>
                <w:jc w:val="center"/>
              </w:trPr>
              <w:tc>
                <w:tcPr>
                  <w:tcW w:w="1161" w:type="dxa"/>
                  <w:tcBorders>
                    <w:tl2br w:val="nil"/>
                    <w:tr2bl w:val="nil"/>
                  </w:tcBorders>
                  <w:noWrap w:val="0"/>
                  <w:vAlign w:val="center"/>
                </w:tcPr>
                <w:p w14:paraId="5BCDD84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b/>
                      <w:bCs/>
                      <w:color w:val="000000" w:themeColor="text1"/>
                      <w:sz w:val="21"/>
                      <w:szCs w:val="21"/>
                      <w:lang w:eastAsia="zh-CN"/>
                      <w14:textFill>
                        <w14:solidFill>
                          <w14:schemeClr w14:val="tx1"/>
                        </w14:solidFill>
                      </w14:textFill>
                    </w:rPr>
                    <w:t xml:space="preserve"> </w:t>
                  </w:r>
                  <w:bookmarkStart w:id="40" w:name="PT_4"/>
                  <w:r>
                    <w:rPr>
                      <w:rFonts w:hint="default" w:ascii="Times New Roman" w:hAnsi="Times New Roman" w:eastAsia="仿宋" w:cs="Times New Roman"/>
                      <w:b/>
                      <w:color w:val="000000" w:themeColor="text1"/>
                      <w:sz w:val="21"/>
                      <w:szCs w:val="21"/>
                      <w14:textFill>
                        <w14:solidFill>
                          <w14:schemeClr w14:val="tx1"/>
                        </w14:solidFill>
                      </w14:textFill>
                    </w:rPr>
                    <w:t>序号</w:t>
                  </w:r>
                </w:p>
              </w:tc>
              <w:tc>
                <w:tcPr>
                  <w:tcW w:w="2208" w:type="dxa"/>
                  <w:tcBorders>
                    <w:tl2br w:val="nil"/>
                    <w:tr2bl w:val="nil"/>
                  </w:tcBorders>
                  <w:noWrap w:val="0"/>
                  <w:vAlign w:val="center"/>
                </w:tcPr>
                <w:p w14:paraId="39F9D3F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b/>
                      <w:color w:val="000000" w:themeColor="text1"/>
                      <w:sz w:val="21"/>
                      <w:szCs w:val="21"/>
                      <w14:textFill>
                        <w14:solidFill>
                          <w14:schemeClr w14:val="tx1"/>
                        </w14:solidFill>
                      </w14:textFill>
                    </w:rPr>
                    <w:t>名称</w:t>
                  </w:r>
                </w:p>
              </w:tc>
              <w:tc>
                <w:tcPr>
                  <w:tcW w:w="1684" w:type="dxa"/>
                  <w:tcBorders>
                    <w:tl2br w:val="nil"/>
                    <w:tr2bl w:val="nil"/>
                  </w:tcBorders>
                  <w:noWrap w:val="0"/>
                  <w:vAlign w:val="center"/>
                </w:tcPr>
                <w:p w14:paraId="63C9FF5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b/>
                      <w:color w:val="000000" w:themeColor="text1"/>
                      <w:sz w:val="21"/>
                      <w:szCs w:val="21"/>
                      <w14:textFill>
                        <w14:solidFill>
                          <w14:schemeClr w14:val="tx1"/>
                        </w14:solidFill>
                      </w14:textFill>
                    </w:rPr>
                    <w:t>单位</w:t>
                  </w:r>
                </w:p>
              </w:tc>
              <w:tc>
                <w:tcPr>
                  <w:tcW w:w="1684" w:type="dxa"/>
                  <w:tcBorders>
                    <w:tl2br w:val="nil"/>
                    <w:tr2bl w:val="nil"/>
                  </w:tcBorders>
                  <w:noWrap w:val="0"/>
                  <w:vAlign w:val="center"/>
                </w:tcPr>
                <w:p w14:paraId="4F28745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b/>
                      <w:color w:val="000000" w:themeColor="text1"/>
                      <w:sz w:val="21"/>
                      <w:szCs w:val="21"/>
                      <w14:textFill>
                        <w14:solidFill>
                          <w14:schemeClr w14:val="tx1"/>
                        </w14:solidFill>
                      </w14:textFill>
                    </w:rPr>
                    <w:t>数据</w:t>
                  </w:r>
                </w:p>
              </w:tc>
            </w:tr>
            <w:tr w14:paraId="0EA02A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61" w:type="dxa"/>
                  <w:tcBorders>
                    <w:tl2br w:val="nil"/>
                    <w:tr2bl w:val="nil"/>
                  </w:tcBorders>
                  <w:shd w:val="clear" w:color="auto" w:fill="FFFFFF"/>
                  <w:noWrap w:val="0"/>
                  <w:vAlign w:val="center"/>
                </w:tcPr>
                <w:p w14:paraId="0A97F27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w:t>
                  </w:r>
                </w:p>
              </w:tc>
              <w:tc>
                <w:tcPr>
                  <w:tcW w:w="2208" w:type="dxa"/>
                  <w:tcBorders>
                    <w:tl2br w:val="nil"/>
                    <w:tr2bl w:val="nil"/>
                  </w:tcBorders>
                  <w:shd w:val="clear" w:color="auto" w:fill="FFFFFF"/>
                  <w:noWrap w:val="0"/>
                  <w:vAlign w:val="center"/>
                </w:tcPr>
                <w:p w14:paraId="2AEC641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年平均风速</w:t>
                  </w:r>
                </w:p>
              </w:tc>
              <w:tc>
                <w:tcPr>
                  <w:tcW w:w="1684" w:type="dxa"/>
                  <w:tcBorders>
                    <w:tl2br w:val="nil"/>
                    <w:tr2bl w:val="nil"/>
                  </w:tcBorders>
                  <w:shd w:val="clear" w:color="auto" w:fill="FFFFFF"/>
                  <w:noWrap w:val="0"/>
                  <w:vAlign w:val="center"/>
                </w:tcPr>
                <w:p w14:paraId="3BCFAE1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m</w:t>
                  </w:r>
                  <w:r>
                    <w:rPr>
                      <w:rFonts w:hint="default" w:ascii="Times New Roman" w:hAnsi="Times New Roman" w:eastAsia="仿宋" w:cs="Times New Roman"/>
                      <w:color w:val="000000" w:themeColor="text1"/>
                      <w:sz w:val="21"/>
                      <w:szCs w:val="21"/>
                      <w14:textFill>
                        <w14:solidFill>
                          <w14:schemeClr w14:val="tx1"/>
                        </w14:solidFill>
                      </w14:textFill>
                    </w:rPr>
                    <w:t>/</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s</w:t>
                  </w:r>
                </w:p>
              </w:tc>
              <w:tc>
                <w:tcPr>
                  <w:tcW w:w="1684" w:type="dxa"/>
                  <w:tcBorders>
                    <w:tl2br w:val="nil"/>
                    <w:tr2bl w:val="nil"/>
                  </w:tcBorders>
                  <w:shd w:val="clear" w:color="auto" w:fill="FFFFFF"/>
                  <w:noWrap w:val="0"/>
                  <w:vAlign w:val="center"/>
                </w:tcPr>
                <w:p w14:paraId="1E4901E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eastAsia="仿宋" w:cs="Times New Roman"/>
                      <w:color w:val="000000" w:themeColor="text1"/>
                      <w:sz w:val="21"/>
                      <w:szCs w:val="21"/>
                      <w:lang w:val="en-US" w:eastAsia="zh-CN"/>
                      <w14:textFill>
                        <w14:solidFill>
                          <w14:schemeClr w14:val="tx1"/>
                        </w14:solidFill>
                      </w14:textFill>
                    </w:rPr>
                    <w:t>2.9</w:t>
                  </w:r>
                </w:p>
              </w:tc>
            </w:tr>
            <w:tr w14:paraId="04A110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61" w:type="dxa"/>
                  <w:tcBorders>
                    <w:tl2br w:val="nil"/>
                    <w:tr2bl w:val="nil"/>
                  </w:tcBorders>
                  <w:shd w:val="clear" w:color="auto" w:fill="FFFFFF"/>
                  <w:noWrap w:val="0"/>
                  <w:vAlign w:val="center"/>
                </w:tcPr>
                <w:p w14:paraId="56FF4BB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2</w:t>
                  </w:r>
                </w:p>
              </w:tc>
              <w:tc>
                <w:tcPr>
                  <w:tcW w:w="2208" w:type="dxa"/>
                  <w:tcBorders>
                    <w:tl2br w:val="nil"/>
                    <w:tr2bl w:val="nil"/>
                  </w:tcBorders>
                  <w:shd w:val="clear" w:color="auto" w:fill="FFFFFF"/>
                  <w:noWrap w:val="0"/>
                  <w:vAlign w:val="center"/>
                </w:tcPr>
                <w:p w14:paraId="31D5988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主导风向</w:t>
                  </w:r>
                </w:p>
              </w:tc>
              <w:tc>
                <w:tcPr>
                  <w:tcW w:w="1684" w:type="dxa"/>
                  <w:tcBorders>
                    <w:tl2br w:val="nil"/>
                    <w:tr2bl w:val="nil"/>
                  </w:tcBorders>
                  <w:shd w:val="clear" w:color="auto" w:fill="FFFFFF"/>
                  <w:noWrap w:val="0"/>
                  <w:vAlign w:val="center"/>
                </w:tcPr>
                <w:p w14:paraId="0361ED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w:t>
                  </w:r>
                </w:p>
              </w:tc>
              <w:tc>
                <w:tcPr>
                  <w:tcW w:w="1684" w:type="dxa"/>
                  <w:tcBorders>
                    <w:tl2br w:val="nil"/>
                    <w:tr2bl w:val="nil"/>
                  </w:tcBorders>
                  <w:shd w:val="clear" w:color="auto" w:fill="FFFFFF"/>
                  <w:noWrap w:val="0"/>
                  <w:vAlign w:val="center"/>
                </w:tcPr>
                <w:p w14:paraId="612ED11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eastAsia="仿宋" w:cs="Times New Roman"/>
                      <w:color w:val="000000" w:themeColor="text1"/>
                      <w:sz w:val="21"/>
                      <w:szCs w:val="21"/>
                      <w:lang w:val="en-US" w:eastAsia="zh-CN"/>
                      <w14:textFill>
                        <w14:solidFill>
                          <w14:schemeClr w14:val="tx1"/>
                        </w14:solidFill>
                      </w14:textFill>
                    </w:rPr>
                    <w:t>NW</w:t>
                  </w:r>
                </w:p>
              </w:tc>
            </w:tr>
            <w:tr w14:paraId="5273A9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61" w:type="dxa"/>
                  <w:tcBorders>
                    <w:tl2br w:val="nil"/>
                    <w:tr2bl w:val="nil"/>
                  </w:tcBorders>
                  <w:shd w:val="clear" w:color="auto" w:fill="FFFFFF"/>
                  <w:noWrap w:val="0"/>
                  <w:vAlign w:val="center"/>
                </w:tcPr>
                <w:p w14:paraId="081726A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3</w:t>
                  </w:r>
                </w:p>
              </w:tc>
              <w:tc>
                <w:tcPr>
                  <w:tcW w:w="2208" w:type="dxa"/>
                  <w:tcBorders>
                    <w:tl2br w:val="nil"/>
                    <w:tr2bl w:val="nil"/>
                  </w:tcBorders>
                  <w:shd w:val="clear" w:color="auto" w:fill="FFFFFF"/>
                  <w:noWrap w:val="0"/>
                  <w:vAlign w:val="center"/>
                </w:tcPr>
                <w:p w14:paraId="250E9D3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年平均气温</w:t>
                  </w:r>
                </w:p>
              </w:tc>
              <w:tc>
                <w:tcPr>
                  <w:tcW w:w="1684" w:type="dxa"/>
                  <w:tcBorders>
                    <w:tl2br w:val="nil"/>
                    <w:tr2bl w:val="nil"/>
                  </w:tcBorders>
                  <w:shd w:val="clear" w:color="auto" w:fill="FFFFFF"/>
                  <w:noWrap w:val="0"/>
                  <w:vAlign w:val="center"/>
                </w:tcPr>
                <w:p w14:paraId="260EF57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w:t>
                  </w:r>
                </w:p>
              </w:tc>
              <w:tc>
                <w:tcPr>
                  <w:tcW w:w="1684" w:type="dxa"/>
                  <w:tcBorders>
                    <w:tl2br w:val="nil"/>
                    <w:tr2bl w:val="nil"/>
                  </w:tcBorders>
                  <w:shd w:val="clear" w:color="auto" w:fill="FFFFFF"/>
                  <w:noWrap w:val="0"/>
                  <w:vAlign w:val="center"/>
                </w:tcPr>
                <w:p w14:paraId="072AAD6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eastAsia="仿宋" w:cs="Times New Roman"/>
                      <w:color w:val="000000" w:themeColor="text1"/>
                      <w:sz w:val="21"/>
                      <w:szCs w:val="21"/>
                      <w:lang w:val="en-US" w:eastAsia="zh-CN"/>
                      <w14:textFill>
                        <w14:solidFill>
                          <w14:schemeClr w14:val="tx1"/>
                        </w14:solidFill>
                      </w14:textFill>
                    </w:rPr>
                    <w:t>7.7</w:t>
                  </w:r>
                </w:p>
              </w:tc>
            </w:tr>
            <w:tr w14:paraId="5FA1BA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61" w:type="dxa"/>
                  <w:tcBorders>
                    <w:tl2br w:val="nil"/>
                    <w:tr2bl w:val="nil"/>
                  </w:tcBorders>
                  <w:shd w:val="clear" w:color="auto" w:fill="FFFFFF"/>
                  <w:noWrap w:val="0"/>
                  <w:vAlign w:val="center"/>
                </w:tcPr>
                <w:p w14:paraId="77F90C9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4</w:t>
                  </w:r>
                </w:p>
              </w:tc>
              <w:tc>
                <w:tcPr>
                  <w:tcW w:w="2208" w:type="dxa"/>
                  <w:tcBorders>
                    <w:tl2br w:val="nil"/>
                    <w:tr2bl w:val="nil"/>
                  </w:tcBorders>
                  <w:shd w:val="clear" w:color="auto" w:fill="FFFFFF"/>
                  <w:noWrap w:val="0"/>
                  <w:vAlign w:val="center"/>
                </w:tcPr>
                <w:p w14:paraId="6E21A17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年平均相对湿度</w:t>
                  </w:r>
                </w:p>
              </w:tc>
              <w:tc>
                <w:tcPr>
                  <w:tcW w:w="1684" w:type="dxa"/>
                  <w:tcBorders>
                    <w:tl2br w:val="nil"/>
                    <w:tr2bl w:val="nil"/>
                  </w:tcBorders>
                  <w:shd w:val="clear" w:color="auto" w:fill="FFFFFF"/>
                  <w:noWrap w:val="0"/>
                  <w:vAlign w:val="center"/>
                </w:tcPr>
                <w:p w14:paraId="36AC58C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w:t>
                  </w:r>
                </w:p>
              </w:tc>
              <w:tc>
                <w:tcPr>
                  <w:tcW w:w="1684" w:type="dxa"/>
                  <w:tcBorders>
                    <w:tl2br w:val="nil"/>
                    <w:tr2bl w:val="nil"/>
                  </w:tcBorders>
                  <w:shd w:val="clear" w:color="auto" w:fill="FFFFFF"/>
                  <w:noWrap w:val="0"/>
                  <w:vAlign w:val="center"/>
                </w:tcPr>
                <w:p w14:paraId="7374E6A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eastAsia="仿宋" w:cs="Times New Roman"/>
                      <w:color w:val="000000" w:themeColor="text1"/>
                      <w:sz w:val="21"/>
                      <w:szCs w:val="21"/>
                      <w:lang w:val="en-US" w:eastAsia="zh-CN"/>
                      <w14:textFill>
                        <w14:solidFill>
                          <w14:schemeClr w14:val="tx1"/>
                        </w14:solidFill>
                      </w14:textFill>
                    </w:rPr>
                    <w:t>50</w:t>
                  </w:r>
                </w:p>
              </w:tc>
            </w:tr>
            <w:tr w14:paraId="3F1495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1161" w:type="dxa"/>
                  <w:tcBorders>
                    <w:tl2br w:val="nil"/>
                    <w:tr2bl w:val="nil"/>
                  </w:tcBorders>
                  <w:shd w:val="clear" w:color="auto" w:fill="FFFFFF"/>
                  <w:noWrap w:val="0"/>
                  <w:vAlign w:val="center"/>
                </w:tcPr>
                <w:p w14:paraId="0B2C80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5</w:t>
                  </w:r>
                </w:p>
              </w:tc>
              <w:tc>
                <w:tcPr>
                  <w:tcW w:w="2208" w:type="dxa"/>
                  <w:tcBorders>
                    <w:tl2br w:val="nil"/>
                    <w:tr2bl w:val="nil"/>
                  </w:tcBorders>
                  <w:shd w:val="clear" w:color="auto" w:fill="FFFFFF"/>
                  <w:noWrap w:val="0"/>
                  <w:vAlign w:val="center"/>
                </w:tcPr>
                <w:p w14:paraId="4512EA6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大气压强</w:t>
                  </w:r>
                </w:p>
              </w:tc>
              <w:tc>
                <w:tcPr>
                  <w:tcW w:w="1684" w:type="dxa"/>
                  <w:tcBorders>
                    <w:tl2br w:val="nil"/>
                    <w:tr2bl w:val="nil"/>
                  </w:tcBorders>
                  <w:shd w:val="clear" w:color="auto" w:fill="FFFFFF"/>
                  <w:noWrap w:val="0"/>
                  <w:vAlign w:val="center"/>
                </w:tcPr>
                <w:p w14:paraId="127901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atm</w:t>
                  </w:r>
                </w:p>
              </w:tc>
              <w:tc>
                <w:tcPr>
                  <w:tcW w:w="1684" w:type="dxa"/>
                  <w:tcBorders>
                    <w:tl2br w:val="nil"/>
                    <w:tr2bl w:val="nil"/>
                  </w:tcBorders>
                  <w:shd w:val="clear" w:color="auto" w:fill="FFFFFF"/>
                  <w:noWrap w:val="0"/>
                  <w:vAlign w:val="center"/>
                </w:tcPr>
                <w:p w14:paraId="2B4173A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w:t>
                  </w:r>
                </w:p>
              </w:tc>
            </w:tr>
            <w:bookmarkEnd w:id="40"/>
          </w:tbl>
          <w:p w14:paraId="50D2901C">
            <w:pPr>
              <w:keepNext w:val="0"/>
              <w:keepLines w:val="0"/>
              <w:pageBreakBefore w:val="0"/>
              <w:widowControl w:val="0"/>
              <w:kinsoku/>
              <w:wordWrap/>
              <w:overflowPunct/>
              <w:topLinePunct w:val="0"/>
              <w:bidi w:val="0"/>
              <w:adjustRightInd w:val="0"/>
              <w:snapToGrid w:val="0"/>
              <w:spacing w:before="120" w:beforeLines="50" w:line="360" w:lineRule="auto"/>
              <w:ind w:firstLine="480" w:firstLineChars="200"/>
              <w:textAlignment w:val="auto"/>
              <w:rPr>
                <w:rFonts w:eastAsia="仿宋"/>
                <w:bCs/>
                <w:color w:val="000000" w:themeColor="text1"/>
                <w:spacing w:val="-10"/>
                <w:sz w:val="24"/>
                <w:highlight w:val="none"/>
                <w14:textFill>
                  <w14:solidFill>
                    <w14:schemeClr w14:val="tx1"/>
                  </w14:solidFill>
                </w14:textFill>
              </w:rPr>
            </w:pPr>
            <w:r>
              <w:rPr>
                <w:rFonts w:hint="default" w:ascii="Times New Roman" w:hAnsi="Times New Roman" w:eastAsia="仿宋" w:cs="Times New Roman"/>
                <w:bCs/>
                <w:color w:val="000000" w:themeColor="text1"/>
                <w:spacing w:val="0"/>
                <w:sz w:val="24"/>
                <w:highlight w:val="none"/>
                <w:lang w:val="en-US" w:eastAsia="zh-CN"/>
                <w14:textFill>
                  <w14:solidFill>
                    <w14:schemeClr w14:val="tx1"/>
                  </w14:solidFill>
                </w14:textFill>
              </w:rPr>
              <w:t>⑶</w:t>
            </w:r>
            <w:r>
              <w:rPr>
                <w:rFonts w:eastAsia="仿宋"/>
                <w:bCs/>
                <w:color w:val="000000" w:themeColor="text1"/>
                <w:spacing w:val="-10"/>
                <w:sz w:val="24"/>
                <w:highlight w:val="none"/>
                <w14:textFill>
                  <w14:solidFill>
                    <w14:schemeClr w14:val="tx1"/>
                  </w14:solidFill>
                </w14:textFill>
              </w:rPr>
              <w:t>噪声影响预测模式</w:t>
            </w:r>
          </w:p>
          <w:p w14:paraId="1440EC6E">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default" w:ascii="Times New Roman" w:hAnsi="Times New Roman" w:eastAsia="仿宋" w:cs="Times New Roman"/>
                <w:color w:val="000000" w:themeColor="text1"/>
                <w:sz w:val="24"/>
                <w:lang w:val="en-US" w:eastAsia="zh-CN"/>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①</w:t>
            </w:r>
            <w:r>
              <w:rPr>
                <w:rFonts w:hint="eastAsia" w:eastAsia="仿宋" w:cs="Times New Roman"/>
                <w:color w:val="000000" w:themeColor="text1"/>
                <w:sz w:val="24"/>
                <w:lang w:val="en-US" w:eastAsia="zh-CN"/>
                <w14:textFill>
                  <w14:solidFill>
                    <w14:schemeClr w14:val="tx1"/>
                  </w14:solidFill>
                </w14:textFill>
              </w:rPr>
              <w:t>室外噪声预测</w:t>
            </w:r>
          </w:p>
          <w:p w14:paraId="12806399">
            <w:pPr>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bidi="ar"/>
              </w:rPr>
              <w:t>按《环境影响预测评价技术导则</w:t>
            </w:r>
            <w:r>
              <w:rPr>
                <w:rFonts w:hint="default" w:ascii="Times New Roman" w:hAnsi="Times New Roman" w:eastAsia="仿宋" w:cs="Times New Roman"/>
                <w:color w:val="auto"/>
                <w:spacing w:val="0"/>
                <w:position w:val="0"/>
                <w:sz w:val="24"/>
                <w:szCs w:val="24"/>
                <w:highlight w:val="none"/>
                <w:lang w:val="en-US" w:eastAsia="zh-CN" w:bidi="ar"/>
              </w:rPr>
              <w:t xml:space="preserve"> </w:t>
            </w:r>
            <w:r>
              <w:rPr>
                <w:rFonts w:hint="default" w:ascii="Times New Roman" w:hAnsi="Times New Roman" w:eastAsia="仿宋" w:cs="Times New Roman"/>
                <w:color w:val="auto"/>
                <w:spacing w:val="0"/>
                <w:position w:val="0"/>
                <w:sz w:val="24"/>
                <w:szCs w:val="24"/>
                <w:highlight w:val="none"/>
                <w:lang w:bidi="ar"/>
              </w:rPr>
              <w:t>声环境》（HJ2.4-20</w:t>
            </w:r>
            <w:r>
              <w:rPr>
                <w:rFonts w:hint="default" w:ascii="Times New Roman" w:hAnsi="Times New Roman" w:eastAsia="仿宋" w:cs="Times New Roman"/>
                <w:color w:val="auto"/>
                <w:spacing w:val="0"/>
                <w:position w:val="0"/>
                <w:sz w:val="24"/>
                <w:szCs w:val="24"/>
                <w:highlight w:val="none"/>
                <w:lang w:val="en-US" w:eastAsia="zh-CN" w:bidi="ar"/>
              </w:rPr>
              <w:t>21</w:t>
            </w:r>
            <w:r>
              <w:rPr>
                <w:rFonts w:hint="default" w:ascii="Times New Roman" w:hAnsi="Times New Roman" w:eastAsia="仿宋" w:cs="Times New Roman"/>
                <w:color w:val="auto"/>
                <w:spacing w:val="0"/>
                <w:position w:val="0"/>
                <w:sz w:val="24"/>
                <w:szCs w:val="24"/>
                <w:highlight w:val="none"/>
                <w:lang w:bidi="ar"/>
              </w:rPr>
              <w:t>）中推荐的噪声传播声级衰减模式。本项目噪声源可近似视为点源，根据点声源噪声衰减模式，可估算出离噪声源不同距离处的噪声值，预测模式如下：</w:t>
            </w:r>
          </w:p>
          <w:p w14:paraId="71674BDF">
            <w:pPr>
              <w:keepNext w:val="0"/>
              <w:keepLines w:val="0"/>
              <w:pageBreakBefore w:val="0"/>
              <w:widowControl w:val="0"/>
              <w:kinsoku/>
              <w:wordWrap/>
              <w:overflowPunct w:val="0"/>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val="en-US" w:eastAsia="zh-CN" w:bidi="ar"/>
              </w:rPr>
              <w:t>A</w:t>
            </w:r>
            <w:r>
              <w:rPr>
                <w:rFonts w:hint="eastAsia" w:ascii="Times New Roman" w:hAnsi="Times New Roman" w:eastAsia="仿宋" w:cs="Times New Roman"/>
                <w:color w:val="auto"/>
                <w:spacing w:val="0"/>
                <w:position w:val="0"/>
                <w:sz w:val="24"/>
                <w:szCs w:val="24"/>
                <w:highlight w:val="none"/>
                <w:lang w:val="en-US" w:eastAsia="zh-CN" w:bidi="ar"/>
              </w:rPr>
              <w:t>.</w:t>
            </w:r>
            <w:r>
              <w:rPr>
                <w:rFonts w:hint="default" w:ascii="Times New Roman" w:hAnsi="Times New Roman" w:eastAsia="仿宋" w:cs="Times New Roman"/>
                <w:color w:val="auto"/>
                <w:spacing w:val="0"/>
                <w:position w:val="0"/>
                <w:sz w:val="24"/>
                <w:szCs w:val="24"/>
                <w:highlight w:val="none"/>
                <w:lang w:bidi="ar"/>
              </w:rPr>
              <w:t>预测点的预测等效声级（Leq）计算公式：</w:t>
            </w:r>
          </w:p>
          <w:p w14:paraId="16AC3A24">
            <w:pPr>
              <w:keepNext w:val="0"/>
              <w:keepLines w:val="0"/>
              <w:pageBreakBefore w:val="0"/>
              <w:widowControl w:val="0"/>
              <w:kinsoku/>
              <w:wordWrap/>
              <w:overflowPunct w:val="0"/>
              <w:topLinePunct w:val="0"/>
              <w:autoSpaceDE w:val="0"/>
              <w:autoSpaceDN w:val="0"/>
              <w:bidi w:val="0"/>
              <w:adjustRightInd w:val="0"/>
              <w:snapToGrid w:val="0"/>
              <w:spacing w:line="360" w:lineRule="auto"/>
              <w:ind w:firstLine="480" w:firstLineChars="200"/>
              <w:jc w:val="center"/>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bidi="ar"/>
              </w:rPr>
              <w:fldChar w:fldCharType="begin"/>
            </w:r>
            <w:r>
              <w:instrText xml:space="preserve"> INCLUDEPICTURE "D:\\我的文档\\Documents\\WeChat Files\\wxid_k6e35h7i4t5t22\\FileStorage\\File\\AppData\\Local\\Temp\\ADMINI~1\\AppData\\Local\\Temp\\ksohtml2504\\wps4.png" \* MERGEFORMAT \d </w:instrText>
            </w:r>
            <w:r>
              <w:rPr>
                <w:rFonts w:hint="default" w:ascii="Times New Roman" w:hAnsi="Times New Roman" w:eastAsia="仿宋" w:cs="Times New Roman"/>
                <w:color w:val="auto"/>
                <w:spacing w:val="0"/>
                <w:position w:val="0"/>
                <w:sz w:val="24"/>
                <w:szCs w:val="24"/>
                <w:highlight w:val="none"/>
                <w:lang w:bidi="ar"/>
              </w:rPr>
              <w:fldChar w:fldCharType="separate"/>
            </w:r>
            <w:r>
              <w:rPr>
                <w:rFonts w:hint="default" w:ascii="Times New Roman" w:hAnsi="Times New Roman" w:eastAsia="仿宋" w:cs="Times New Roman"/>
                <w:color w:val="auto"/>
                <w:spacing w:val="0"/>
                <w:position w:val="0"/>
                <w:sz w:val="24"/>
                <w:szCs w:val="24"/>
                <w:highlight w:val="none"/>
                <w:lang w:bidi="ar"/>
              </w:rPr>
              <w:drawing>
                <wp:inline distT="0" distB="0" distL="114300" distR="114300">
                  <wp:extent cx="2066925" cy="276225"/>
                  <wp:effectExtent l="0" t="0" r="9525" b="8890"/>
                  <wp:docPr id="21"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descr="IMG_256"/>
                          <pic:cNvPicPr>
                            <a:picLocks noChangeAspect="1"/>
                          </pic:cNvPicPr>
                        </pic:nvPicPr>
                        <pic:blipFill>
                          <a:blip r:embed="rId20"/>
                          <a:stretch>
                            <a:fillRect/>
                          </a:stretch>
                        </pic:blipFill>
                        <pic:spPr>
                          <a:xfrm>
                            <a:off x="0" y="0"/>
                            <a:ext cx="2066925" cy="276225"/>
                          </a:xfrm>
                          <a:prstGeom prst="rect">
                            <a:avLst/>
                          </a:prstGeom>
                          <a:noFill/>
                          <a:ln>
                            <a:noFill/>
                          </a:ln>
                        </pic:spPr>
                      </pic:pic>
                    </a:graphicData>
                  </a:graphic>
                </wp:inline>
              </w:drawing>
            </w:r>
            <w:r>
              <w:rPr>
                <w:rFonts w:hint="default" w:ascii="Times New Roman" w:hAnsi="Times New Roman" w:eastAsia="仿宋" w:cs="Times New Roman"/>
                <w:color w:val="auto"/>
                <w:spacing w:val="0"/>
                <w:position w:val="0"/>
                <w:sz w:val="24"/>
                <w:szCs w:val="24"/>
                <w:highlight w:val="none"/>
                <w:lang w:bidi="ar"/>
              </w:rPr>
              <w:fldChar w:fldCharType="end"/>
            </w:r>
          </w:p>
          <w:p w14:paraId="58B5DF09">
            <w:pPr>
              <w:keepNext w:val="0"/>
              <w:keepLines w:val="0"/>
              <w:pageBreakBefore w:val="0"/>
              <w:widowControl w:val="0"/>
              <w:kinsoku/>
              <w:wordWrap/>
              <w:overflowPunct w:val="0"/>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bidi="ar"/>
              </w:rPr>
              <w:t>式中：Leqg——建设项目声源在预测点的等效声级贡献值，dB（A）；</w:t>
            </w:r>
          </w:p>
          <w:p w14:paraId="01533599">
            <w:pPr>
              <w:keepNext w:val="0"/>
              <w:keepLines w:val="0"/>
              <w:pageBreakBefore w:val="0"/>
              <w:widowControl w:val="0"/>
              <w:kinsoku/>
              <w:wordWrap/>
              <w:overflowPunct w:val="0"/>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bidi="ar"/>
              </w:rPr>
              <w:t>Leqb——预测点的背景值，dB（A）。</w:t>
            </w:r>
          </w:p>
          <w:p w14:paraId="5CCB23F0">
            <w:pPr>
              <w:keepNext w:val="0"/>
              <w:keepLines w:val="0"/>
              <w:pageBreakBefore w:val="0"/>
              <w:widowControl w:val="0"/>
              <w:kinsoku/>
              <w:wordWrap/>
              <w:overflowPunct w:val="0"/>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val="en-US" w:eastAsia="zh-CN" w:bidi="ar"/>
              </w:rPr>
              <w:t>B</w:t>
            </w:r>
            <w:r>
              <w:rPr>
                <w:rFonts w:hint="eastAsia" w:ascii="Times New Roman" w:hAnsi="Times New Roman" w:eastAsia="仿宋" w:cs="Times New Roman"/>
                <w:color w:val="auto"/>
                <w:spacing w:val="0"/>
                <w:position w:val="0"/>
                <w:sz w:val="24"/>
                <w:szCs w:val="24"/>
                <w:highlight w:val="none"/>
                <w:lang w:val="en-US" w:eastAsia="zh-CN" w:bidi="ar"/>
              </w:rPr>
              <w:t>.</w:t>
            </w:r>
            <w:r>
              <w:rPr>
                <w:rFonts w:hint="default" w:ascii="Times New Roman" w:hAnsi="Times New Roman" w:eastAsia="仿宋" w:cs="Times New Roman"/>
                <w:color w:val="auto"/>
                <w:spacing w:val="0"/>
                <w:position w:val="0"/>
                <w:sz w:val="24"/>
                <w:szCs w:val="24"/>
                <w:highlight w:val="none"/>
                <w:lang w:bidi="ar"/>
              </w:rPr>
              <w:t>无指向性点声源几何发散衰减的基本公式是（未考虑大气吸收、地面效应等引起的衰减）：</w:t>
            </w:r>
          </w:p>
          <w:p w14:paraId="35355270">
            <w:pPr>
              <w:keepNext w:val="0"/>
              <w:keepLines w:val="0"/>
              <w:pageBreakBefore w:val="0"/>
              <w:widowControl w:val="0"/>
              <w:kinsoku/>
              <w:wordWrap/>
              <w:overflowPunct w:val="0"/>
              <w:topLinePunct w:val="0"/>
              <w:autoSpaceDE w:val="0"/>
              <w:autoSpaceDN w:val="0"/>
              <w:bidi w:val="0"/>
              <w:adjustRightInd w:val="0"/>
              <w:snapToGrid w:val="0"/>
              <w:spacing w:line="360" w:lineRule="auto"/>
              <w:ind w:firstLine="1200" w:firstLineChars="500"/>
              <w:jc w:val="both"/>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bidi="ar"/>
              </w:rPr>
              <w:fldChar w:fldCharType="begin"/>
            </w:r>
            <w:r>
              <w:instrText xml:space="preserve"> INCLUDEPICTURE "D:\\我的文档\\Documents\\WeChat Files\\wxid_k6e35h7i4t5t22\\FileStorage\\File\\AppData\\Local\\Temp\\ADMINI~1\\AppData\\Local\\Temp\\ksohtml2504\\wps5.png" \* MERGEFORMAT \d </w:instrText>
            </w:r>
            <w:r>
              <w:rPr>
                <w:rFonts w:hint="default" w:ascii="Times New Roman" w:hAnsi="Times New Roman" w:eastAsia="仿宋" w:cs="Times New Roman"/>
                <w:color w:val="auto"/>
                <w:spacing w:val="0"/>
                <w:position w:val="0"/>
                <w:sz w:val="24"/>
                <w:szCs w:val="24"/>
                <w:highlight w:val="none"/>
                <w:lang w:bidi="ar"/>
              </w:rPr>
              <w:fldChar w:fldCharType="separate"/>
            </w:r>
            <w:r>
              <w:rPr>
                <w:rFonts w:hint="default" w:ascii="Times New Roman" w:hAnsi="Times New Roman" w:eastAsia="仿宋" w:cs="Times New Roman"/>
                <w:color w:val="auto"/>
                <w:spacing w:val="0"/>
                <w:position w:val="0"/>
                <w:sz w:val="24"/>
                <w:szCs w:val="24"/>
                <w:highlight w:val="none"/>
                <w:lang w:bidi="ar"/>
              </w:rPr>
              <w:drawing>
                <wp:inline distT="0" distB="0" distL="114300" distR="114300">
                  <wp:extent cx="1933575" cy="266700"/>
                  <wp:effectExtent l="0" t="0" r="0" b="0"/>
                  <wp:docPr id="19" name="图片 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descr="IMG_257"/>
                          <pic:cNvPicPr>
                            <a:picLocks noChangeAspect="1"/>
                          </pic:cNvPicPr>
                        </pic:nvPicPr>
                        <pic:blipFill>
                          <a:blip r:embed="rId21"/>
                          <a:stretch>
                            <a:fillRect/>
                          </a:stretch>
                        </pic:blipFill>
                        <pic:spPr>
                          <a:xfrm>
                            <a:off x="0" y="0"/>
                            <a:ext cx="1933575" cy="266700"/>
                          </a:xfrm>
                          <a:prstGeom prst="rect">
                            <a:avLst/>
                          </a:prstGeom>
                          <a:noFill/>
                          <a:ln>
                            <a:noFill/>
                          </a:ln>
                        </pic:spPr>
                      </pic:pic>
                    </a:graphicData>
                  </a:graphic>
                </wp:inline>
              </w:drawing>
            </w:r>
            <w:r>
              <w:rPr>
                <w:rFonts w:hint="default" w:ascii="Times New Roman" w:hAnsi="Times New Roman" w:eastAsia="仿宋" w:cs="Times New Roman"/>
                <w:color w:val="auto"/>
                <w:spacing w:val="0"/>
                <w:position w:val="0"/>
                <w:sz w:val="24"/>
                <w:szCs w:val="24"/>
                <w:highlight w:val="none"/>
                <w:lang w:bidi="ar"/>
              </w:rPr>
              <w:fldChar w:fldCharType="end"/>
            </w:r>
          </w:p>
          <w:p w14:paraId="2B4983B6">
            <w:pPr>
              <w:keepNext w:val="0"/>
              <w:keepLines w:val="0"/>
              <w:pageBreakBefore w:val="0"/>
              <w:widowControl w:val="0"/>
              <w:kinsoku/>
              <w:wordWrap/>
              <w:overflowPunct w:val="0"/>
              <w:topLinePunct w:val="0"/>
              <w:bidi w:val="0"/>
              <w:adjustRightInd w:val="0"/>
              <w:snapToGrid w:val="0"/>
              <w:spacing w:line="360" w:lineRule="auto"/>
              <w:ind w:firstLine="480" w:firstLineChars="200"/>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bidi="ar"/>
              </w:rPr>
              <w:t>式中：LP——距声源r（m）处声压级，dB（A）；</w:t>
            </w:r>
          </w:p>
          <w:p w14:paraId="5399F36C">
            <w:pPr>
              <w:keepNext w:val="0"/>
              <w:keepLines w:val="0"/>
              <w:pageBreakBefore w:val="0"/>
              <w:widowControl w:val="0"/>
              <w:kinsoku/>
              <w:wordWrap/>
              <w:overflowPunct w:val="0"/>
              <w:topLinePunct w:val="0"/>
              <w:bidi w:val="0"/>
              <w:adjustRightInd w:val="0"/>
              <w:snapToGrid w:val="0"/>
              <w:spacing w:line="360" w:lineRule="auto"/>
              <w:ind w:firstLine="1200" w:firstLineChars="500"/>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bidi="ar"/>
              </w:rPr>
              <w:t>LP（r0）——距声源r0（m）处声压级，dB（A）；</w:t>
            </w:r>
          </w:p>
          <w:p w14:paraId="3A421FF4">
            <w:pPr>
              <w:keepNext w:val="0"/>
              <w:keepLines w:val="0"/>
              <w:pageBreakBefore w:val="0"/>
              <w:widowControl w:val="0"/>
              <w:kinsoku/>
              <w:wordWrap/>
              <w:overflowPunct w:val="0"/>
              <w:topLinePunct w:val="0"/>
              <w:bidi w:val="0"/>
              <w:adjustRightInd w:val="0"/>
              <w:snapToGrid w:val="0"/>
              <w:spacing w:line="360" w:lineRule="auto"/>
              <w:ind w:firstLine="1200" w:firstLineChars="500"/>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bidi="ar"/>
              </w:rPr>
              <w:t>r——预测点距声源的距离，m；</w:t>
            </w:r>
          </w:p>
          <w:p w14:paraId="4ADFFC0A">
            <w:pPr>
              <w:keepNext w:val="0"/>
              <w:keepLines w:val="0"/>
              <w:pageBreakBefore w:val="0"/>
              <w:widowControl w:val="0"/>
              <w:kinsoku/>
              <w:wordWrap/>
              <w:overflowPunct w:val="0"/>
              <w:topLinePunct w:val="0"/>
              <w:bidi w:val="0"/>
              <w:adjustRightInd w:val="0"/>
              <w:snapToGrid w:val="0"/>
              <w:spacing w:line="360" w:lineRule="auto"/>
              <w:ind w:firstLine="1200" w:firstLineChars="500"/>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bidi="ar"/>
              </w:rPr>
              <w:t>r0——参考位置距声源的距离，1m；</w:t>
            </w:r>
          </w:p>
          <w:p w14:paraId="4A98C28A">
            <w:pPr>
              <w:keepNext w:val="0"/>
              <w:keepLines w:val="0"/>
              <w:pageBreakBefore w:val="0"/>
              <w:widowControl w:val="0"/>
              <w:kinsoku/>
              <w:wordWrap/>
              <w:overflowPunct w:val="0"/>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bidi="ar"/>
              </w:rPr>
              <w:t>③噪声叠加公式：</w:t>
            </w:r>
          </w:p>
          <w:p w14:paraId="6B329ADA">
            <w:pPr>
              <w:keepNext w:val="0"/>
              <w:keepLines w:val="0"/>
              <w:pageBreakBefore w:val="0"/>
              <w:widowControl w:val="0"/>
              <w:kinsoku/>
              <w:wordWrap/>
              <w:overflowPunct w:val="0"/>
              <w:topLinePunct w:val="0"/>
              <w:bidi w:val="0"/>
              <w:adjustRightInd w:val="0"/>
              <w:snapToGrid w:val="0"/>
              <w:spacing w:line="360" w:lineRule="auto"/>
              <w:ind w:firstLine="1200" w:firstLineChars="500"/>
              <w:jc w:val="both"/>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bidi="ar"/>
              </w:rPr>
              <w:fldChar w:fldCharType="begin"/>
            </w:r>
            <w:r>
              <w:instrText xml:space="preserve"> INCLUDEPICTURE "D:\\我的文档\\Documents\\WeChat Files\\wxid_k6e35h7i4t5t22\\FileStorage\\File\\AppData\\Local\\Temp\\ADMINI~1\\AppData\\Local\\Temp\\ksohtml2504\\wps6.png" \* MERGEFORMAT \d </w:instrText>
            </w:r>
            <w:r>
              <w:rPr>
                <w:rFonts w:hint="default" w:ascii="Times New Roman" w:hAnsi="Times New Roman" w:eastAsia="仿宋" w:cs="Times New Roman"/>
                <w:color w:val="auto"/>
                <w:spacing w:val="0"/>
                <w:position w:val="0"/>
                <w:sz w:val="24"/>
                <w:szCs w:val="24"/>
                <w:highlight w:val="none"/>
                <w:lang w:bidi="ar"/>
              </w:rPr>
              <w:fldChar w:fldCharType="separate"/>
            </w:r>
            <w:r>
              <w:rPr>
                <w:rFonts w:hint="default" w:ascii="Times New Roman" w:hAnsi="Times New Roman" w:eastAsia="仿宋" w:cs="Times New Roman"/>
                <w:color w:val="auto"/>
                <w:spacing w:val="0"/>
                <w:position w:val="0"/>
                <w:sz w:val="24"/>
                <w:szCs w:val="24"/>
                <w:highlight w:val="none"/>
                <w:lang w:bidi="ar"/>
              </w:rPr>
              <w:drawing>
                <wp:inline distT="0" distB="0" distL="114300" distR="114300">
                  <wp:extent cx="1638300" cy="438150"/>
                  <wp:effectExtent l="0" t="0" r="0" b="0"/>
                  <wp:docPr id="20" name="图片 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descr="IMG_258"/>
                          <pic:cNvPicPr>
                            <a:picLocks noChangeAspect="1"/>
                          </pic:cNvPicPr>
                        </pic:nvPicPr>
                        <pic:blipFill>
                          <a:blip r:embed="rId22"/>
                          <a:stretch>
                            <a:fillRect/>
                          </a:stretch>
                        </pic:blipFill>
                        <pic:spPr>
                          <a:xfrm>
                            <a:off x="0" y="0"/>
                            <a:ext cx="1638300" cy="438150"/>
                          </a:xfrm>
                          <a:prstGeom prst="rect">
                            <a:avLst/>
                          </a:prstGeom>
                          <a:noFill/>
                          <a:ln>
                            <a:noFill/>
                          </a:ln>
                        </pic:spPr>
                      </pic:pic>
                    </a:graphicData>
                  </a:graphic>
                </wp:inline>
              </w:drawing>
            </w:r>
            <w:r>
              <w:rPr>
                <w:rFonts w:hint="default" w:ascii="Times New Roman" w:hAnsi="Times New Roman" w:eastAsia="仿宋" w:cs="Times New Roman"/>
                <w:color w:val="auto"/>
                <w:spacing w:val="0"/>
                <w:position w:val="0"/>
                <w:sz w:val="24"/>
                <w:szCs w:val="24"/>
                <w:highlight w:val="none"/>
                <w:lang w:bidi="ar"/>
              </w:rPr>
              <w:fldChar w:fldCharType="end"/>
            </w:r>
          </w:p>
          <w:p w14:paraId="21933BA2">
            <w:pPr>
              <w:keepNext w:val="0"/>
              <w:keepLines w:val="0"/>
              <w:pageBreakBefore w:val="0"/>
              <w:widowControl w:val="0"/>
              <w:kinsoku/>
              <w:wordWrap/>
              <w:overflowPunct w:val="0"/>
              <w:topLinePunct w:val="0"/>
              <w:bidi w:val="0"/>
              <w:adjustRightInd w:val="0"/>
              <w:snapToGrid w:val="0"/>
              <w:spacing w:line="360" w:lineRule="auto"/>
              <w:ind w:firstLine="480" w:firstLineChars="200"/>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bidi="ar"/>
              </w:rPr>
              <w:t>式中：L总——几个声压级相加后的总声压级，dB；</w:t>
            </w:r>
          </w:p>
          <w:p w14:paraId="0BC9E185">
            <w:pPr>
              <w:keepNext w:val="0"/>
              <w:keepLines w:val="0"/>
              <w:pageBreakBefore w:val="0"/>
              <w:widowControl w:val="0"/>
              <w:kinsoku/>
              <w:wordWrap/>
              <w:overflowPunct w:val="0"/>
              <w:topLinePunct w:val="0"/>
              <w:bidi w:val="0"/>
              <w:adjustRightInd w:val="0"/>
              <w:snapToGrid w:val="0"/>
              <w:spacing w:line="360" w:lineRule="auto"/>
              <w:ind w:firstLine="1200" w:firstLineChars="500"/>
              <w:textAlignment w:val="auto"/>
              <w:rPr>
                <w:rFonts w:hint="default" w:ascii="Times New Roman" w:hAnsi="Times New Roman" w:eastAsia="仿宋" w:cs="Times New Roman"/>
                <w:color w:val="auto"/>
                <w:spacing w:val="0"/>
                <w:position w:val="0"/>
                <w:sz w:val="24"/>
                <w:szCs w:val="24"/>
                <w:highlight w:val="none"/>
              </w:rPr>
            </w:pPr>
            <w:r>
              <w:rPr>
                <w:rFonts w:hint="default" w:ascii="Times New Roman" w:hAnsi="Times New Roman" w:eastAsia="仿宋" w:cs="Times New Roman"/>
                <w:color w:val="auto"/>
                <w:spacing w:val="0"/>
                <w:position w:val="0"/>
                <w:sz w:val="24"/>
                <w:szCs w:val="24"/>
                <w:highlight w:val="none"/>
                <w:lang w:bidi="ar"/>
              </w:rPr>
              <w:t>Li——某一个声压级，dB；</w:t>
            </w:r>
          </w:p>
          <w:p w14:paraId="766A75B8">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default" w:ascii="Times New Roman" w:hAnsi="Times New Roman" w:eastAsia="仿宋" w:cs="Times New Roman"/>
                <w:color w:val="000000" w:themeColor="text1"/>
                <w:sz w:val="24"/>
                <w:lang w:val="en-US" w:eastAsia="zh-CN"/>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②室内噪声预测</w:t>
            </w:r>
          </w:p>
          <w:p w14:paraId="4B608641">
            <w:pPr>
              <w:pStyle w:val="15"/>
              <w:keepNext w:val="0"/>
              <w:keepLines w:val="0"/>
              <w:pageBreakBefore w:val="0"/>
              <w:widowControl w:val="0"/>
              <w:kinsoku/>
              <w:wordWrap/>
              <w:overflowPunct/>
              <w:topLinePunct w:val="0"/>
              <w:bidi w:val="0"/>
              <w:adjustRightInd w:val="0"/>
              <w:snapToGrid w:val="0"/>
              <w:spacing w:after="0" w:line="360" w:lineRule="auto"/>
              <w:ind w:left="0" w:leftChars="0" w:firstLine="482"/>
              <w:textAlignment w:val="auto"/>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根据《环境影响评价技术导则</w:t>
            </w:r>
            <w:r>
              <w:rPr>
                <w:rFonts w:hint="eastAsia" w:eastAsia="仿宋"/>
                <w:color w:val="000000" w:themeColor="text1"/>
                <w:sz w:val="24"/>
                <w:highlight w:val="none"/>
                <w:lang w:val="en-US" w:eastAsia="zh-CN"/>
                <w14:textFill>
                  <w14:solidFill>
                    <w14:schemeClr w14:val="tx1"/>
                  </w14:solidFill>
                </w14:textFill>
              </w:rPr>
              <w:t>-</w:t>
            </w:r>
            <w:r>
              <w:rPr>
                <w:rFonts w:eastAsia="仿宋"/>
                <w:color w:val="000000" w:themeColor="text1"/>
                <w:sz w:val="24"/>
                <w:highlight w:val="none"/>
                <w14:textFill>
                  <w14:solidFill>
                    <w14:schemeClr w14:val="tx1"/>
                  </w14:solidFill>
                </w14:textFill>
              </w:rPr>
              <w:t>声环境》（HJ2.4-2021）的技术要求，本项目</w:t>
            </w:r>
            <w:r>
              <w:rPr>
                <w:rFonts w:hint="eastAsia" w:eastAsia="仿宋"/>
                <w:color w:val="000000" w:themeColor="text1"/>
                <w:sz w:val="24"/>
                <w:highlight w:val="none"/>
                <w:lang w:val="en-US" w:eastAsia="zh-CN"/>
                <w14:textFill>
                  <w14:solidFill>
                    <w14:schemeClr w14:val="tx1"/>
                  </w14:solidFill>
                </w14:textFill>
              </w:rPr>
              <w:t>砂石料加工</w:t>
            </w:r>
            <w:r>
              <w:rPr>
                <w:rFonts w:eastAsia="仿宋"/>
                <w:color w:val="000000" w:themeColor="text1"/>
                <w:sz w:val="24"/>
                <w:highlight w:val="none"/>
                <w14:textFill>
                  <w14:solidFill>
                    <w14:schemeClr w14:val="tx1"/>
                  </w14:solidFill>
                </w14:textFill>
              </w:rPr>
              <w:t>声源为室内，本次评价采取导则上的推荐室内声源模式进行声环境影响预测。</w:t>
            </w:r>
          </w:p>
          <w:p w14:paraId="3770DB71">
            <w:pPr>
              <w:pStyle w:val="13"/>
              <w:keepNext w:val="0"/>
              <w:keepLines w:val="0"/>
              <w:pageBreakBefore w:val="0"/>
              <w:widowControl w:val="0"/>
              <w:kinsoku/>
              <w:wordWrap/>
              <w:overflowPunct/>
              <w:topLinePunct w:val="0"/>
              <w:bidi w:val="0"/>
              <w:adjustRightInd w:val="0"/>
              <w:snapToGrid w:val="0"/>
              <w:spacing w:line="360" w:lineRule="auto"/>
              <w:ind w:firstLine="480"/>
              <w:textAlignment w:val="auto"/>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声源位于室内，室内声源可采用等效室外声源声功率级法进行计算。靠近开口处（或窗户）室内、室外某倍频带的声压级或A声级分别为Lp1和Lp2。若声源所在室内声场为近似扩散声场，则室外的倍频带率声压级可按下式求出：</w:t>
            </w:r>
          </w:p>
          <w:p w14:paraId="0C7BEDC3">
            <w:pPr>
              <w:pStyle w:val="13"/>
              <w:keepNext w:val="0"/>
              <w:keepLines w:val="0"/>
              <w:pageBreakBefore w:val="0"/>
              <w:widowControl w:val="0"/>
              <w:kinsoku/>
              <w:wordWrap/>
              <w:overflowPunct/>
              <w:topLinePunct w:val="0"/>
              <w:bidi w:val="0"/>
              <w:adjustRightInd w:val="0"/>
              <w:snapToGrid w:val="0"/>
              <w:spacing w:line="360" w:lineRule="auto"/>
              <w:ind w:firstLine="480"/>
              <w:textAlignment w:val="auto"/>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Lp2= Lp1-（TL+6）</w:t>
            </w:r>
          </w:p>
          <w:p w14:paraId="02F2257E">
            <w:pPr>
              <w:pStyle w:val="13"/>
              <w:keepNext w:val="0"/>
              <w:keepLines w:val="0"/>
              <w:pageBreakBefore w:val="0"/>
              <w:widowControl w:val="0"/>
              <w:kinsoku/>
              <w:wordWrap/>
              <w:overflowPunct/>
              <w:topLinePunct w:val="0"/>
              <w:bidi w:val="0"/>
              <w:adjustRightInd w:val="0"/>
              <w:snapToGrid w:val="0"/>
              <w:spacing w:line="360" w:lineRule="auto"/>
              <w:ind w:firstLine="480"/>
              <w:textAlignment w:val="auto"/>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式中：Lp1——靠近开口处（或窗户）室内某倍频带的声压级或A声级，dB；</w:t>
            </w:r>
          </w:p>
          <w:p w14:paraId="7EE70408">
            <w:pPr>
              <w:pStyle w:val="13"/>
              <w:keepNext w:val="0"/>
              <w:keepLines w:val="0"/>
              <w:pageBreakBefore w:val="0"/>
              <w:widowControl w:val="0"/>
              <w:kinsoku/>
              <w:wordWrap/>
              <w:overflowPunct/>
              <w:topLinePunct w:val="0"/>
              <w:bidi w:val="0"/>
              <w:adjustRightInd w:val="0"/>
              <w:snapToGrid w:val="0"/>
              <w:spacing w:line="360" w:lineRule="auto"/>
              <w:ind w:firstLine="480"/>
              <w:textAlignment w:val="auto"/>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Lp2——靠近开口处（或窗户）室外某倍频带的声压级或A声级，dB；</w:t>
            </w:r>
          </w:p>
          <w:p w14:paraId="2DC628E8">
            <w:pPr>
              <w:pStyle w:val="13"/>
              <w:keepNext w:val="0"/>
              <w:keepLines w:val="0"/>
              <w:pageBreakBefore w:val="0"/>
              <w:widowControl w:val="0"/>
              <w:kinsoku/>
              <w:wordWrap/>
              <w:overflowPunct/>
              <w:topLinePunct w:val="0"/>
              <w:bidi w:val="0"/>
              <w:adjustRightInd w:val="0"/>
              <w:snapToGrid w:val="0"/>
              <w:spacing w:line="360" w:lineRule="auto"/>
              <w:ind w:firstLine="480"/>
              <w:textAlignment w:val="auto"/>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TL——隔墙（或窗户）倍频带或A声级的隔声量，dB。</w:t>
            </w:r>
          </w:p>
          <w:p w14:paraId="572358C1">
            <w:pPr>
              <w:pStyle w:val="13"/>
              <w:keepNext w:val="0"/>
              <w:keepLines w:val="0"/>
              <w:pageBreakBefore w:val="0"/>
              <w:widowControl w:val="0"/>
              <w:kinsoku/>
              <w:wordWrap/>
              <w:overflowPunct/>
              <w:topLinePunct w:val="0"/>
              <w:bidi w:val="0"/>
              <w:adjustRightInd w:val="0"/>
              <w:snapToGrid w:val="0"/>
              <w:spacing w:line="360" w:lineRule="auto"/>
              <w:ind w:firstLine="480"/>
              <w:textAlignment w:val="auto"/>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然后按式计算出所有室内声源在围护结构处产生i倍频带叠加声压级：</w:t>
            </w:r>
          </w:p>
          <w:p w14:paraId="76895204">
            <w:pPr>
              <w:pStyle w:val="13"/>
              <w:snapToGrid w:val="0"/>
              <w:spacing w:line="360" w:lineRule="auto"/>
              <w:ind w:firstLine="480"/>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drawing>
                <wp:inline distT="0" distB="0" distL="114300" distR="114300">
                  <wp:extent cx="1724025" cy="447675"/>
                  <wp:effectExtent l="0" t="0" r="9525" b="952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23"/>
                          <a:stretch>
                            <a:fillRect/>
                          </a:stretch>
                        </pic:blipFill>
                        <pic:spPr>
                          <a:xfrm>
                            <a:off x="0" y="0"/>
                            <a:ext cx="1724025" cy="447675"/>
                          </a:xfrm>
                          <a:prstGeom prst="rect">
                            <a:avLst/>
                          </a:prstGeom>
                          <a:noFill/>
                          <a:ln>
                            <a:noFill/>
                          </a:ln>
                        </pic:spPr>
                      </pic:pic>
                    </a:graphicData>
                  </a:graphic>
                </wp:inline>
              </w:drawing>
            </w:r>
          </w:p>
          <w:p w14:paraId="7DDB9D73">
            <w:pPr>
              <w:pStyle w:val="13"/>
              <w:snapToGrid w:val="0"/>
              <w:spacing w:line="360" w:lineRule="auto"/>
              <w:ind w:firstLine="480"/>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式中：Lplt——靠近围护结构处室内N个声源i倍频带叠加声压级，dB；</w:t>
            </w:r>
          </w:p>
          <w:p w14:paraId="0CEE28FD">
            <w:pPr>
              <w:pStyle w:val="13"/>
              <w:snapToGrid w:val="0"/>
              <w:spacing w:line="360" w:lineRule="auto"/>
              <w:ind w:firstLine="480"/>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Lplij——室内j声源i倍频带的声压级，dB；</w:t>
            </w:r>
          </w:p>
          <w:p w14:paraId="2BAA1E76">
            <w:pPr>
              <w:pStyle w:val="13"/>
              <w:snapToGrid w:val="0"/>
              <w:spacing w:line="360" w:lineRule="auto"/>
              <w:ind w:firstLine="480"/>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N——室内声源总数。</w:t>
            </w:r>
          </w:p>
          <w:p w14:paraId="6BF3BEF5">
            <w:pPr>
              <w:pStyle w:val="13"/>
              <w:snapToGrid w:val="0"/>
              <w:spacing w:line="360" w:lineRule="auto"/>
              <w:ind w:firstLine="480"/>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在室内近似为扩散声场时，按式计算出靠近室外围护结构处的声压级：</w:t>
            </w:r>
          </w:p>
          <w:p w14:paraId="168713C0">
            <w:pPr>
              <w:pStyle w:val="13"/>
              <w:snapToGrid w:val="0"/>
              <w:spacing w:line="360" w:lineRule="auto"/>
              <w:ind w:firstLine="480"/>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Lp2i（T）= Lp1i（T）-（TLi+6）</w:t>
            </w:r>
          </w:p>
          <w:p w14:paraId="067693E9">
            <w:pPr>
              <w:pStyle w:val="13"/>
              <w:snapToGrid w:val="0"/>
              <w:spacing w:line="360" w:lineRule="auto"/>
              <w:ind w:firstLine="480"/>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式中：Lp2i（T）——靠近围护结构处室外N个声源i倍频带叠加声压级，dB；</w:t>
            </w:r>
          </w:p>
          <w:p w14:paraId="7D998532">
            <w:pPr>
              <w:pStyle w:val="13"/>
              <w:snapToGrid w:val="0"/>
              <w:spacing w:line="360" w:lineRule="auto"/>
              <w:ind w:firstLine="480"/>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Lp1i（T）——靠近围护结构处室内N个声源i倍频带叠加声压级，dB；</w:t>
            </w:r>
          </w:p>
          <w:p w14:paraId="22030D94">
            <w:pPr>
              <w:pStyle w:val="13"/>
              <w:snapToGrid w:val="0"/>
              <w:spacing w:line="360" w:lineRule="auto"/>
              <w:ind w:firstLine="480"/>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TLi——围护结构i倍频带的隔声量，dB。</w:t>
            </w:r>
          </w:p>
          <w:p w14:paraId="578A9B0C">
            <w:pPr>
              <w:pStyle w:val="13"/>
              <w:snapToGrid w:val="0"/>
              <w:spacing w:line="360" w:lineRule="auto"/>
              <w:ind w:firstLine="480"/>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然后按照下式将室外声源的声压级和透过面积换算成等效的室外声源，计算出中心位置位于透声面积（S）处的等效声源的倍频带声功率级。</w:t>
            </w:r>
          </w:p>
          <w:p w14:paraId="76AE9ADE">
            <w:pPr>
              <w:pStyle w:val="13"/>
              <w:snapToGrid w:val="0"/>
              <w:spacing w:line="360" w:lineRule="auto"/>
              <w:ind w:firstLine="480"/>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Lw= Lp2（T）+10LgS</w:t>
            </w:r>
          </w:p>
          <w:p w14:paraId="701AD994">
            <w:pPr>
              <w:pStyle w:val="13"/>
              <w:snapToGrid w:val="0"/>
              <w:spacing w:line="360" w:lineRule="auto"/>
              <w:ind w:firstLine="480"/>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式中：Lw——中心位置位于透声面积（S）处的等效声源的频带叠加声压级，dB；</w:t>
            </w:r>
          </w:p>
          <w:p w14:paraId="52E05383">
            <w:pPr>
              <w:pStyle w:val="13"/>
              <w:snapToGrid w:val="0"/>
              <w:spacing w:line="360" w:lineRule="auto"/>
              <w:ind w:firstLine="480"/>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Lp2（T）——靠近围护结构处室外声源的声压级，dB；</w:t>
            </w:r>
          </w:p>
          <w:p w14:paraId="10431159">
            <w:pPr>
              <w:pStyle w:val="13"/>
              <w:snapToGrid w:val="0"/>
              <w:spacing w:line="360" w:lineRule="auto"/>
              <w:ind w:firstLine="480"/>
              <w:rPr>
                <w:rFonts w:ascii="Times New Roman" w:eastAsia="仿宋" w:cs="Times New Roman"/>
                <w:color w:val="000000" w:themeColor="text1"/>
                <w:kern w:val="2"/>
                <w:highlight w:val="none"/>
                <w14:textFill>
                  <w14:solidFill>
                    <w14:schemeClr w14:val="tx1"/>
                  </w14:solidFill>
                </w14:textFill>
              </w:rPr>
            </w:pPr>
            <w:r>
              <w:rPr>
                <w:rFonts w:ascii="Times New Roman" w:eastAsia="仿宋" w:cs="Times New Roman"/>
                <w:color w:val="000000" w:themeColor="text1"/>
                <w:kern w:val="2"/>
                <w:highlight w:val="none"/>
                <w14:textFill>
                  <w14:solidFill>
                    <w14:schemeClr w14:val="tx1"/>
                  </w14:solidFill>
                </w14:textFill>
              </w:rPr>
              <w:t>S——透声面积，m2。</w:t>
            </w:r>
          </w:p>
          <w:p w14:paraId="5AA24DEF">
            <w:pPr>
              <w:pStyle w:val="15"/>
              <w:adjustRightInd w:val="0"/>
              <w:snapToGrid w:val="0"/>
              <w:spacing w:after="0" w:line="360" w:lineRule="auto"/>
              <w:ind w:left="0" w:leftChars="0"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drawing>
                <wp:inline distT="0" distB="0" distL="114300" distR="114300">
                  <wp:extent cx="1736090" cy="274320"/>
                  <wp:effectExtent l="0" t="0" r="16510" b="1143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24"/>
                          <a:stretch>
                            <a:fillRect/>
                          </a:stretch>
                        </pic:blipFill>
                        <pic:spPr>
                          <a:xfrm>
                            <a:off x="0" y="0"/>
                            <a:ext cx="1736090" cy="274320"/>
                          </a:xfrm>
                          <a:prstGeom prst="rect">
                            <a:avLst/>
                          </a:prstGeom>
                          <a:noFill/>
                          <a:ln>
                            <a:noFill/>
                          </a:ln>
                        </pic:spPr>
                      </pic:pic>
                    </a:graphicData>
                  </a:graphic>
                </wp:inline>
              </w:drawing>
            </w:r>
            <w:r>
              <w:rPr>
                <w:rFonts w:eastAsia="仿宋"/>
                <w:color w:val="000000" w:themeColor="text1"/>
                <w:sz w:val="24"/>
                <w:highlight w:val="none"/>
                <w14:textFill>
                  <w14:solidFill>
                    <w14:schemeClr w14:val="tx1"/>
                  </w14:solidFill>
                </w14:textFill>
              </w:rPr>
              <w:t xml:space="preserve">                                （A.5）</w:t>
            </w:r>
          </w:p>
          <w:p w14:paraId="5D959F4E">
            <w:pPr>
              <w:pStyle w:val="15"/>
              <w:adjustRightInd w:val="0"/>
              <w:snapToGrid w:val="0"/>
              <w:spacing w:after="0" w:line="360" w:lineRule="auto"/>
              <w:ind w:left="0" w:leftChars="0"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式中：</w:t>
            </w:r>
          </w:p>
          <w:p w14:paraId="1B9FEF43">
            <w:pPr>
              <w:pStyle w:val="15"/>
              <w:adjustRightInd w:val="0"/>
              <w:snapToGrid w:val="0"/>
              <w:spacing w:after="0" w:line="360" w:lineRule="auto"/>
              <w:ind w:left="0" w:leftChars="0"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Lp（r）—预测点处声压级，dB（A）；</w:t>
            </w:r>
          </w:p>
          <w:p w14:paraId="30091808">
            <w:pPr>
              <w:pStyle w:val="15"/>
              <w:adjustRightInd w:val="0"/>
              <w:snapToGrid w:val="0"/>
              <w:spacing w:after="0" w:line="360" w:lineRule="auto"/>
              <w:ind w:left="0" w:leftChars="0"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Lp（r0）—参考位置r0处的声压级，dB（A）；</w:t>
            </w:r>
          </w:p>
          <w:p w14:paraId="247864F7">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r—预测点距声源的距离；</w:t>
            </w:r>
          </w:p>
          <w:p w14:paraId="1A4E6FDF">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r0—参考位置距声源的距离。</w:t>
            </w:r>
          </w:p>
          <w:p w14:paraId="13D8B686">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第二项表示了点声源的几何发散衰减：</w:t>
            </w:r>
          </w:p>
          <w:p w14:paraId="32E1FB8F">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drawing>
                <wp:inline distT="0" distB="0" distL="114300" distR="114300">
                  <wp:extent cx="1188085" cy="365760"/>
                  <wp:effectExtent l="0" t="0" r="12065" b="1524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25"/>
                          <a:stretch>
                            <a:fillRect/>
                          </a:stretch>
                        </pic:blipFill>
                        <pic:spPr>
                          <a:xfrm>
                            <a:off x="0" y="0"/>
                            <a:ext cx="1188085" cy="365760"/>
                          </a:xfrm>
                          <a:prstGeom prst="rect">
                            <a:avLst/>
                          </a:prstGeom>
                          <a:noFill/>
                          <a:ln>
                            <a:noFill/>
                          </a:ln>
                        </pic:spPr>
                      </pic:pic>
                    </a:graphicData>
                  </a:graphic>
                </wp:inline>
              </w:drawing>
            </w:r>
            <w:r>
              <w:rPr>
                <w:rFonts w:eastAsia="仿宋"/>
                <w:color w:val="000000" w:themeColor="text1"/>
                <w:sz w:val="24"/>
                <w:highlight w:val="none"/>
                <w14:textFill>
                  <w14:solidFill>
                    <w14:schemeClr w14:val="tx1"/>
                  </w14:solidFill>
                </w14:textFill>
              </w:rPr>
              <w:t xml:space="preserve">                                     （A.6）</w:t>
            </w:r>
          </w:p>
          <w:p w14:paraId="49DC18D9">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式中：Adiv—几何发散引起的衰减，dB；</w:t>
            </w:r>
          </w:p>
          <w:p w14:paraId="1B34A5AD">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r—预测点距声源的距离；</w:t>
            </w:r>
          </w:p>
          <w:p w14:paraId="7194073D">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 xml:space="preserve">r0—参考位置距声源的距离。 </w:t>
            </w:r>
          </w:p>
          <w:p w14:paraId="05E79B76">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如果已知点声源的倍频带声功率级或 A 计权声功率级（LAw），且声源处于自由声场，则式（A.5） 等效为式（A.7）或式（A.8）：</w:t>
            </w:r>
          </w:p>
          <w:p w14:paraId="38225D48">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drawing>
                <wp:inline distT="0" distB="0" distL="114300" distR="114300">
                  <wp:extent cx="1645285" cy="365760"/>
                  <wp:effectExtent l="0" t="0" r="12065" b="15240"/>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26"/>
                          <a:stretch>
                            <a:fillRect/>
                          </a:stretch>
                        </pic:blipFill>
                        <pic:spPr>
                          <a:xfrm>
                            <a:off x="0" y="0"/>
                            <a:ext cx="1645285" cy="365760"/>
                          </a:xfrm>
                          <a:prstGeom prst="rect">
                            <a:avLst/>
                          </a:prstGeom>
                          <a:noFill/>
                          <a:ln>
                            <a:noFill/>
                          </a:ln>
                        </pic:spPr>
                      </pic:pic>
                    </a:graphicData>
                  </a:graphic>
                </wp:inline>
              </w:drawing>
            </w:r>
            <w:r>
              <w:rPr>
                <w:rFonts w:eastAsia="仿宋"/>
                <w:color w:val="000000" w:themeColor="text1"/>
                <w:sz w:val="24"/>
                <w:highlight w:val="none"/>
                <w14:textFill>
                  <w14:solidFill>
                    <w14:schemeClr w14:val="tx1"/>
                  </w14:solidFill>
                </w14:textFill>
              </w:rPr>
              <w:t xml:space="preserve">                                 （A.7）</w:t>
            </w:r>
          </w:p>
          <w:p w14:paraId="7EA3F219">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式中：Lp（r）——预测点处声压级，dB；</w:t>
            </w:r>
          </w:p>
          <w:p w14:paraId="1EF83E5F">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 xml:space="preserve"> Lw ——由点声源产生的倍频带声功率级，dB；</w:t>
            </w:r>
          </w:p>
          <w:p w14:paraId="04E74CFA">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r ——预测点距声源的距离。</w:t>
            </w:r>
          </w:p>
          <w:p w14:paraId="59CA9C16">
            <w:pPr>
              <w:adjustRightInd w:val="0"/>
              <w:snapToGrid w:val="0"/>
              <w:spacing w:line="360" w:lineRule="auto"/>
              <w:ind w:firstLine="480"/>
              <w:jc w:val="left"/>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LA（r）=LAW-20lgr-11                                    （A.8）</w:t>
            </w:r>
          </w:p>
          <w:p w14:paraId="26EFD157">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式中：LA（r）——距声源 r 处的 A 声级，dB(A)；</w:t>
            </w:r>
          </w:p>
          <w:p w14:paraId="125E33A5">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LAw——点声源 A 计权声功率级，dB；</w:t>
            </w:r>
          </w:p>
          <w:p w14:paraId="62B10410">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r ——预测点距声源的距离。</w:t>
            </w:r>
          </w:p>
          <w:p w14:paraId="1878C121">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 xml:space="preserve"> 如果声源处于半自由声场，则式（A.5）等效为式（A.9）或式（A.10）：</w:t>
            </w:r>
          </w:p>
          <w:p w14:paraId="4EE7A4A2">
            <w:pPr>
              <w:adjustRightInd w:val="0"/>
              <w:snapToGrid w:val="0"/>
              <w:spacing w:line="360" w:lineRule="auto"/>
              <w:ind w:firstLine="480"/>
              <w:jc w:val="left"/>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Lp（r）=LW-20lgr-8                                       （A.9）</w:t>
            </w:r>
          </w:p>
          <w:p w14:paraId="04BB9DB0">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 xml:space="preserve"> 式中：Lp(r) ——预测点处声压级，dB；</w:t>
            </w:r>
          </w:p>
          <w:p w14:paraId="132F27A4">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Lw ——由点声源产生的倍频带声功率级，dB；</w:t>
            </w:r>
          </w:p>
          <w:p w14:paraId="3E72A916">
            <w:pPr>
              <w:adjustRightInd w:val="0"/>
              <w:snapToGrid w:val="0"/>
              <w:spacing w:line="360" w:lineRule="auto"/>
              <w:ind w:firstLine="480"/>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r ——预测点距声源的距离。</w:t>
            </w:r>
          </w:p>
          <w:p w14:paraId="14004B7E">
            <w:pPr>
              <w:adjustRightInd w:val="0"/>
              <w:snapToGrid w:val="0"/>
              <w:spacing w:line="360" w:lineRule="auto"/>
              <w:ind w:firstLine="480"/>
              <w:jc w:val="left"/>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LA（r）=LAW-20lgr-8                                     （A.10）</w:t>
            </w:r>
          </w:p>
          <w:p w14:paraId="0A70A047">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式中：LA（r）——距声源 r 处的 A 声级，dB</w:t>
            </w:r>
            <w:r>
              <w:rPr>
                <w:rFonts w:hint="eastAsia" w:eastAsia="仿宋"/>
                <w:color w:val="000000" w:themeColor="text1"/>
                <w:sz w:val="24"/>
                <w:highlight w:val="none"/>
                <w:lang w:eastAsia="zh-CN"/>
                <w14:textFill>
                  <w14:solidFill>
                    <w14:schemeClr w14:val="tx1"/>
                  </w14:solidFill>
                </w14:textFill>
              </w:rPr>
              <w:t>（</w:t>
            </w:r>
            <w:r>
              <w:rPr>
                <w:rFonts w:eastAsia="仿宋"/>
                <w:color w:val="000000" w:themeColor="text1"/>
                <w:sz w:val="24"/>
                <w:highlight w:val="none"/>
                <w14:textFill>
                  <w14:solidFill>
                    <w14:schemeClr w14:val="tx1"/>
                  </w14:solidFill>
                </w14:textFill>
              </w:rPr>
              <w:t>A</w:t>
            </w:r>
            <w:r>
              <w:rPr>
                <w:rFonts w:hint="eastAsia" w:eastAsia="仿宋"/>
                <w:color w:val="000000" w:themeColor="text1"/>
                <w:sz w:val="24"/>
                <w:highlight w:val="none"/>
                <w:lang w:eastAsia="zh-CN"/>
                <w14:textFill>
                  <w14:solidFill>
                    <w14:schemeClr w14:val="tx1"/>
                  </w14:solidFill>
                </w14:textFill>
              </w:rPr>
              <w:t>）</w:t>
            </w:r>
            <w:r>
              <w:rPr>
                <w:rFonts w:eastAsia="仿宋"/>
                <w:color w:val="000000" w:themeColor="text1"/>
                <w:sz w:val="24"/>
                <w:highlight w:val="none"/>
                <w14:textFill>
                  <w14:solidFill>
                    <w14:schemeClr w14:val="tx1"/>
                  </w14:solidFill>
                </w14:textFill>
              </w:rPr>
              <w:t>；</w:t>
            </w:r>
          </w:p>
          <w:p w14:paraId="1CED0AB4">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LAw——点声源 A 计权声功率级，dB；</w:t>
            </w:r>
          </w:p>
          <w:p w14:paraId="4CA33B2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eastAsia="仿宋"/>
                <w:color w:val="000000" w:themeColor="text1"/>
                <w:sz w:val="24"/>
                <w:highlight w:val="none"/>
                <w14:textFill>
                  <w14:solidFill>
                    <w14:schemeClr w14:val="tx1"/>
                  </w14:solidFill>
                </w14:textFill>
              </w:rPr>
            </w:pPr>
            <w:r>
              <w:rPr>
                <w:rFonts w:eastAsia="仿宋"/>
                <w:color w:val="000000" w:themeColor="text1"/>
                <w:sz w:val="24"/>
                <w:highlight w:val="none"/>
                <w14:textFill>
                  <w14:solidFill>
                    <w14:schemeClr w14:val="tx1"/>
                  </w14:solidFill>
                </w14:textFill>
              </w:rPr>
              <w:t>r ——预测点距声源的距离。</w:t>
            </w:r>
          </w:p>
          <w:p w14:paraId="366ACDD2">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②</w:t>
            </w:r>
            <w:r>
              <w:rPr>
                <w:rFonts w:hint="default" w:ascii="Times New Roman" w:hAnsi="Times New Roman" w:eastAsia="仿宋" w:cs="Times New Roman"/>
                <w:color w:val="000000" w:themeColor="text1"/>
                <w:sz w:val="24"/>
                <w:lang w:val="en-US" w:eastAsia="zh-CN"/>
                <w14:textFill>
                  <w14:solidFill>
                    <w14:schemeClr w14:val="tx1"/>
                  </w14:solidFill>
                </w14:textFill>
              </w:rPr>
              <w:t>室外噪声预测</w:t>
            </w:r>
          </w:p>
          <w:p w14:paraId="5F65001C">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根据《环境影响评价技术导则</w:t>
            </w:r>
            <w:r>
              <w:rPr>
                <w:rFonts w:hint="eastAsia" w:ascii="仿宋" w:hAnsi="仿宋" w:eastAsia="仿宋"/>
                <w:color w:val="000000" w:themeColor="text1"/>
                <w:sz w:val="24"/>
                <w:lang w:eastAsia="zh-CN"/>
                <w14:textFill>
                  <w14:solidFill>
                    <w14:schemeClr w14:val="tx1"/>
                  </w14:solidFill>
                </w14:textFill>
              </w:rPr>
              <w:t>－</w:t>
            </w:r>
            <w:r>
              <w:rPr>
                <w:rFonts w:ascii="仿宋" w:hAnsi="仿宋" w:eastAsia="仿宋"/>
                <w:color w:val="000000" w:themeColor="text1"/>
                <w:sz w:val="24"/>
                <w14:textFill>
                  <w14:solidFill>
                    <w14:schemeClr w14:val="tx1"/>
                  </w14:solidFill>
                </w14:textFill>
              </w:rPr>
              <w:t>声环境》（</w:t>
            </w:r>
            <w:r>
              <w:rPr>
                <w:rFonts w:eastAsia="仿宋"/>
                <w:color w:val="000000" w:themeColor="text1"/>
                <w:sz w:val="24"/>
                <w14:textFill>
                  <w14:solidFill>
                    <w14:schemeClr w14:val="tx1"/>
                  </w14:solidFill>
                </w14:textFill>
              </w:rPr>
              <w:t>HJ2.4-2021</w:t>
            </w:r>
            <w:r>
              <w:rPr>
                <w:rFonts w:ascii="仿宋" w:hAnsi="仿宋" w:eastAsia="仿宋"/>
                <w:color w:val="000000" w:themeColor="text1"/>
                <w:sz w:val="24"/>
                <w14:textFill>
                  <w14:solidFill>
                    <w14:schemeClr w14:val="tx1"/>
                  </w14:solidFill>
                </w14:textFill>
              </w:rPr>
              <w:t>）的技术要求，本项目声源为室</w:t>
            </w:r>
            <w:r>
              <w:rPr>
                <w:rFonts w:hint="eastAsia" w:ascii="仿宋" w:hAnsi="仿宋" w:eastAsia="仿宋"/>
                <w:color w:val="000000" w:themeColor="text1"/>
                <w:sz w:val="24"/>
                <w14:textFill>
                  <w14:solidFill>
                    <w14:schemeClr w14:val="tx1"/>
                  </w14:solidFill>
                </w14:textFill>
              </w:rPr>
              <w:t>外</w:t>
            </w:r>
            <w:r>
              <w:rPr>
                <w:rFonts w:ascii="仿宋" w:hAnsi="仿宋" w:eastAsia="仿宋"/>
                <w:color w:val="000000" w:themeColor="text1"/>
                <w:sz w:val="24"/>
                <w14:textFill>
                  <w14:solidFill>
                    <w14:schemeClr w14:val="tx1"/>
                  </w14:solidFill>
                </w14:textFill>
              </w:rPr>
              <w:t>，本次评价采取导则上的推荐</w:t>
            </w:r>
            <w:r>
              <w:rPr>
                <w:rFonts w:hint="eastAsia" w:ascii="仿宋" w:hAnsi="仿宋" w:eastAsia="仿宋"/>
                <w:color w:val="000000" w:themeColor="text1"/>
                <w:sz w:val="24"/>
                <w14:textFill>
                  <w14:solidFill>
                    <w14:schemeClr w14:val="tx1"/>
                  </w14:solidFill>
                </w14:textFill>
              </w:rPr>
              <w:t>室外</w:t>
            </w:r>
            <w:r>
              <w:rPr>
                <w:rFonts w:ascii="仿宋" w:hAnsi="仿宋" w:eastAsia="仿宋"/>
                <w:color w:val="000000" w:themeColor="text1"/>
                <w:sz w:val="24"/>
                <w14:textFill>
                  <w14:solidFill>
                    <w14:schemeClr w14:val="tx1"/>
                  </w14:solidFill>
                </w14:textFill>
              </w:rPr>
              <w:t>声源模式进行声环境影响预测。</w:t>
            </w:r>
          </w:p>
          <w:p w14:paraId="55B9B747">
            <w:pPr>
              <w:adjustRightInd w:val="0"/>
              <w:snapToGrid w:val="0"/>
              <w:spacing w:line="360" w:lineRule="auto"/>
              <w:ind w:firstLine="420" w:firstLineChars="200"/>
              <w:rPr>
                <w:rFonts w:eastAsia="仿宋"/>
                <w:color w:val="000000" w:themeColor="text1"/>
                <w:sz w:val="24"/>
                <w14:textFill>
                  <w14:solidFill>
                    <w14:schemeClr w14:val="tx1"/>
                  </w14:solidFill>
                </w14:textFill>
              </w:rPr>
            </w:pPr>
            <w:r>
              <w:rPr>
                <w:color w:val="000000" w:themeColor="text1"/>
                <w:szCs w:val="21"/>
                <w14:textFill>
                  <w14:solidFill>
                    <w14:schemeClr w14:val="tx1"/>
                  </w14:solidFill>
                </w14:textFill>
              </w:rPr>
              <w:drawing>
                <wp:inline distT="0" distB="0" distL="114300" distR="114300">
                  <wp:extent cx="2638425" cy="247650"/>
                  <wp:effectExtent l="0" t="0" r="9525" b="0"/>
                  <wp:docPr id="12" name="图片 9" descr="C:\Users\ASUS\AppData\Local\Temp\ksohtml133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C:\Users\ASUS\AppData\Local\Temp\ksohtml1336\wps1.jpg"/>
                          <pic:cNvPicPr>
                            <a:picLocks noChangeAspect="1"/>
                          </pic:cNvPicPr>
                        </pic:nvPicPr>
                        <pic:blipFill>
                          <a:blip r:embed="rId27"/>
                          <a:stretch>
                            <a:fillRect/>
                          </a:stretch>
                        </pic:blipFill>
                        <pic:spPr>
                          <a:xfrm>
                            <a:off x="0" y="0"/>
                            <a:ext cx="2638425" cy="247650"/>
                          </a:xfrm>
                          <a:prstGeom prst="rect">
                            <a:avLst/>
                          </a:prstGeom>
                          <a:noFill/>
                          <a:ln>
                            <a:noFill/>
                          </a:ln>
                        </pic:spPr>
                      </pic:pic>
                    </a:graphicData>
                  </a:graphic>
                </wp:inline>
              </w:drawing>
            </w:r>
            <w:r>
              <w:rPr>
                <w:rFonts w:eastAsia="仿宋"/>
                <w:color w:val="000000" w:themeColor="text1"/>
                <w:sz w:val="24"/>
                <w14:textFill>
                  <w14:solidFill>
                    <w14:schemeClr w14:val="tx1"/>
                  </w14:solidFill>
                </w14:textFill>
              </w:rPr>
              <w:t xml:space="preserve"> </w:t>
            </w:r>
          </w:p>
          <w:p w14:paraId="0606D787">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 xml:space="preserve"> </w:t>
            </w:r>
            <w:r>
              <w:rPr>
                <w:rFonts w:ascii="仿宋" w:hAnsi="仿宋" w:eastAsia="仿宋"/>
                <w:color w:val="000000" w:themeColor="text1"/>
                <w:sz w:val="24"/>
                <w14:textFill>
                  <w14:solidFill>
                    <w14:schemeClr w14:val="tx1"/>
                  </w14:solidFill>
                </w14:textFill>
              </w:rPr>
              <w:t>式中：</w:t>
            </w:r>
          </w:p>
          <w:p w14:paraId="3C13ACEC">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L</w:t>
            </w:r>
            <w:r>
              <w:rPr>
                <w:rFonts w:hint="eastAsia" w:eastAsia="仿宋"/>
                <w:color w:val="000000" w:themeColor="text1"/>
                <w:sz w:val="24"/>
                <w14:textFill>
                  <w14:solidFill>
                    <w14:schemeClr w14:val="tx1"/>
                  </w14:solidFill>
                </w14:textFill>
              </w:rPr>
              <w:t>p</w:t>
            </w:r>
            <w:r>
              <w:rPr>
                <w:rFonts w:hint="eastAsia"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r</w:t>
            </w:r>
            <w:r>
              <w:rPr>
                <w:rFonts w:hint="eastAsia"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预测点处声压级</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6CE7EE41">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L</w:t>
            </w:r>
            <w:r>
              <w:rPr>
                <w:rFonts w:hint="eastAsia" w:eastAsia="仿宋"/>
                <w:color w:val="000000" w:themeColor="text1"/>
                <w:sz w:val="24"/>
                <w:vertAlign w:val="subscript"/>
                <w14:textFill>
                  <w14:solidFill>
                    <w14:schemeClr w14:val="tx1"/>
                  </w14:solidFill>
                </w14:textFill>
              </w:rPr>
              <w:t>w</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由点声源产生的声功率级</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6DE2D49F">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D</w:t>
            </w:r>
            <w:r>
              <w:rPr>
                <w:rFonts w:hint="eastAsia" w:eastAsia="仿宋"/>
                <w:color w:val="000000" w:themeColor="text1"/>
                <w:sz w:val="24"/>
                <w14:textFill>
                  <w14:solidFill>
                    <w14:schemeClr w14:val="tx1"/>
                  </w14:solidFill>
                </w14:textFill>
              </w:rPr>
              <w:t>c</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指向性校正，它描述电声源的等效连续声压级与产生声功率级</w:t>
            </w:r>
            <w:r>
              <w:rPr>
                <w:rFonts w:hint="eastAsia" w:eastAsia="仿宋"/>
                <w:color w:val="000000" w:themeColor="text1"/>
                <w:sz w:val="24"/>
                <w14:textFill>
                  <w14:solidFill>
                    <w14:schemeClr w14:val="tx1"/>
                  </w14:solidFill>
                </w14:textFill>
              </w:rPr>
              <w:t>Lw</w:t>
            </w:r>
            <w:r>
              <w:rPr>
                <w:rFonts w:hint="eastAsia" w:ascii="仿宋" w:hAnsi="仿宋" w:eastAsia="仿宋"/>
                <w:color w:val="000000" w:themeColor="text1"/>
                <w:sz w:val="24"/>
                <w14:textFill>
                  <w14:solidFill>
                    <w14:schemeClr w14:val="tx1"/>
                  </w14:solidFill>
                </w14:textFill>
              </w:rPr>
              <w:t>的全向点声源在规定方向的声级的偏差程度</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72316139">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A</w:t>
            </w:r>
            <w:r>
              <w:rPr>
                <w:rFonts w:hint="eastAsia" w:eastAsia="仿宋"/>
                <w:color w:val="000000" w:themeColor="text1"/>
                <w:sz w:val="24"/>
                <w14:textFill>
                  <w14:solidFill>
                    <w14:schemeClr w14:val="tx1"/>
                  </w14:solidFill>
                </w14:textFill>
              </w:rPr>
              <w:t>div</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几何发散引起的衰减</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101F9472">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A</w:t>
            </w:r>
            <w:r>
              <w:rPr>
                <w:rFonts w:hint="eastAsia" w:eastAsia="仿宋"/>
                <w:color w:val="000000" w:themeColor="text1"/>
                <w:sz w:val="24"/>
                <w14:textFill>
                  <w14:solidFill>
                    <w14:schemeClr w14:val="tx1"/>
                  </w14:solidFill>
                </w14:textFill>
              </w:rPr>
              <w:t>atm</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大气吸收引起的衰减</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765A66A8">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A</w:t>
            </w:r>
            <w:r>
              <w:rPr>
                <w:rFonts w:hint="eastAsia" w:eastAsia="仿宋"/>
                <w:color w:val="000000" w:themeColor="text1"/>
                <w:sz w:val="24"/>
                <w14:textFill>
                  <w14:solidFill>
                    <w14:schemeClr w14:val="tx1"/>
                  </w14:solidFill>
                </w14:textFill>
              </w:rPr>
              <w:t>gr</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地面效应引起的衰减</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38D36559">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A</w:t>
            </w:r>
            <w:r>
              <w:rPr>
                <w:rFonts w:hint="eastAsia" w:eastAsia="仿宋"/>
                <w:color w:val="000000" w:themeColor="text1"/>
                <w:sz w:val="24"/>
                <w14:textFill>
                  <w14:solidFill>
                    <w14:schemeClr w14:val="tx1"/>
                  </w14:solidFill>
                </w14:textFill>
              </w:rPr>
              <w:t>bar</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障碍物屏蔽引起的衰减</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0F8D1F78">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A</w:t>
            </w:r>
            <w:r>
              <w:rPr>
                <w:rFonts w:hint="eastAsia" w:eastAsia="仿宋"/>
                <w:color w:val="000000" w:themeColor="text1"/>
                <w:sz w:val="24"/>
                <w14:textFill>
                  <w14:solidFill>
                    <w14:schemeClr w14:val="tx1"/>
                  </w14:solidFill>
                </w14:textFill>
              </w:rPr>
              <w:t>misc</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其他多方面效应引起的衰减</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37BC6CEE">
            <w:pPr>
              <w:adjustRightInd w:val="0"/>
              <w:snapToGrid w:val="0"/>
              <w:spacing w:beforeAutospacing="1" w:line="360" w:lineRule="auto"/>
              <w:ind w:firstLine="420" w:firstLineChars="200"/>
              <w:rPr>
                <w:rFonts w:eastAsia="仿宋"/>
                <w:color w:val="000000" w:themeColor="text1"/>
                <w:sz w:val="24"/>
                <w14:textFill>
                  <w14:solidFill>
                    <w14:schemeClr w14:val="tx1"/>
                  </w14:solidFill>
                </w14:textFill>
              </w:rPr>
            </w:pPr>
            <w:r>
              <w:rPr>
                <w:color w:val="000000" w:themeColor="text1"/>
                <w:szCs w:val="21"/>
                <w14:textFill>
                  <w14:solidFill>
                    <w14:schemeClr w14:val="tx1"/>
                  </w14:solidFill>
                </w14:textFill>
              </w:rPr>
              <w:drawing>
                <wp:inline distT="0" distB="0" distL="114300" distR="114300">
                  <wp:extent cx="4314825" cy="323850"/>
                  <wp:effectExtent l="0" t="0" r="9525" b="0"/>
                  <wp:docPr id="13" name="图片 10" descr="C:\Users\ASUS\AppData\Local\Temp\ksohtml1336\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C:\Users\ASUS\AppData\Local\Temp\ksohtml1336\wps2.jpg"/>
                          <pic:cNvPicPr>
                            <a:picLocks noChangeAspect="1"/>
                          </pic:cNvPicPr>
                        </pic:nvPicPr>
                        <pic:blipFill>
                          <a:blip r:embed="rId28"/>
                          <a:stretch>
                            <a:fillRect/>
                          </a:stretch>
                        </pic:blipFill>
                        <pic:spPr>
                          <a:xfrm>
                            <a:off x="0" y="0"/>
                            <a:ext cx="4314825" cy="323850"/>
                          </a:xfrm>
                          <a:prstGeom prst="rect">
                            <a:avLst/>
                          </a:prstGeom>
                          <a:noFill/>
                          <a:ln>
                            <a:noFill/>
                          </a:ln>
                        </pic:spPr>
                      </pic:pic>
                    </a:graphicData>
                  </a:graphic>
                </wp:inline>
              </w:drawing>
            </w:r>
            <w:r>
              <w:rPr>
                <w:rFonts w:eastAsia="仿宋"/>
                <w:color w:val="000000" w:themeColor="text1"/>
                <w:sz w:val="24"/>
                <w14:textFill>
                  <w14:solidFill>
                    <w14:schemeClr w14:val="tx1"/>
                  </w14:solidFill>
                </w14:textFill>
              </w:rPr>
              <w:t xml:space="preserve"> </w:t>
            </w:r>
          </w:p>
          <w:p w14:paraId="02C2503C">
            <w:pPr>
              <w:adjustRightInd w:val="0"/>
              <w:snapToGrid w:val="0"/>
              <w:spacing w:before="100" w:beforeAutospacing="1"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 xml:space="preserve"> L</w:t>
            </w:r>
            <w:r>
              <w:rPr>
                <w:rFonts w:hint="eastAsia" w:eastAsia="仿宋"/>
                <w:color w:val="000000" w:themeColor="text1"/>
                <w:sz w:val="24"/>
                <w14:textFill>
                  <w14:solidFill>
                    <w14:schemeClr w14:val="tx1"/>
                  </w14:solidFill>
                </w14:textFill>
              </w:rPr>
              <w:t>p</w:t>
            </w:r>
            <w:r>
              <w:rPr>
                <w:rFonts w:hint="eastAsia"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r</w:t>
            </w:r>
            <w:r>
              <w:rPr>
                <w:rFonts w:hint="eastAsia"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预测点处声压级</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5639EB18">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L</w:t>
            </w:r>
            <w:r>
              <w:rPr>
                <w:rFonts w:hint="eastAsia" w:eastAsia="仿宋"/>
                <w:color w:val="000000" w:themeColor="text1"/>
                <w:sz w:val="24"/>
                <w:vertAlign w:val="subscript"/>
                <w14:textFill>
                  <w14:solidFill>
                    <w14:schemeClr w14:val="tx1"/>
                  </w14:solidFill>
                </w14:textFill>
              </w:rPr>
              <w:t>p</w:t>
            </w:r>
            <w:r>
              <w:rPr>
                <w:rFonts w:hint="eastAsia" w:ascii="仿宋" w:hAnsi="仿宋" w:eastAsia="仿宋"/>
                <w:color w:val="000000" w:themeColor="text1"/>
                <w:sz w:val="24"/>
                <w:vertAlign w:val="subscript"/>
                <w14:textFill>
                  <w14:solidFill>
                    <w14:schemeClr w14:val="tx1"/>
                  </w14:solidFill>
                </w14:textFill>
              </w:rPr>
              <w:t>（</w:t>
            </w:r>
            <w:r>
              <w:rPr>
                <w:rFonts w:hint="eastAsia" w:eastAsia="仿宋"/>
                <w:color w:val="000000" w:themeColor="text1"/>
                <w:sz w:val="24"/>
                <w:vertAlign w:val="subscript"/>
                <w14:textFill>
                  <w14:solidFill>
                    <w14:schemeClr w14:val="tx1"/>
                  </w14:solidFill>
                </w14:textFill>
              </w:rPr>
              <w:t>ro</w:t>
            </w:r>
            <w:r>
              <w:rPr>
                <w:rFonts w:hint="eastAsia" w:ascii="仿宋" w:hAnsi="仿宋" w:eastAsia="仿宋"/>
                <w:color w:val="000000" w:themeColor="text1"/>
                <w:sz w:val="24"/>
                <w:vertAlign w:val="subscript"/>
                <w14:textFill>
                  <w14:solidFill>
                    <w14:schemeClr w14:val="tx1"/>
                  </w14:solidFill>
                </w14:textFill>
              </w:rPr>
              <w:t>）</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参考位置</w:t>
            </w:r>
            <w:r>
              <w:rPr>
                <w:rFonts w:hint="eastAsia" w:eastAsia="仿宋"/>
                <w:color w:val="000000" w:themeColor="text1"/>
                <w:sz w:val="24"/>
                <w14:textFill>
                  <w14:solidFill>
                    <w14:schemeClr w14:val="tx1"/>
                  </w14:solidFill>
                </w14:textFill>
              </w:rPr>
              <w:t>r</w:t>
            </w:r>
            <w:r>
              <w:rPr>
                <w:rFonts w:eastAsia="仿宋"/>
                <w:color w:val="000000" w:themeColor="text1"/>
                <w:sz w:val="24"/>
                <w14:textFill>
                  <w14:solidFill>
                    <w14:schemeClr w14:val="tx1"/>
                  </w14:solidFill>
                </w14:textFill>
              </w:rPr>
              <w:t>0</w:t>
            </w:r>
            <w:r>
              <w:rPr>
                <w:rFonts w:hint="eastAsia" w:ascii="仿宋" w:hAnsi="仿宋" w:eastAsia="仿宋"/>
                <w:color w:val="000000" w:themeColor="text1"/>
                <w:sz w:val="24"/>
                <w14:textFill>
                  <w14:solidFill>
                    <w14:schemeClr w14:val="tx1"/>
                  </w14:solidFill>
                </w14:textFill>
              </w:rPr>
              <w:t>处的声压级</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0F365F41">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D</w:t>
            </w:r>
            <w:r>
              <w:rPr>
                <w:rFonts w:hint="eastAsia" w:eastAsia="仿宋"/>
                <w:color w:val="000000" w:themeColor="text1"/>
                <w:sz w:val="24"/>
                <w14:textFill>
                  <w14:solidFill>
                    <w14:schemeClr w14:val="tx1"/>
                  </w14:solidFill>
                </w14:textFill>
              </w:rPr>
              <w:t>c</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指向性校正，它描述电声源的等效连续声压级与产生声功率级</w:t>
            </w:r>
            <w:r>
              <w:rPr>
                <w:rFonts w:hint="eastAsia" w:eastAsia="仿宋"/>
                <w:color w:val="000000" w:themeColor="text1"/>
                <w:sz w:val="24"/>
                <w14:textFill>
                  <w14:solidFill>
                    <w14:schemeClr w14:val="tx1"/>
                  </w14:solidFill>
                </w14:textFill>
              </w:rPr>
              <w:t>Lw</w:t>
            </w:r>
            <w:r>
              <w:rPr>
                <w:rFonts w:hint="eastAsia" w:ascii="仿宋" w:hAnsi="仿宋" w:eastAsia="仿宋"/>
                <w:color w:val="000000" w:themeColor="text1"/>
                <w:sz w:val="24"/>
                <w14:textFill>
                  <w14:solidFill>
                    <w14:schemeClr w14:val="tx1"/>
                  </w14:solidFill>
                </w14:textFill>
              </w:rPr>
              <w:t>的全向点声源在规定方向的声级的偏差程度</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69BE252A">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A</w:t>
            </w:r>
            <w:r>
              <w:rPr>
                <w:rFonts w:hint="eastAsia" w:eastAsia="仿宋"/>
                <w:color w:val="000000" w:themeColor="text1"/>
                <w:sz w:val="24"/>
                <w14:textFill>
                  <w14:solidFill>
                    <w14:schemeClr w14:val="tx1"/>
                  </w14:solidFill>
                </w14:textFill>
              </w:rPr>
              <w:t>div</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几何发散引起的衰减</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0A12EA51">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A</w:t>
            </w:r>
            <w:r>
              <w:rPr>
                <w:rFonts w:hint="eastAsia" w:eastAsia="仿宋"/>
                <w:color w:val="000000" w:themeColor="text1"/>
                <w:sz w:val="24"/>
                <w14:textFill>
                  <w14:solidFill>
                    <w14:schemeClr w14:val="tx1"/>
                  </w14:solidFill>
                </w14:textFill>
              </w:rPr>
              <w:t>atm</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大气吸收引起的衰减</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5346FE33">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A</w:t>
            </w:r>
            <w:r>
              <w:rPr>
                <w:rFonts w:hint="eastAsia" w:eastAsia="仿宋"/>
                <w:color w:val="000000" w:themeColor="text1"/>
                <w:sz w:val="24"/>
                <w14:textFill>
                  <w14:solidFill>
                    <w14:schemeClr w14:val="tx1"/>
                  </w14:solidFill>
                </w14:textFill>
              </w:rPr>
              <w:t>gr</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地面效应引起的衰减</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23101ED6">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A</w:t>
            </w:r>
            <w:r>
              <w:rPr>
                <w:rFonts w:hint="eastAsia" w:eastAsia="仿宋"/>
                <w:color w:val="000000" w:themeColor="text1"/>
                <w:sz w:val="24"/>
                <w14:textFill>
                  <w14:solidFill>
                    <w14:schemeClr w14:val="tx1"/>
                  </w14:solidFill>
                </w14:textFill>
              </w:rPr>
              <w:t>bar</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障碍物屏蔽引起的衰减</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04CC12C4">
            <w:pPr>
              <w:adjustRightInd w:val="0"/>
              <w:snapToGrid w:val="0"/>
              <w:spacing w:line="360" w:lineRule="auto"/>
              <w:ind w:firstLine="480" w:firstLineChars="200"/>
              <w:rPr>
                <w:rFonts w:ascii="仿宋" w:hAnsi="仿宋"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A</w:t>
            </w:r>
            <w:r>
              <w:rPr>
                <w:rFonts w:hint="eastAsia" w:eastAsia="仿宋"/>
                <w:color w:val="000000" w:themeColor="text1"/>
                <w:sz w:val="24"/>
                <w14:textFill>
                  <w14:solidFill>
                    <w14:schemeClr w14:val="tx1"/>
                  </w14:solidFill>
                </w14:textFill>
              </w:rPr>
              <w:t>misc</w:t>
            </w:r>
            <w:r>
              <w:rPr>
                <w:rFonts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其他多方面效应引起的衰减</w:t>
            </w:r>
            <w:r>
              <w:rPr>
                <w:rFonts w:ascii="仿宋" w:hAnsi="仿宋" w:eastAsia="仿宋"/>
                <w:color w:val="000000" w:themeColor="text1"/>
                <w:sz w:val="24"/>
                <w14:textFill>
                  <w14:solidFill>
                    <w14:schemeClr w14:val="tx1"/>
                  </w14:solidFill>
                </w14:textFill>
              </w:rPr>
              <w:t>，</w:t>
            </w:r>
            <w:r>
              <w:rPr>
                <w:rFonts w:eastAsia="仿宋"/>
                <w:color w:val="000000" w:themeColor="text1"/>
                <w:sz w:val="24"/>
                <w14:textFill>
                  <w14:solidFill>
                    <w14:schemeClr w14:val="tx1"/>
                  </w14:solidFill>
                </w14:textFill>
              </w:rPr>
              <w:t>dB</w:t>
            </w:r>
            <w:r>
              <w:rPr>
                <w:rFonts w:ascii="仿宋" w:hAnsi="仿宋" w:eastAsia="仿宋"/>
                <w:color w:val="000000" w:themeColor="text1"/>
                <w:sz w:val="24"/>
                <w14:textFill>
                  <w14:solidFill>
                    <w14:schemeClr w14:val="tx1"/>
                  </w14:solidFill>
                </w14:textFill>
              </w:rPr>
              <w:t>；</w:t>
            </w:r>
          </w:p>
          <w:p w14:paraId="48955CF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bCs/>
                <w:color w:val="000000" w:themeColor="text1"/>
                <w:spacing w:val="0"/>
                <w:sz w:val="24"/>
                <w:highlight w:val="none"/>
                <w:lang w:val="en-US" w:eastAsia="zh-CN"/>
                <w14:textFill>
                  <w14:solidFill>
                    <w14:schemeClr w14:val="tx1"/>
                  </w14:solidFill>
                </w14:textFill>
              </w:rPr>
            </w:pPr>
            <w:r>
              <w:rPr>
                <w:rFonts w:hint="default" w:ascii="Times New Roman" w:hAnsi="Times New Roman" w:eastAsia="仿宋" w:cs="Times New Roman"/>
                <w:bCs/>
                <w:color w:val="000000" w:themeColor="text1"/>
                <w:spacing w:val="0"/>
                <w:sz w:val="24"/>
                <w:highlight w:val="none"/>
                <w:lang w:val="en-US" w:eastAsia="zh-CN"/>
                <w14:textFill>
                  <w14:solidFill>
                    <w14:schemeClr w14:val="tx1"/>
                  </w14:solidFill>
                </w14:textFill>
              </w:rPr>
              <w:t>⑷</w:t>
            </w:r>
            <w:r>
              <w:rPr>
                <w:rFonts w:hint="eastAsia" w:ascii="Times New Roman" w:hAnsi="Times New Roman" w:eastAsia="仿宋" w:cs="Times New Roman"/>
                <w:bCs/>
                <w:color w:val="000000" w:themeColor="text1"/>
                <w:spacing w:val="0"/>
                <w:sz w:val="24"/>
                <w:highlight w:val="none"/>
                <w:lang w:val="en-US" w:eastAsia="zh-CN"/>
                <w14:textFill>
                  <w14:solidFill>
                    <w14:schemeClr w14:val="tx1"/>
                  </w14:solidFill>
                </w14:textFill>
              </w:rPr>
              <w:t>预测结果与评价</w:t>
            </w:r>
          </w:p>
          <w:p w14:paraId="018907F0">
            <w:pPr>
              <w:adjustRightInd w:val="0"/>
              <w:snapToGrid w:val="0"/>
              <w:spacing w:line="360" w:lineRule="auto"/>
              <w:ind w:firstLine="480" w:firstLineChars="200"/>
              <w:rPr>
                <w:rFonts w:eastAsia="仿宋"/>
                <w:bCs/>
                <w:color w:val="000000" w:themeColor="text1"/>
                <w:spacing w:val="-10"/>
                <w:szCs w:val="21"/>
                <w:highlight w:val="none"/>
                <w14:textFill>
                  <w14:solidFill>
                    <w14:schemeClr w14:val="tx1"/>
                  </w14:solidFill>
                </w14:textFill>
              </w:rPr>
            </w:pPr>
            <w:r>
              <w:rPr>
                <w:rFonts w:hint="eastAsia" w:eastAsia="仿宋"/>
                <w:color w:val="000000" w:themeColor="text1"/>
                <w:sz w:val="24"/>
                <w:highlight w:val="none"/>
                <w:lang w:val="en-US" w:eastAsia="zh-CN"/>
                <w14:textFill>
                  <w14:solidFill>
                    <w14:schemeClr w14:val="tx1"/>
                  </w14:solidFill>
                </w14:textFill>
              </w:rPr>
              <w:t>本项目夜间不生产，因此昼间</w:t>
            </w:r>
            <w:r>
              <w:rPr>
                <w:rFonts w:eastAsia="仿宋"/>
                <w:color w:val="000000" w:themeColor="text1"/>
                <w:sz w:val="24"/>
                <w:highlight w:val="none"/>
                <w14:textFill>
                  <w14:solidFill>
                    <w14:schemeClr w14:val="tx1"/>
                  </w14:solidFill>
                </w14:textFill>
              </w:rPr>
              <w:t>本项目对高噪声设备进行了噪声治理，项目投入运行后，机械噪声经阻隔和衰减，在厂界处</w:t>
            </w:r>
            <w:r>
              <w:rPr>
                <w:rFonts w:hint="eastAsia" w:eastAsia="仿宋"/>
                <w:color w:val="000000" w:themeColor="text1"/>
                <w:sz w:val="24"/>
                <w:highlight w:val="none"/>
                <w:lang w:val="en-US" w:eastAsia="zh-CN"/>
                <w14:textFill>
                  <w14:solidFill>
                    <w14:schemeClr w14:val="tx1"/>
                  </w14:solidFill>
                </w14:textFill>
              </w:rPr>
              <w:t>昼间</w:t>
            </w:r>
            <w:r>
              <w:rPr>
                <w:rFonts w:eastAsia="仿宋"/>
                <w:color w:val="000000" w:themeColor="text1"/>
                <w:sz w:val="24"/>
                <w:highlight w:val="none"/>
                <w14:textFill>
                  <w14:solidFill>
                    <w14:schemeClr w14:val="tx1"/>
                  </w14:solidFill>
                </w14:textFill>
              </w:rPr>
              <w:t>噪声贡献值结果见表</w:t>
            </w:r>
            <w:r>
              <w:rPr>
                <w:rFonts w:hint="eastAsia" w:eastAsia="仿宋"/>
                <w:color w:val="000000" w:themeColor="text1"/>
                <w:sz w:val="24"/>
                <w:highlight w:val="none"/>
                <w:lang w:val="en-US" w:eastAsia="zh-CN"/>
                <w14:textFill>
                  <w14:solidFill>
                    <w14:schemeClr w14:val="tx1"/>
                  </w14:solidFill>
                </w14:textFill>
              </w:rPr>
              <w:t>47</w:t>
            </w:r>
            <w:r>
              <w:rPr>
                <w:rFonts w:eastAsia="仿宋"/>
                <w:color w:val="000000" w:themeColor="text1"/>
                <w:sz w:val="24"/>
                <w:highlight w:val="none"/>
                <w14:textFill>
                  <w14:solidFill>
                    <w14:schemeClr w14:val="tx1"/>
                  </w14:solidFill>
                </w14:textFill>
              </w:rPr>
              <w:t>。</w:t>
            </w:r>
          </w:p>
          <w:p w14:paraId="79710138">
            <w:pPr>
              <w:keepNext w:val="0"/>
              <w:keepLines w:val="0"/>
              <w:pageBreakBefore w:val="0"/>
              <w:widowControl w:val="0"/>
              <w:kinsoku/>
              <w:wordWrap/>
              <w:overflowPunct/>
              <w:topLinePunct w:val="0"/>
              <w:autoSpaceDE w:val="0"/>
              <w:autoSpaceDN w:val="0"/>
              <w:bidi w:val="0"/>
              <w:adjustRightInd w:val="0"/>
              <w:snapToGrid w:val="0"/>
              <w:jc w:val="center"/>
              <w:textAlignment w:val="auto"/>
              <w:rPr>
                <w:rFonts w:ascii="Times New Roman" w:hAnsi="Times New Roman" w:eastAsia="仿宋" w:cs="Times New Roman"/>
                <w:b/>
                <w:color w:val="000000" w:themeColor="text1"/>
                <w:kern w:val="0"/>
                <w:szCs w:val="21"/>
                <w:highlight w:val="none"/>
                <w:lang w:eastAsia="zh-CN"/>
                <w14:textFill>
                  <w14:solidFill>
                    <w14:schemeClr w14:val="tx1"/>
                  </w14:solidFill>
                </w14:textFill>
              </w:rPr>
            </w:pPr>
            <w:r>
              <w:rPr>
                <w:rFonts w:ascii="Times New Roman" w:hAnsi="Times New Roman" w:eastAsia="仿宋" w:cs="Times New Roman"/>
                <w:b/>
                <w:color w:val="000000" w:themeColor="text1"/>
                <w:kern w:val="0"/>
                <w:szCs w:val="21"/>
                <w:highlight w:val="none"/>
                <w:lang w:eastAsia="zh-CN"/>
                <w14:textFill>
                  <w14:solidFill>
                    <w14:schemeClr w14:val="tx1"/>
                  </w14:solidFill>
                </w14:textFill>
              </w:rPr>
              <w:t>表</w:t>
            </w:r>
            <w:r>
              <w:rPr>
                <w:rFonts w:hint="eastAsia" w:eastAsia="仿宋" w:cs="Times New Roman"/>
                <w:b/>
                <w:color w:val="000000" w:themeColor="text1"/>
                <w:kern w:val="0"/>
                <w:szCs w:val="21"/>
                <w:highlight w:val="none"/>
                <w:lang w:val="en-US" w:eastAsia="zh-CN"/>
                <w14:textFill>
                  <w14:solidFill>
                    <w14:schemeClr w14:val="tx1"/>
                  </w14:solidFill>
                </w14:textFill>
              </w:rPr>
              <w:t>47</w:t>
            </w:r>
            <w:r>
              <w:rPr>
                <w:rFonts w:hint="eastAsia" w:ascii="Times New Roman" w:hAnsi="Times New Roman" w:eastAsia="仿宋" w:cs="Times New Roman"/>
                <w:b/>
                <w:color w:val="000000" w:themeColor="text1"/>
                <w:kern w:val="0"/>
                <w:szCs w:val="21"/>
                <w:highlight w:val="none"/>
                <w:lang w:val="en-US" w:eastAsia="zh-CN"/>
                <w14:textFill>
                  <w14:solidFill>
                    <w14:schemeClr w14:val="tx1"/>
                  </w14:solidFill>
                </w14:textFill>
              </w:rPr>
              <w:t xml:space="preserve">  </w:t>
            </w:r>
            <w:r>
              <w:rPr>
                <w:rFonts w:ascii="Times New Roman" w:hAnsi="Times New Roman" w:eastAsia="仿宋" w:cs="Times New Roman"/>
                <w:b/>
                <w:color w:val="000000" w:themeColor="text1"/>
                <w:kern w:val="0"/>
                <w:szCs w:val="21"/>
                <w:highlight w:val="none"/>
                <w:lang w:eastAsia="zh-CN"/>
                <w14:textFill>
                  <w14:solidFill>
                    <w14:schemeClr w14:val="tx1"/>
                  </w14:solidFill>
                </w14:textFill>
              </w:rPr>
              <w:t>噪声预测结果</w:t>
            </w:r>
            <w:r>
              <w:rPr>
                <w:rFonts w:hint="eastAsia" w:ascii="Times New Roman" w:hAnsi="Times New Roman" w:eastAsia="仿宋" w:cs="Times New Roman"/>
                <w:b/>
                <w:color w:val="000000" w:themeColor="text1"/>
                <w:kern w:val="0"/>
                <w:szCs w:val="21"/>
                <w:highlight w:val="none"/>
                <w:lang w:val="en-US" w:eastAsia="zh-CN"/>
                <w14:textFill>
                  <w14:solidFill>
                    <w14:schemeClr w14:val="tx1"/>
                  </w14:solidFill>
                </w14:textFill>
              </w:rPr>
              <w:t xml:space="preserve">  </w:t>
            </w:r>
            <w:r>
              <w:rPr>
                <w:rFonts w:ascii="Times New Roman" w:hAnsi="Times New Roman" w:eastAsia="仿宋" w:cs="Times New Roman"/>
                <w:b/>
                <w:color w:val="000000" w:themeColor="text1"/>
                <w:kern w:val="0"/>
                <w:szCs w:val="21"/>
                <w:highlight w:val="none"/>
                <w:lang w:eastAsia="zh-CN"/>
                <w14:textFill>
                  <w14:solidFill>
                    <w14:schemeClr w14:val="tx1"/>
                  </w14:solidFill>
                </w14:textFill>
              </w:rPr>
              <w:t>单位：dB（A）</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551"/>
              <w:gridCol w:w="2595"/>
              <w:gridCol w:w="2121"/>
            </w:tblGrid>
            <w:tr w14:paraId="0F09E1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51" w:type="dxa"/>
                  <w:noWrap w:val="0"/>
                  <w:vAlign w:val="center"/>
                </w:tcPr>
                <w:p w14:paraId="3A68CB89">
                  <w:pPr>
                    <w:adjustRightInd w:val="0"/>
                    <w:snapToGrid w:val="0"/>
                    <w:spacing w:before="48" w:beforeLines="20" w:after="48" w:afterLines="20"/>
                    <w:jc w:val="center"/>
                    <w:textAlignment w:val="baseline"/>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位置</w:t>
                  </w:r>
                </w:p>
              </w:tc>
              <w:tc>
                <w:tcPr>
                  <w:tcW w:w="2595" w:type="dxa"/>
                  <w:noWrap w:val="0"/>
                  <w:vAlign w:val="center"/>
                </w:tcPr>
                <w:p w14:paraId="5158444F">
                  <w:pPr>
                    <w:adjustRightInd w:val="0"/>
                    <w:snapToGrid w:val="0"/>
                    <w:spacing w:before="48" w:beforeLines="20" w:after="48" w:afterLines="20"/>
                    <w:jc w:val="center"/>
                    <w:textAlignment w:val="baseline"/>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贡献值</w:t>
                  </w:r>
                </w:p>
              </w:tc>
              <w:tc>
                <w:tcPr>
                  <w:tcW w:w="2121" w:type="dxa"/>
                  <w:noWrap w:val="0"/>
                  <w:vAlign w:val="center"/>
                </w:tcPr>
                <w:p w14:paraId="7AED0608">
                  <w:pPr>
                    <w:adjustRightInd w:val="0"/>
                    <w:snapToGrid w:val="0"/>
                    <w:spacing w:before="48" w:beforeLines="20" w:after="48" w:afterLines="20"/>
                    <w:jc w:val="center"/>
                    <w:textAlignment w:val="baseline"/>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评价结果</w:t>
                  </w:r>
                </w:p>
              </w:tc>
            </w:tr>
            <w:tr w14:paraId="2D6EC0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51" w:type="dxa"/>
                  <w:noWrap w:val="0"/>
                  <w:vAlign w:val="center"/>
                </w:tcPr>
                <w:p w14:paraId="6B34A796">
                  <w:pPr>
                    <w:adjustRightInd w:val="0"/>
                    <w:snapToGrid w:val="0"/>
                    <w:spacing w:before="48" w:beforeLines="20" w:after="48" w:afterLines="20"/>
                    <w:jc w:val="center"/>
                    <w:textAlignment w:val="baseline"/>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东</w:t>
                  </w:r>
                </w:p>
              </w:tc>
              <w:tc>
                <w:tcPr>
                  <w:tcW w:w="2595" w:type="dxa"/>
                  <w:noWrap w:val="0"/>
                  <w:vAlign w:val="center"/>
                </w:tcPr>
                <w:p w14:paraId="06DD4065">
                  <w:pPr>
                    <w:adjustRightInd w:val="0"/>
                    <w:snapToGrid w:val="0"/>
                    <w:spacing w:before="48" w:beforeLines="20" w:after="48" w:afterLines="20"/>
                    <w:jc w:val="center"/>
                    <w:textAlignment w:val="baseline"/>
                    <w:rPr>
                      <w:rFonts w:hint="default" w:eastAsia="仿宋"/>
                      <w:color w:val="000000" w:themeColor="text1"/>
                      <w:szCs w:val="21"/>
                      <w:lang w:val="en-US" w:eastAsia="zh-CN"/>
                      <w14:textFill>
                        <w14:solidFill>
                          <w14:schemeClr w14:val="tx1"/>
                        </w14:solidFill>
                      </w14:textFill>
                    </w:rPr>
                  </w:pPr>
                  <w:r>
                    <w:rPr>
                      <w:rFonts w:hint="eastAsia" w:eastAsia="仿宋"/>
                      <w:color w:val="000000" w:themeColor="text1"/>
                      <w:szCs w:val="21"/>
                      <w:lang w:val="en-US" w:eastAsia="zh-CN"/>
                      <w14:textFill>
                        <w14:solidFill>
                          <w14:schemeClr w14:val="tx1"/>
                        </w14:solidFill>
                      </w14:textFill>
                    </w:rPr>
                    <w:t>38</w:t>
                  </w:r>
                </w:p>
              </w:tc>
              <w:tc>
                <w:tcPr>
                  <w:tcW w:w="2121" w:type="dxa"/>
                  <w:noWrap w:val="0"/>
                  <w:vAlign w:val="center"/>
                </w:tcPr>
                <w:p w14:paraId="052F92F5">
                  <w:pPr>
                    <w:adjustRightInd w:val="0"/>
                    <w:snapToGrid w:val="0"/>
                    <w:spacing w:before="48" w:beforeLines="20" w:after="48" w:afterLines="20"/>
                    <w:jc w:val="center"/>
                    <w:textAlignment w:val="baseline"/>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达标</w:t>
                  </w:r>
                </w:p>
              </w:tc>
            </w:tr>
            <w:tr w14:paraId="068FA0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51" w:type="dxa"/>
                  <w:noWrap w:val="0"/>
                  <w:vAlign w:val="center"/>
                </w:tcPr>
                <w:p w14:paraId="76FE1CF6">
                  <w:pPr>
                    <w:adjustRightInd w:val="0"/>
                    <w:snapToGrid w:val="0"/>
                    <w:spacing w:before="48" w:beforeLines="20" w:after="48" w:afterLines="20"/>
                    <w:jc w:val="center"/>
                    <w:textAlignment w:val="baseline"/>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南</w:t>
                  </w:r>
                </w:p>
              </w:tc>
              <w:tc>
                <w:tcPr>
                  <w:tcW w:w="2595" w:type="dxa"/>
                  <w:noWrap w:val="0"/>
                  <w:vAlign w:val="center"/>
                </w:tcPr>
                <w:p w14:paraId="0C05F633">
                  <w:pPr>
                    <w:adjustRightInd w:val="0"/>
                    <w:snapToGrid w:val="0"/>
                    <w:spacing w:before="48" w:beforeLines="20" w:after="48" w:afterLines="20"/>
                    <w:jc w:val="center"/>
                    <w:textAlignment w:val="baseline"/>
                    <w:rPr>
                      <w:rFonts w:hint="default" w:eastAsia="仿宋"/>
                      <w:color w:val="000000" w:themeColor="text1"/>
                      <w:szCs w:val="21"/>
                      <w:lang w:val="en-US" w:eastAsia="zh-CN"/>
                      <w14:textFill>
                        <w14:solidFill>
                          <w14:schemeClr w14:val="tx1"/>
                        </w14:solidFill>
                      </w14:textFill>
                    </w:rPr>
                  </w:pPr>
                  <w:r>
                    <w:rPr>
                      <w:rFonts w:hint="eastAsia" w:eastAsia="仿宋"/>
                      <w:color w:val="000000" w:themeColor="text1"/>
                      <w:szCs w:val="21"/>
                      <w:lang w:val="en-US" w:eastAsia="zh-CN"/>
                      <w14:textFill>
                        <w14:solidFill>
                          <w14:schemeClr w14:val="tx1"/>
                        </w14:solidFill>
                      </w14:textFill>
                    </w:rPr>
                    <w:t>45</w:t>
                  </w:r>
                </w:p>
              </w:tc>
              <w:tc>
                <w:tcPr>
                  <w:tcW w:w="2121" w:type="dxa"/>
                  <w:noWrap w:val="0"/>
                  <w:vAlign w:val="center"/>
                </w:tcPr>
                <w:p w14:paraId="11FD52BD">
                  <w:pPr>
                    <w:adjustRightInd w:val="0"/>
                    <w:snapToGrid w:val="0"/>
                    <w:spacing w:before="48" w:beforeLines="20" w:after="48" w:afterLines="20"/>
                    <w:jc w:val="center"/>
                    <w:textAlignment w:val="baseline"/>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达标</w:t>
                  </w:r>
                </w:p>
              </w:tc>
            </w:tr>
            <w:tr w14:paraId="432512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51" w:type="dxa"/>
                  <w:noWrap w:val="0"/>
                  <w:vAlign w:val="center"/>
                </w:tcPr>
                <w:p w14:paraId="243D6F76">
                  <w:pPr>
                    <w:adjustRightInd w:val="0"/>
                    <w:snapToGrid w:val="0"/>
                    <w:spacing w:before="48" w:beforeLines="20" w:after="48" w:afterLines="20"/>
                    <w:jc w:val="center"/>
                    <w:textAlignment w:val="baseline"/>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西</w:t>
                  </w:r>
                </w:p>
              </w:tc>
              <w:tc>
                <w:tcPr>
                  <w:tcW w:w="2595" w:type="dxa"/>
                  <w:noWrap w:val="0"/>
                  <w:vAlign w:val="center"/>
                </w:tcPr>
                <w:p w14:paraId="7A5CDF49">
                  <w:pPr>
                    <w:adjustRightInd w:val="0"/>
                    <w:snapToGrid w:val="0"/>
                    <w:spacing w:before="48" w:beforeLines="20" w:after="48" w:afterLines="20"/>
                    <w:jc w:val="center"/>
                    <w:textAlignment w:val="baseline"/>
                    <w:rPr>
                      <w:rFonts w:hint="default" w:eastAsia="仿宋"/>
                      <w:color w:val="000000" w:themeColor="text1"/>
                      <w:szCs w:val="21"/>
                      <w:lang w:val="en-US" w:eastAsia="zh-CN"/>
                      <w14:textFill>
                        <w14:solidFill>
                          <w14:schemeClr w14:val="tx1"/>
                        </w14:solidFill>
                      </w14:textFill>
                    </w:rPr>
                  </w:pPr>
                  <w:r>
                    <w:rPr>
                      <w:rFonts w:hint="eastAsia" w:eastAsia="仿宋"/>
                      <w:color w:val="000000" w:themeColor="text1"/>
                      <w:szCs w:val="21"/>
                      <w:lang w:val="en-US" w:eastAsia="zh-CN"/>
                      <w14:textFill>
                        <w14:solidFill>
                          <w14:schemeClr w14:val="tx1"/>
                        </w14:solidFill>
                      </w14:textFill>
                    </w:rPr>
                    <w:t>40</w:t>
                  </w:r>
                </w:p>
              </w:tc>
              <w:tc>
                <w:tcPr>
                  <w:tcW w:w="2121" w:type="dxa"/>
                  <w:noWrap w:val="0"/>
                  <w:vAlign w:val="center"/>
                </w:tcPr>
                <w:p w14:paraId="359FB7B3">
                  <w:pPr>
                    <w:adjustRightInd w:val="0"/>
                    <w:snapToGrid w:val="0"/>
                    <w:spacing w:before="48" w:beforeLines="20" w:after="48" w:afterLines="20"/>
                    <w:jc w:val="center"/>
                    <w:textAlignment w:val="baseline"/>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达标</w:t>
                  </w:r>
                </w:p>
              </w:tc>
            </w:tr>
            <w:tr w14:paraId="7F270A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51" w:type="dxa"/>
                  <w:noWrap w:val="0"/>
                  <w:vAlign w:val="center"/>
                </w:tcPr>
                <w:p w14:paraId="577F7053">
                  <w:pPr>
                    <w:adjustRightInd w:val="0"/>
                    <w:snapToGrid w:val="0"/>
                    <w:spacing w:before="48" w:beforeLines="20" w:after="48" w:afterLines="20"/>
                    <w:jc w:val="center"/>
                    <w:textAlignment w:val="baseline"/>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北</w:t>
                  </w:r>
                </w:p>
              </w:tc>
              <w:tc>
                <w:tcPr>
                  <w:tcW w:w="2595" w:type="dxa"/>
                  <w:noWrap w:val="0"/>
                  <w:vAlign w:val="center"/>
                </w:tcPr>
                <w:p w14:paraId="254D3E6B">
                  <w:pPr>
                    <w:adjustRightInd w:val="0"/>
                    <w:snapToGrid w:val="0"/>
                    <w:spacing w:before="48" w:beforeLines="20" w:after="48" w:afterLines="20"/>
                    <w:jc w:val="center"/>
                    <w:textAlignment w:val="baseline"/>
                    <w:rPr>
                      <w:rFonts w:hint="default" w:eastAsia="仿宋"/>
                      <w:color w:val="000000" w:themeColor="text1"/>
                      <w:szCs w:val="21"/>
                      <w:lang w:val="en-US" w:eastAsia="zh-CN"/>
                      <w14:textFill>
                        <w14:solidFill>
                          <w14:schemeClr w14:val="tx1"/>
                        </w14:solidFill>
                      </w14:textFill>
                    </w:rPr>
                  </w:pPr>
                  <w:r>
                    <w:rPr>
                      <w:rFonts w:hint="eastAsia" w:eastAsia="仿宋"/>
                      <w:color w:val="000000" w:themeColor="text1"/>
                      <w:szCs w:val="21"/>
                      <w:lang w:val="en-US" w:eastAsia="zh-CN"/>
                      <w14:textFill>
                        <w14:solidFill>
                          <w14:schemeClr w14:val="tx1"/>
                        </w14:solidFill>
                      </w14:textFill>
                    </w:rPr>
                    <w:t>48</w:t>
                  </w:r>
                </w:p>
              </w:tc>
              <w:tc>
                <w:tcPr>
                  <w:tcW w:w="2121" w:type="dxa"/>
                  <w:noWrap w:val="0"/>
                  <w:vAlign w:val="center"/>
                </w:tcPr>
                <w:p w14:paraId="2B88878C">
                  <w:pPr>
                    <w:adjustRightInd w:val="0"/>
                    <w:snapToGrid w:val="0"/>
                    <w:spacing w:before="48" w:beforeLines="20" w:after="48" w:afterLines="20"/>
                    <w:jc w:val="center"/>
                    <w:textAlignment w:val="baseline"/>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达标</w:t>
                  </w:r>
                </w:p>
              </w:tc>
            </w:tr>
          </w:tbl>
          <w:p w14:paraId="25F746B0">
            <w:pPr>
              <w:keepNext w:val="0"/>
              <w:keepLines w:val="0"/>
              <w:pageBreakBefore w:val="0"/>
              <w:widowControl/>
              <w:suppressLineNumbers w:val="0"/>
              <w:kinsoku/>
              <w:wordWrap/>
              <w:overflowPunct/>
              <w:topLinePunct w:val="0"/>
              <w:autoSpaceDE/>
              <w:autoSpaceDN/>
              <w:bidi w:val="0"/>
              <w:adjustRightInd w:val="0"/>
              <w:snapToGrid w:val="0"/>
              <w:spacing w:before="157" w:beforeLines="50" w:line="360" w:lineRule="auto"/>
              <w:ind w:left="0" w:firstLine="480" w:firstLineChars="200"/>
              <w:jc w:val="both"/>
              <w:textAlignment w:val="auto"/>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pPr>
            <w:r>
              <w:rPr>
                <w:rFonts w:hint="eastAsia"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2.3.2</w:t>
            </w:r>
            <w:r>
              <w:rPr>
                <w:rFonts w:hint="eastAsia"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噪声环境影响分析</w:t>
            </w:r>
          </w:p>
          <w:p w14:paraId="7DB795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从表</w:t>
            </w:r>
            <w:r>
              <w:rPr>
                <w:rFonts w:hint="eastAsia" w:eastAsia="仿宋"/>
                <w:color w:val="000000" w:themeColor="text1"/>
                <w:sz w:val="24"/>
                <w:lang w:val="en-US" w:eastAsia="zh-CN"/>
                <w14:textFill>
                  <w14:solidFill>
                    <w14:schemeClr w14:val="tx1"/>
                  </w14:solidFill>
                </w14:textFill>
              </w:rPr>
              <w:t>47</w:t>
            </w:r>
            <w:r>
              <w:rPr>
                <w:rFonts w:eastAsia="仿宋"/>
                <w:color w:val="000000" w:themeColor="text1"/>
                <w:sz w:val="24"/>
                <w14:textFill>
                  <w14:solidFill>
                    <w14:schemeClr w14:val="tx1"/>
                  </w14:solidFill>
                </w14:textFill>
              </w:rPr>
              <w:t>预测结果可知，本项目噪声通过优化设备、</w:t>
            </w:r>
            <w:r>
              <w:rPr>
                <w:rFonts w:hint="eastAsia" w:eastAsia="仿宋"/>
                <w:color w:val="000000" w:themeColor="text1"/>
                <w:sz w:val="24"/>
                <w:lang w:val="en-US" w:eastAsia="zh-CN"/>
                <w14:textFill>
                  <w14:solidFill>
                    <w14:schemeClr w14:val="tx1"/>
                  </w14:solidFill>
                </w14:textFill>
              </w:rPr>
              <w:t>建筑隔声、基础减振</w:t>
            </w:r>
            <w:r>
              <w:rPr>
                <w:rFonts w:eastAsia="仿宋"/>
                <w:color w:val="000000" w:themeColor="text1"/>
                <w:sz w:val="24"/>
                <w14:textFill>
                  <w14:solidFill>
                    <w14:schemeClr w14:val="tx1"/>
                  </w14:solidFill>
                </w14:textFill>
              </w:rPr>
              <w:t>等治理措施</w:t>
            </w:r>
            <w:r>
              <w:rPr>
                <w:rFonts w:hint="eastAsia" w:eastAsia="仿宋"/>
                <w:color w:val="000000" w:themeColor="text1"/>
                <w:sz w:val="24"/>
                <w:lang w:val="en-US" w:eastAsia="zh-CN"/>
                <w14:textFill>
                  <w14:solidFill>
                    <w14:schemeClr w14:val="tx1"/>
                  </w14:solidFill>
                </w14:textFill>
              </w:rPr>
              <w:t>后，</w:t>
            </w:r>
            <w:r>
              <w:rPr>
                <w:rFonts w:eastAsia="仿宋"/>
                <w:color w:val="000000" w:themeColor="text1"/>
                <w:sz w:val="24"/>
                <w14:textFill>
                  <w14:solidFill>
                    <w14:schemeClr w14:val="tx1"/>
                  </w14:solidFill>
                </w14:textFill>
              </w:rPr>
              <w:t>厂界噪声值满足《工业企业厂界环境噪声排放标准》（GB12348-2008）中的2类标准，对周围环境影响较小。</w:t>
            </w:r>
          </w:p>
          <w:p w14:paraId="17C5EC64">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根据调查，本项目</w:t>
            </w:r>
            <w:r>
              <w:rPr>
                <w:rFonts w:hint="eastAsia" w:eastAsia="仿宋"/>
                <w:color w:val="000000" w:themeColor="text1"/>
                <w:sz w:val="24"/>
                <w:lang w:val="en-US" w:eastAsia="zh-CN"/>
                <w14:textFill>
                  <w14:solidFill>
                    <w14:schemeClr w14:val="tx1"/>
                  </w14:solidFill>
                </w14:textFill>
              </w:rPr>
              <w:t>200</w:t>
            </w:r>
            <w:r>
              <w:rPr>
                <w:rFonts w:eastAsia="仿宋"/>
                <w:color w:val="000000" w:themeColor="text1"/>
                <w:sz w:val="24"/>
                <w14:textFill>
                  <w14:solidFill>
                    <w14:schemeClr w14:val="tx1"/>
                  </w14:solidFill>
                </w14:textFill>
              </w:rPr>
              <w:t>m范围内无居民，因此，本项目噪声对敏感点影响较小。</w:t>
            </w:r>
          </w:p>
          <w:p w14:paraId="1DF74218">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bCs/>
                <w:color w:val="000000" w:themeColor="text1"/>
                <w:sz w:val="24"/>
                <w:szCs w:val="24"/>
                <w:highlight w:val="none"/>
                <w:lang w:eastAsia="zh-CN"/>
                <w14:textFill>
                  <w14:solidFill>
                    <w14:schemeClr w14:val="tx1"/>
                  </w14:solidFill>
                </w14:textFill>
              </w:rPr>
            </w:pPr>
            <w:r>
              <w:rPr>
                <w:rFonts w:hint="default" w:ascii="Times New Roman" w:hAnsi="Times New Roman" w:eastAsia="仿宋" w:cs="Times New Roman"/>
                <w:bCs/>
                <w:color w:val="000000" w:themeColor="text1"/>
                <w:sz w:val="24"/>
                <w:szCs w:val="24"/>
                <w:highlight w:val="none"/>
                <w:lang w:val="en-US" w:eastAsia="zh-CN"/>
                <w14:textFill>
                  <w14:solidFill>
                    <w14:schemeClr w14:val="tx1"/>
                  </w14:solidFill>
                </w14:textFill>
              </w:rPr>
              <w:t>采区矿石通过公路运输，车辆行驶速度约为10</w:t>
            </w:r>
            <w:r>
              <w:rPr>
                <w:rFonts w:hint="eastAsia" w:eastAsia="仿宋" w:cs="Times New Roman"/>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仿宋" w:cs="Times New Roman"/>
                <w:bCs/>
                <w:color w:val="000000" w:themeColor="text1"/>
                <w:sz w:val="24"/>
                <w:szCs w:val="24"/>
                <w:highlight w:val="none"/>
                <w:lang w:val="en-US" w:eastAsia="zh-CN"/>
                <w14:textFill>
                  <w14:solidFill>
                    <w14:schemeClr w14:val="tx1"/>
                  </w14:solidFill>
                </w14:textFill>
              </w:rPr>
              <w:t>20km/h，产生的噪声源强约为75~80dB（A）。由于项目车速较慢，产生的噪声源强不大，因此，本次噪声预测只考虑噪声距离衰减，利用交通线声源计算模式和代入有关噪声源强，可预测出运输车辆交通噪声影响结果如下表。</w:t>
            </w:r>
          </w:p>
          <w:p w14:paraId="55C4D473">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仿宋" w:cs="Times New Roman"/>
                <w:b/>
                <w:color w:val="000000" w:themeColor="text1"/>
                <w:kern w:val="0"/>
                <w:szCs w:val="21"/>
                <w:highlight w:val="none"/>
                <w:lang w:val="en-US" w:eastAsia="zh-CN"/>
                <w14:textFill>
                  <w14:solidFill>
                    <w14:schemeClr w14:val="tx1"/>
                  </w14:solidFill>
                </w14:textFill>
              </w:rPr>
            </w:pPr>
            <w:r>
              <w:rPr>
                <w:rFonts w:hint="default" w:ascii="Times New Roman" w:hAnsi="Times New Roman" w:eastAsia="仿宋" w:cs="Times New Roman"/>
                <w:b/>
                <w:color w:val="000000" w:themeColor="text1"/>
                <w:kern w:val="0"/>
                <w:szCs w:val="21"/>
                <w:highlight w:val="none"/>
                <w:lang w:val="en-US" w:eastAsia="zh-CN"/>
                <w14:textFill>
                  <w14:solidFill>
                    <w14:schemeClr w14:val="tx1"/>
                  </w14:solidFill>
                </w14:textFill>
              </w:rPr>
              <w:t>表</w:t>
            </w:r>
            <w:r>
              <w:rPr>
                <w:rFonts w:hint="eastAsia" w:eastAsia="仿宋" w:cs="Times New Roman"/>
                <w:b/>
                <w:color w:val="000000" w:themeColor="text1"/>
                <w:kern w:val="0"/>
                <w:szCs w:val="21"/>
                <w:highlight w:val="none"/>
                <w:lang w:val="en-US" w:eastAsia="zh-CN"/>
                <w14:textFill>
                  <w14:solidFill>
                    <w14:schemeClr w14:val="tx1"/>
                  </w14:solidFill>
                </w14:textFill>
              </w:rPr>
              <w:t>48</w:t>
            </w:r>
            <w:r>
              <w:rPr>
                <w:rFonts w:hint="default" w:ascii="Times New Roman" w:hAnsi="Times New Roman" w:eastAsia="仿宋" w:cs="Times New Roman"/>
                <w:b/>
                <w:color w:val="000000" w:themeColor="text1"/>
                <w:kern w:val="0"/>
                <w:szCs w:val="21"/>
                <w:highlight w:val="none"/>
                <w:lang w:val="en-US" w:eastAsia="zh-CN"/>
                <w14:textFill>
                  <w14:solidFill>
                    <w14:schemeClr w14:val="tx1"/>
                  </w14:solidFill>
                </w14:textFill>
              </w:rPr>
              <w:t xml:space="preserve">   运输车辆交通噪声预测结果表</w:t>
            </w:r>
          </w:p>
          <w:tbl>
            <w:tblPr>
              <w:tblStyle w:val="23"/>
              <w:tblW w:w="5000"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038"/>
              <w:gridCol w:w="1036"/>
              <w:gridCol w:w="1038"/>
              <w:gridCol w:w="1036"/>
              <w:gridCol w:w="1038"/>
              <w:gridCol w:w="1036"/>
              <w:gridCol w:w="1045"/>
            </w:tblGrid>
            <w:tr w14:paraId="3A007CF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0" w:hRule="atLeast"/>
                <w:jc w:val="center"/>
              </w:trPr>
              <w:tc>
                <w:tcPr>
                  <w:tcW w:w="5000" w:type="pct"/>
                  <w:gridSpan w:val="7"/>
                  <w:tcBorders>
                    <w:tl2br w:val="nil"/>
                    <w:tr2bl w:val="nil"/>
                  </w:tcBorders>
                  <w:shd w:val="clear" w:color="auto" w:fill="auto"/>
                  <w:vAlign w:val="center"/>
                </w:tcPr>
                <w:p w14:paraId="065FEF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距离道路中心不同水平距离处的交通噪声值： dB(A)</w:t>
                  </w:r>
                </w:p>
              </w:tc>
            </w:tr>
            <w:tr w14:paraId="439E6E9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4" w:type="pct"/>
                  <w:tcBorders>
                    <w:tl2br w:val="nil"/>
                    <w:tr2bl w:val="nil"/>
                  </w:tcBorders>
                  <w:shd w:val="clear" w:color="auto" w:fill="auto"/>
                  <w:vAlign w:val="center"/>
                </w:tcPr>
                <w:p w14:paraId="04FFD7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10m</w:t>
                  </w:r>
                </w:p>
              </w:tc>
              <w:tc>
                <w:tcPr>
                  <w:tcW w:w="713" w:type="pct"/>
                  <w:tcBorders>
                    <w:tl2br w:val="nil"/>
                    <w:tr2bl w:val="nil"/>
                  </w:tcBorders>
                  <w:shd w:val="clear" w:color="auto" w:fill="auto"/>
                  <w:vAlign w:val="center"/>
                </w:tcPr>
                <w:p w14:paraId="612FAD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20m</w:t>
                  </w:r>
                </w:p>
              </w:tc>
              <w:tc>
                <w:tcPr>
                  <w:tcW w:w="714" w:type="pct"/>
                  <w:tcBorders>
                    <w:tl2br w:val="nil"/>
                    <w:tr2bl w:val="nil"/>
                  </w:tcBorders>
                  <w:shd w:val="clear" w:color="auto" w:fill="auto"/>
                  <w:vAlign w:val="center"/>
                </w:tcPr>
                <w:p w14:paraId="57A986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30m</w:t>
                  </w:r>
                </w:p>
              </w:tc>
              <w:tc>
                <w:tcPr>
                  <w:tcW w:w="713" w:type="pct"/>
                  <w:tcBorders>
                    <w:tl2br w:val="nil"/>
                    <w:tr2bl w:val="nil"/>
                  </w:tcBorders>
                  <w:shd w:val="clear" w:color="auto" w:fill="auto"/>
                  <w:vAlign w:val="center"/>
                </w:tcPr>
                <w:p w14:paraId="677262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40m</w:t>
                  </w:r>
                </w:p>
              </w:tc>
              <w:tc>
                <w:tcPr>
                  <w:tcW w:w="714" w:type="pct"/>
                  <w:tcBorders>
                    <w:tl2br w:val="nil"/>
                    <w:tr2bl w:val="nil"/>
                  </w:tcBorders>
                  <w:shd w:val="clear" w:color="auto" w:fill="auto"/>
                  <w:vAlign w:val="center"/>
                </w:tcPr>
                <w:p w14:paraId="1377EB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50m</w:t>
                  </w:r>
                </w:p>
              </w:tc>
              <w:tc>
                <w:tcPr>
                  <w:tcW w:w="713" w:type="pct"/>
                  <w:tcBorders>
                    <w:tl2br w:val="nil"/>
                    <w:tr2bl w:val="nil"/>
                  </w:tcBorders>
                  <w:shd w:val="clear" w:color="auto" w:fill="auto"/>
                  <w:vAlign w:val="center"/>
                </w:tcPr>
                <w:p w14:paraId="48C33D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60m</w:t>
                  </w:r>
                </w:p>
              </w:tc>
              <w:tc>
                <w:tcPr>
                  <w:tcW w:w="716" w:type="pct"/>
                  <w:tcBorders>
                    <w:tl2br w:val="nil"/>
                    <w:tr2bl w:val="nil"/>
                  </w:tcBorders>
                  <w:shd w:val="clear" w:color="auto" w:fill="auto"/>
                  <w:vAlign w:val="center"/>
                </w:tcPr>
                <w:p w14:paraId="0E9D56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70m</w:t>
                  </w:r>
                </w:p>
              </w:tc>
            </w:tr>
            <w:tr w14:paraId="300D1A7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4" w:type="pct"/>
                  <w:tcBorders>
                    <w:tl2br w:val="nil"/>
                    <w:tr2bl w:val="nil"/>
                  </w:tcBorders>
                  <w:shd w:val="clear" w:color="auto" w:fill="auto"/>
                  <w:vAlign w:val="center"/>
                </w:tcPr>
                <w:p w14:paraId="184BAD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 xml:space="preserve">65.47 </w:t>
                  </w:r>
                </w:p>
              </w:tc>
              <w:tc>
                <w:tcPr>
                  <w:tcW w:w="713" w:type="pct"/>
                  <w:tcBorders>
                    <w:tl2br w:val="nil"/>
                    <w:tr2bl w:val="nil"/>
                  </w:tcBorders>
                  <w:shd w:val="clear" w:color="auto" w:fill="auto"/>
                  <w:vAlign w:val="center"/>
                </w:tcPr>
                <w:p w14:paraId="284FCC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 xml:space="preserve">60.99 </w:t>
                  </w:r>
                </w:p>
              </w:tc>
              <w:tc>
                <w:tcPr>
                  <w:tcW w:w="714" w:type="pct"/>
                  <w:tcBorders>
                    <w:tl2br w:val="nil"/>
                    <w:tr2bl w:val="nil"/>
                  </w:tcBorders>
                  <w:shd w:val="clear" w:color="auto" w:fill="auto"/>
                  <w:vAlign w:val="center"/>
                </w:tcPr>
                <w:p w14:paraId="3130DD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 xml:space="preserve">55.24 </w:t>
                  </w:r>
                </w:p>
              </w:tc>
              <w:tc>
                <w:tcPr>
                  <w:tcW w:w="713" w:type="pct"/>
                  <w:tcBorders>
                    <w:tl2br w:val="nil"/>
                    <w:tr2bl w:val="nil"/>
                  </w:tcBorders>
                  <w:shd w:val="clear" w:color="auto" w:fill="auto"/>
                  <w:vAlign w:val="center"/>
                </w:tcPr>
                <w:p w14:paraId="435714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 xml:space="preserve">52.65 </w:t>
                  </w:r>
                </w:p>
              </w:tc>
              <w:tc>
                <w:tcPr>
                  <w:tcW w:w="714" w:type="pct"/>
                  <w:tcBorders>
                    <w:tl2br w:val="nil"/>
                    <w:tr2bl w:val="nil"/>
                  </w:tcBorders>
                  <w:shd w:val="clear" w:color="auto" w:fill="auto"/>
                  <w:vAlign w:val="center"/>
                </w:tcPr>
                <w:p w14:paraId="63E722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 xml:space="preserve">51.41 </w:t>
                  </w:r>
                </w:p>
              </w:tc>
              <w:tc>
                <w:tcPr>
                  <w:tcW w:w="713" w:type="pct"/>
                  <w:tcBorders>
                    <w:tl2br w:val="nil"/>
                    <w:tr2bl w:val="nil"/>
                  </w:tcBorders>
                  <w:shd w:val="clear" w:color="auto" w:fill="auto"/>
                  <w:vAlign w:val="center"/>
                </w:tcPr>
                <w:p w14:paraId="7358B2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 xml:space="preserve">50.39 </w:t>
                  </w:r>
                </w:p>
              </w:tc>
              <w:tc>
                <w:tcPr>
                  <w:tcW w:w="716" w:type="pct"/>
                  <w:tcBorders>
                    <w:tl2br w:val="nil"/>
                    <w:tr2bl w:val="nil"/>
                  </w:tcBorders>
                  <w:shd w:val="clear" w:color="auto" w:fill="auto"/>
                  <w:vAlign w:val="center"/>
                </w:tcPr>
                <w:p w14:paraId="5B4583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仿宋" w:cs="Times New Roman"/>
                      <w:i w:val="0"/>
                      <w:iCs w:val="0"/>
                      <w:color w:val="000000" w:themeColor="text1"/>
                      <w:kern w:val="0"/>
                      <w:sz w:val="21"/>
                      <w:szCs w:val="21"/>
                      <w:highlight w:val="none"/>
                      <w:u w:val="none"/>
                      <w:lang w:val="en-US" w:eastAsia="zh-CN" w:bidi="ar"/>
                      <w14:textFill>
                        <w14:solidFill>
                          <w14:schemeClr w14:val="tx1"/>
                        </w14:solidFill>
                      </w14:textFill>
                    </w:rPr>
                    <w:t xml:space="preserve">49.51 </w:t>
                  </w:r>
                </w:p>
              </w:tc>
            </w:tr>
          </w:tbl>
          <w:p w14:paraId="6BB4E95F">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由上表可知，为了减轻项目运输路线两侧敏感点的声环境影响，运输时需采取以下措施减少运输车辆交通噪声对路线两侧敏感点的影响：</w:t>
            </w:r>
          </w:p>
          <w:p w14:paraId="532D66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①严格执行机动车辆噪声限值控制法规和标准，严格控制机动车辆鸣笛、刹车和其他音响信号装置噪声等偶发噪声，重点检测和控制、定期保养和大修高噪声车辆消声器、刹车机构、发动机罩、车体板件等涉噪设备，保持车况完好，降低车速。</w:t>
            </w:r>
          </w:p>
          <w:p w14:paraId="5E0C82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pP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②合理安排矿石运输时间，可避免运输车辆噪声扰民、干扰周围居民的正常休息尽量避免在12</w:t>
            </w:r>
            <w:r>
              <w:rPr>
                <w:rFonts w:hint="eastAsia" w:eastAsia="仿宋" w:cs="Times New Roman"/>
                <w:color w:val="000000" w:themeColor="text1"/>
                <w:spacing w:val="0"/>
                <w:kern w:val="0"/>
                <w:position w:val="0"/>
                <w:sz w:val="24"/>
                <w:szCs w:val="24"/>
                <w:highlight w:val="none"/>
                <w:lang w:val="en-US" w:eastAsia="zh-CN" w:bidi="ar"/>
                <w14:textFill>
                  <w14:solidFill>
                    <w14:schemeClr w14:val="tx1"/>
                  </w14:solidFill>
                </w14:textFill>
              </w:rPr>
              <w:t>:</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00~ 14:30和22</w:t>
            </w:r>
            <w:r>
              <w:rPr>
                <w:rFonts w:hint="eastAsia" w:eastAsia="仿宋" w:cs="Times New Roman"/>
                <w:color w:val="000000" w:themeColor="text1"/>
                <w:spacing w:val="0"/>
                <w:kern w:val="0"/>
                <w:position w:val="0"/>
                <w:sz w:val="24"/>
                <w:szCs w:val="24"/>
                <w:highlight w:val="none"/>
                <w:lang w:val="en-US" w:eastAsia="zh-CN" w:bidi="ar"/>
                <w14:textFill>
                  <w14:solidFill>
                    <w14:schemeClr w14:val="tx1"/>
                  </w14:solidFill>
                </w14:textFill>
              </w:rPr>
              <w:t>:</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00</w:t>
            </w:r>
            <w:r>
              <w:rPr>
                <w:rFonts w:hint="eastAsia" w:eastAsia="仿宋" w:cs="Times New Roman"/>
                <w:color w:val="000000" w:themeColor="text1"/>
                <w:spacing w:val="0"/>
                <w:kern w:val="0"/>
                <w:position w:val="0"/>
                <w:sz w:val="24"/>
                <w:szCs w:val="24"/>
                <w:highlight w:val="none"/>
                <w:lang w:val="en-US" w:eastAsia="zh-CN" w:bidi="ar"/>
                <w14:textFill>
                  <w14:solidFill>
                    <w14:schemeClr w14:val="tx1"/>
                  </w14:solidFill>
                </w14:textFill>
              </w:rPr>
              <w:t>～</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次日6</w:t>
            </w:r>
            <w:r>
              <w:rPr>
                <w:rFonts w:hint="eastAsia" w:eastAsia="仿宋" w:cs="Times New Roman"/>
                <w:color w:val="000000" w:themeColor="text1"/>
                <w:spacing w:val="0"/>
                <w:kern w:val="0"/>
                <w:position w:val="0"/>
                <w:sz w:val="24"/>
                <w:szCs w:val="24"/>
                <w:highlight w:val="none"/>
                <w:lang w:val="en-US" w:eastAsia="zh-CN" w:bidi="ar"/>
                <w14:textFill>
                  <w14:solidFill>
                    <w14:schemeClr w14:val="tx1"/>
                  </w14:solidFill>
                </w14:textFill>
              </w:rPr>
              <w:t>:</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00期间运输矿石。</w:t>
            </w:r>
          </w:p>
          <w:p w14:paraId="1E19CCCC">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pPr>
            <w:r>
              <w:rPr>
                <w:rFonts w:hint="eastAsia"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2.3.3</w:t>
            </w:r>
            <w:r>
              <w:rPr>
                <w:rFonts w:hint="eastAsia" w:ascii="Times New Roman" w:hAnsi="Times New Roman" w:eastAsia="仿宋" w:cs="Times New Roman"/>
                <w:b w:val="0"/>
                <w:bCs w:val="0"/>
                <w:color w:val="000000" w:themeColor="text1"/>
                <w:spacing w:val="0"/>
                <w:kern w:val="0"/>
                <w:position w:val="0"/>
                <w:sz w:val="24"/>
                <w:szCs w:val="24"/>
                <w:highlight w:val="none"/>
                <w:lang w:val="en-US" w:eastAsia="zh-CN" w:bidi="ar"/>
                <w14:textFill>
                  <w14:solidFill>
                    <w14:schemeClr w14:val="tx1"/>
                  </w14:solidFill>
                </w14:textFill>
              </w:rPr>
              <w:t>噪声排放监测计划</w:t>
            </w:r>
          </w:p>
          <w:p w14:paraId="7796587B">
            <w:pPr>
              <w:adjustRightInd w:val="0"/>
              <w:snapToGrid w:val="0"/>
              <w:spacing w:line="360" w:lineRule="auto"/>
              <w:ind w:firstLine="440" w:firstLineChars="200"/>
              <w:jc w:val="left"/>
              <w:rPr>
                <w:rFonts w:eastAsia="仿宋"/>
                <w:bCs/>
                <w:color w:val="000000" w:themeColor="text1"/>
                <w:spacing w:val="-10"/>
                <w:sz w:val="24"/>
                <w14:textFill>
                  <w14:solidFill>
                    <w14:schemeClr w14:val="tx1"/>
                  </w14:solidFill>
                </w14:textFill>
              </w:rPr>
            </w:pPr>
            <w:r>
              <w:rPr>
                <w:rFonts w:hint="eastAsia" w:ascii="宋体" w:hAnsi="宋体" w:cs="宋体"/>
                <w:bCs/>
                <w:color w:val="000000" w:themeColor="text1"/>
                <w:spacing w:val="-10"/>
                <w:sz w:val="24"/>
                <w14:textFill>
                  <w14:solidFill>
                    <w14:schemeClr w14:val="tx1"/>
                  </w14:solidFill>
                </w14:textFill>
              </w:rPr>
              <w:t>⑴</w:t>
            </w:r>
            <w:r>
              <w:rPr>
                <w:rFonts w:eastAsia="仿宋"/>
                <w:bCs/>
                <w:color w:val="000000" w:themeColor="text1"/>
                <w:spacing w:val="-10"/>
                <w:sz w:val="24"/>
                <w14:textFill>
                  <w14:solidFill>
                    <w14:schemeClr w14:val="tx1"/>
                  </w14:solidFill>
                </w14:textFill>
              </w:rPr>
              <w:t>监测机构设置</w:t>
            </w:r>
          </w:p>
          <w:p w14:paraId="4EEB2DAD">
            <w:pPr>
              <w:adjustRightInd w:val="0"/>
              <w:snapToGrid w:val="0"/>
              <w:spacing w:line="360" w:lineRule="auto"/>
              <w:ind w:firstLine="480" w:firstLineChars="200"/>
              <w:jc w:val="left"/>
              <w:rPr>
                <w:rFonts w:eastAsia="仿宋"/>
                <w:bCs/>
                <w:color w:val="000000" w:themeColor="text1"/>
                <w:spacing w:val="-10"/>
                <w:sz w:val="24"/>
                <w14:textFill>
                  <w14:solidFill>
                    <w14:schemeClr w14:val="tx1"/>
                  </w14:solidFill>
                </w14:textFill>
              </w:rPr>
            </w:pPr>
            <w:r>
              <w:rPr>
                <w:rFonts w:eastAsia="仿宋"/>
                <w:color w:val="000000" w:themeColor="text1"/>
                <w:sz w:val="24"/>
                <w14:textFill>
                  <w14:solidFill>
                    <w14:schemeClr w14:val="tx1"/>
                  </w14:solidFill>
                </w14:textFill>
              </w:rPr>
              <w:t>本项目厂界噪声排放监测委托有资质的第三方监测单位承担。</w:t>
            </w:r>
          </w:p>
          <w:p w14:paraId="31BBE624">
            <w:pPr>
              <w:adjustRightInd w:val="0"/>
              <w:snapToGrid w:val="0"/>
              <w:spacing w:line="360" w:lineRule="auto"/>
              <w:ind w:firstLine="440" w:firstLineChars="200"/>
              <w:jc w:val="left"/>
              <w:rPr>
                <w:rFonts w:eastAsia="仿宋"/>
                <w:bCs/>
                <w:color w:val="000000" w:themeColor="text1"/>
                <w:spacing w:val="-10"/>
                <w:sz w:val="24"/>
                <w14:textFill>
                  <w14:solidFill>
                    <w14:schemeClr w14:val="tx1"/>
                  </w14:solidFill>
                </w14:textFill>
              </w:rPr>
            </w:pPr>
            <w:r>
              <w:rPr>
                <w:rFonts w:hint="eastAsia" w:ascii="宋体" w:hAnsi="宋体" w:cs="宋体"/>
                <w:bCs/>
                <w:color w:val="000000" w:themeColor="text1"/>
                <w:spacing w:val="-10"/>
                <w:sz w:val="24"/>
                <w14:textFill>
                  <w14:solidFill>
                    <w14:schemeClr w14:val="tx1"/>
                  </w14:solidFill>
                </w14:textFill>
              </w:rPr>
              <w:t>⑵</w:t>
            </w:r>
            <w:r>
              <w:rPr>
                <w:rFonts w:eastAsia="仿宋"/>
                <w:bCs/>
                <w:color w:val="000000" w:themeColor="text1"/>
                <w:spacing w:val="-10"/>
                <w:sz w:val="24"/>
                <w14:textFill>
                  <w14:solidFill>
                    <w14:schemeClr w14:val="tx1"/>
                  </w14:solidFill>
                </w14:textFill>
              </w:rPr>
              <w:t>监测项目</w:t>
            </w:r>
          </w:p>
          <w:p w14:paraId="729CB757">
            <w:pPr>
              <w:adjustRightInd w:val="0"/>
              <w:snapToGrid w:val="0"/>
              <w:spacing w:line="360" w:lineRule="auto"/>
              <w:ind w:firstLine="480" w:firstLineChars="200"/>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14:textFill>
                  <w14:solidFill>
                    <w14:schemeClr w14:val="tx1"/>
                  </w14:solidFill>
                </w14:textFill>
              </w:rPr>
              <w:t>根据</w:t>
            </w:r>
            <w:r>
              <w:rPr>
                <w:rFonts w:hint="default" w:ascii="Times New Roman" w:hAnsi="Times New Roman" w:eastAsia="仿宋" w:cs="Times New Roman"/>
                <w:bCs/>
                <w:color w:val="000000" w:themeColor="text1"/>
                <w:kern w:val="0"/>
                <w:sz w:val="24"/>
                <w14:textFill>
                  <w14:solidFill>
                    <w14:schemeClr w14:val="tx1"/>
                  </w14:solidFill>
                </w14:textFill>
              </w:rPr>
              <w:t>《排污单位自行监测技术指南</w:t>
            </w:r>
            <w:r>
              <w:rPr>
                <w:rFonts w:hint="eastAsia" w:eastAsia="仿宋" w:cs="Times New Roman"/>
                <w:bCs/>
                <w:color w:val="000000" w:themeColor="text1"/>
                <w:kern w:val="0"/>
                <w:sz w:val="24"/>
                <w:lang w:val="en-US" w:eastAsia="zh-CN"/>
                <w14:textFill>
                  <w14:solidFill>
                    <w14:schemeClr w14:val="tx1"/>
                  </w14:solidFill>
                </w14:textFill>
              </w:rPr>
              <w:t>-</w:t>
            </w:r>
            <w:r>
              <w:rPr>
                <w:rFonts w:hint="default" w:ascii="Times New Roman" w:hAnsi="Times New Roman" w:eastAsia="仿宋" w:cs="Times New Roman"/>
                <w:bCs/>
                <w:color w:val="000000" w:themeColor="text1"/>
                <w:kern w:val="0"/>
                <w:sz w:val="24"/>
                <w14:textFill>
                  <w14:solidFill>
                    <w14:schemeClr w14:val="tx1"/>
                  </w14:solidFill>
                </w14:textFill>
              </w:rPr>
              <w:t>总则》（HJ819-2017）</w:t>
            </w:r>
            <w:r>
              <w:rPr>
                <w:rFonts w:hint="default" w:ascii="Times New Roman" w:hAnsi="Times New Roman" w:eastAsia="仿宋" w:cs="Times New Roman"/>
                <w:color w:val="000000" w:themeColor="text1"/>
                <w:kern w:val="0"/>
                <w:sz w:val="24"/>
                <w14:textFill>
                  <w14:solidFill>
                    <w14:schemeClr w14:val="tx1"/>
                  </w14:solidFill>
                </w14:textFill>
              </w:rPr>
              <w:t>中的监测要求</w:t>
            </w:r>
            <w:r>
              <w:rPr>
                <w:rFonts w:hint="default" w:ascii="Times New Roman" w:hAnsi="Times New Roman" w:eastAsia="仿宋" w:cs="Times New Roman"/>
                <w:color w:val="000000" w:themeColor="text1"/>
                <w:sz w:val="24"/>
                <w14:textFill>
                  <w14:solidFill>
                    <w14:schemeClr w14:val="tx1"/>
                  </w14:solidFill>
                </w14:textFill>
              </w:rPr>
              <w:t>，本项目监测项目如下：</w:t>
            </w:r>
          </w:p>
          <w:p w14:paraId="1C6069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
                <w:bCs/>
                <w:snapToGrid w:val="0"/>
                <w:color w:val="000000" w:themeColor="text1"/>
                <w:kern w:val="0"/>
                <w:szCs w:val="21"/>
                <w:lang w:val="en-US" w:eastAsia="zh-CN"/>
                <w14:textFill>
                  <w14:solidFill>
                    <w14:schemeClr w14:val="tx1"/>
                  </w14:solidFill>
                </w14:textFill>
              </w:rPr>
            </w:pPr>
            <w:r>
              <w:rPr>
                <w:rFonts w:hint="default" w:ascii="Times New Roman" w:hAnsi="Times New Roman" w:eastAsia="仿宋" w:cs="Times New Roman"/>
                <w:b/>
                <w:bCs/>
                <w:snapToGrid w:val="0"/>
                <w:color w:val="000000" w:themeColor="text1"/>
                <w:kern w:val="0"/>
                <w:szCs w:val="21"/>
                <w:lang w:val="en-US" w:eastAsia="zh-CN"/>
                <w14:textFill>
                  <w14:solidFill>
                    <w14:schemeClr w14:val="tx1"/>
                  </w14:solidFill>
                </w14:textFill>
              </w:rPr>
              <w:t>表</w:t>
            </w:r>
            <w:r>
              <w:rPr>
                <w:rFonts w:hint="eastAsia" w:eastAsia="仿宋" w:cs="Times New Roman"/>
                <w:b/>
                <w:bCs/>
                <w:snapToGrid w:val="0"/>
                <w:color w:val="000000" w:themeColor="text1"/>
                <w:kern w:val="0"/>
                <w:szCs w:val="21"/>
                <w:lang w:val="en-US" w:eastAsia="zh-CN"/>
                <w14:textFill>
                  <w14:solidFill>
                    <w14:schemeClr w14:val="tx1"/>
                  </w14:solidFill>
                </w14:textFill>
              </w:rPr>
              <w:t>49</w:t>
            </w:r>
            <w:r>
              <w:rPr>
                <w:rFonts w:hint="eastAsia" w:ascii="Times New Roman" w:hAnsi="Times New Roman" w:eastAsia="仿宋" w:cs="Times New Roman"/>
                <w:b/>
                <w:bCs/>
                <w:snapToGrid w:val="0"/>
                <w:color w:val="000000" w:themeColor="text1"/>
                <w:kern w:val="0"/>
                <w:szCs w:val="21"/>
                <w:lang w:val="en-US" w:eastAsia="zh-CN"/>
                <w14:textFill>
                  <w14:solidFill>
                    <w14:schemeClr w14:val="tx1"/>
                  </w14:solidFill>
                </w14:textFill>
              </w:rPr>
              <w:t xml:space="preserve">  </w:t>
            </w:r>
            <w:r>
              <w:rPr>
                <w:rFonts w:hint="default" w:ascii="Times New Roman" w:hAnsi="Times New Roman" w:eastAsia="仿宋" w:cs="Times New Roman"/>
                <w:b/>
                <w:bCs/>
                <w:snapToGrid w:val="0"/>
                <w:color w:val="000000" w:themeColor="text1"/>
                <w:kern w:val="0"/>
                <w:szCs w:val="21"/>
                <w:lang w:val="en-US" w:eastAsia="zh-CN"/>
                <w14:textFill>
                  <w14:solidFill>
                    <w14:schemeClr w14:val="tx1"/>
                  </w14:solidFill>
                </w14:textFill>
              </w:rPr>
              <w:t xml:space="preserve"> 厂界噪声监测计划表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38"/>
              <w:gridCol w:w="1343"/>
              <w:gridCol w:w="1872"/>
              <w:gridCol w:w="3014"/>
            </w:tblGrid>
            <w:tr w14:paraId="3E1FA2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14" w:type="pct"/>
                  <w:tcBorders>
                    <w:tl2br w:val="nil"/>
                    <w:tr2bl w:val="nil"/>
                  </w:tcBorders>
                  <w:noWrap w:val="0"/>
                  <w:vAlign w:val="center"/>
                </w:tcPr>
                <w:p w14:paraId="79E774FE">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类别</w:t>
                  </w:r>
                </w:p>
              </w:tc>
              <w:tc>
                <w:tcPr>
                  <w:tcW w:w="924" w:type="pct"/>
                  <w:tcBorders>
                    <w:tl2br w:val="nil"/>
                    <w:tr2bl w:val="nil"/>
                  </w:tcBorders>
                  <w:noWrap w:val="0"/>
                  <w:vAlign w:val="center"/>
                </w:tcPr>
                <w:p w14:paraId="0314545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监测项目</w:t>
                  </w:r>
                </w:p>
              </w:tc>
              <w:tc>
                <w:tcPr>
                  <w:tcW w:w="1288" w:type="pct"/>
                  <w:tcBorders>
                    <w:tl2br w:val="nil"/>
                    <w:tr2bl w:val="nil"/>
                  </w:tcBorders>
                  <w:noWrap w:val="0"/>
                  <w:vAlign w:val="center"/>
                </w:tcPr>
                <w:p w14:paraId="5C595D33">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监测频次</w:t>
                  </w:r>
                </w:p>
              </w:tc>
              <w:tc>
                <w:tcPr>
                  <w:tcW w:w="2074" w:type="pct"/>
                  <w:tcBorders>
                    <w:tl2br w:val="nil"/>
                    <w:tr2bl w:val="nil"/>
                  </w:tcBorders>
                  <w:noWrap w:val="0"/>
                  <w:vAlign w:val="center"/>
                </w:tcPr>
                <w:p w14:paraId="6DCAC44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监测位置</w:t>
                  </w:r>
                </w:p>
              </w:tc>
            </w:tr>
            <w:tr w14:paraId="5FD262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14" w:type="pct"/>
                  <w:tcBorders>
                    <w:tl2br w:val="nil"/>
                    <w:tr2bl w:val="nil"/>
                  </w:tcBorders>
                  <w:noWrap w:val="0"/>
                  <w:vAlign w:val="center"/>
                </w:tcPr>
                <w:p w14:paraId="0DE9BE5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噪声</w:t>
                  </w:r>
                </w:p>
              </w:tc>
              <w:tc>
                <w:tcPr>
                  <w:tcW w:w="924" w:type="pct"/>
                  <w:tcBorders>
                    <w:tl2br w:val="nil"/>
                    <w:tr2bl w:val="nil"/>
                  </w:tcBorders>
                  <w:noWrap w:val="0"/>
                  <w:vAlign w:val="center"/>
                </w:tcPr>
                <w:p w14:paraId="5C8F3C07">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噪声</w:t>
                  </w:r>
                </w:p>
                <w:p w14:paraId="373259C2">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14:textFill>
                        <w14:solidFill>
                          <w14:schemeClr w14:val="tx1"/>
                        </w14:solidFill>
                      </w14:textFill>
                    </w:rPr>
                  </w:pPr>
                </w:p>
              </w:tc>
              <w:tc>
                <w:tcPr>
                  <w:tcW w:w="1288" w:type="pct"/>
                  <w:tcBorders>
                    <w:tl2br w:val="nil"/>
                    <w:tr2bl w:val="nil"/>
                  </w:tcBorders>
                  <w:noWrap w:val="0"/>
                  <w:vAlign w:val="center"/>
                </w:tcPr>
                <w:p w14:paraId="73FB6A09">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每季度一次</w:t>
                  </w:r>
                </w:p>
              </w:tc>
              <w:tc>
                <w:tcPr>
                  <w:tcW w:w="2074" w:type="pct"/>
                  <w:tcBorders>
                    <w:tl2br w:val="nil"/>
                    <w:tr2bl w:val="nil"/>
                  </w:tcBorders>
                  <w:noWrap w:val="0"/>
                  <w:vAlign w:val="center"/>
                </w:tcPr>
                <w:p w14:paraId="0211DA72">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厂界四周外 1m 处</w:t>
                  </w:r>
                </w:p>
                <w:p w14:paraId="0CD31BE7">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14:textFill>
                        <w14:solidFill>
                          <w14:schemeClr w14:val="tx1"/>
                        </w14:solidFill>
                      </w14:textFill>
                    </w:rPr>
                  </w:pPr>
                </w:p>
              </w:tc>
            </w:tr>
          </w:tbl>
          <w:p w14:paraId="66FFC0ED">
            <w:pPr>
              <w:keepNext w:val="0"/>
              <w:keepLines w:val="0"/>
              <w:pageBreakBefore w:val="0"/>
              <w:widowControl/>
              <w:suppressLineNumbers w:val="0"/>
              <w:kinsoku/>
              <w:wordWrap/>
              <w:overflowPunct/>
              <w:topLinePunct w:val="0"/>
              <w:autoSpaceDE/>
              <w:autoSpaceDN/>
              <w:bidi w:val="0"/>
              <w:adjustRightInd w:val="0"/>
              <w:snapToGrid w:val="0"/>
              <w:spacing w:before="157" w:beforeLines="50" w:line="360" w:lineRule="auto"/>
              <w:ind w:left="0" w:right="0" w:firstLine="482" w:firstLineChars="200"/>
              <w:jc w:val="both"/>
              <w:textAlignment w:val="auto"/>
              <w:rPr>
                <w:rFonts w:hint="default" w:ascii="Times New Roman" w:hAnsi="Times New Roman" w:eastAsia="仿宋" w:cs="Times New Roman"/>
                <w:b/>
                <w:bCs/>
                <w:color w:val="FF0000"/>
                <w:spacing w:val="0"/>
                <w:kern w:val="0"/>
                <w:position w:val="0"/>
                <w:sz w:val="24"/>
                <w:szCs w:val="24"/>
                <w:highlight w:val="none"/>
                <w:lang w:val="en-US" w:eastAsia="zh-CN" w:bidi="ar"/>
              </w:rPr>
            </w:pPr>
            <w:r>
              <w:rPr>
                <w:rFonts w:hint="default" w:ascii="Times New Roman" w:hAnsi="Times New Roman" w:eastAsia="仿宋" w:cs="Times New Roman"/>
                <w:b/>
                <w:bCs/>
                <w:color w:val="FF0000"/>
                <w:spacing w:val="0"/>
                <w:kern w:val="0"/>
                <w:position w:val="0"/>
                <w:sz w:val="24"/>
                <w:szCs w:val="24"/>
                <w:highlight w:val="none"/>
                <w:lang w:val="en-US" w:eastAsia="zh-CN" w:bidi="ar"/>
              </w:rPr>
              <w:t>2.4固体废物</w:t>
            </w:r>
          </w:p>
          <w:p w14:paraId="3F5EDE84">
            <w:pPr>
              <w:pStyle w:val="59"/>
              <w:keepNext w:val="0"/>
              <w:keepLines w:val="0"/>
              <w:pageBreakBefore w:val="0"/>
              <w:widowControl w:val="0"/>
              <w:kinsoku/>
              <w:wordWrap/>
              <w:overflowPunct/>
              <w:topLinePunct w:val="0"/>
              <w:autoSpaceDE/>
              <w:autoSpaceDN/>
              <w:bidi w:val="0"/>
              <w:adjustRightInd w:val="0"/>
              <w:snapToGrid w:val="0"/>
              <w:spacing w:line="360" w:lineRule="auto"/>
              <w:ind w:left="0" w:firstLine="472" w:firstLineChars="200"/>
              <w:textAlignment w:val="auto"/>
              <w:rPr>
                <w:rFonts w:hint="default" w:ascii="Times New Roman" w:hAnsi="Times New Roman" w:eastAsia="仿宋" w:cs="Times New Roman"/>
                <w:color w:val="FF0000"/>
                <w:highlight w:val="none"/>
                <w:lang w:val="en-US" w:eastAsia="zh-CN"/>
              </w:rPr>
            </w:pPr>
            <w:r>
              <w:rPr>
                <w:rFonts w:hint="default" w:ascii="Times New Roman" w:hAnsi="Times New Roman" w:eastAsia="仿宋" w:cs="Times New Roman"/>
                <w:color w:val="FF0000"/>
                <w:spacing w:val="-2"/>
                <w:highlight w:val="none"/>
              </w:rPr>
              <w:t>⑴</w:t>
            </w:r>
            <w:r>
              <w:rPr>
                <w:rFonts w:hint="eastAsia" w:ascii="Times New Roman" w:hAnsi="Times New Roman" w:eastAsia="仿宋" w:cs="Times New Roman"/>
                <w:color w:val="FF0000"/>
                <w:spacing w:val="-2"/>
                <w:highlight w:val="none"/>
                <w:lang w:val="en-US" w:eastAsia="zh-CN"/>
              </w:rPr>
              <w:t>剥离表土</w:t>
            </w:r>
            <w:r>
              <w:rPr>
                <w:rFonts w:hint="default" w:ascii="Times New Roman" w:hAnsi="Times New Roman" w:eastAsia="仿宋" w:cs="Times New Roman"/>
                <w:color w:val="FF0000"/>
                <w:spacing w:val="-2"/>
                <w:highlight w:val="none"/>
                <w:lang w:val="en-US" w:eastAsia="zh-CN"/>
              </w:rPr>
              <w:t>（S1）</w:t>
            </w:r>
          </w:p>
          <w:p w14:paraId="561CD2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eastAsia="仿宋" w:cs="Times New Roman"/>
                <w:color w:val="FF0000"/>
                <w:sz w:val="24"/>
                <w:highlight w:val="none"/>
                <w:lang w:val="en-US" w:eastAsia="zh-CN"/>
              </w:rPr>
            </w:pPr>
            <w:r>
              <w:rPr>
                <w:rFonts w:hint="eastAsia" w:eastAsia="仿宋" w:cs="Times New Roman"/>
                <w:color w:val="FF0000"/>
                <w:sz w:val="24"/>
                <w:highlight w:val="none"/>
                <w:lang w:val="en-US" w:eastAsia="zh-CN"/>
              </w:rPr>
              <w:t>根据《</w:t>
            </w:r>
            <w:r>
              <w:rPr>
                <w:rFonts w:hint="default" w:ascii="Times New Roman" w:hAnsi="Times New Roman" w:eastAsia="仿宋" w:cs="Times New Roman"/>
                <w:color w:val="FF0000"/>
                <w:spacing w:val="0"/>
                <w:kern w:val="0"/>
                <w:position w:val="0"/>
                <w:sz w:val="24"/>
                <w:szCs w:val="24"/>
                <w:highlight w:val="none"/>
                <w:lang w:val="en-US" w:eastAsia="zh-CN" w:bidi="ar"/>
              </w:rPr>
              <w:t>临泽县金源矿业有限责任公司平川镇羊圈湾冶金用石英岩矿</w:t>
            </w:r>
            <w:r>
              <w:rPr>
                <w:rFonts w:hint="eastAsia" w:ascii="Times New Roman" w:hAnsi="Times New Roman" w:eastAsia="仿宋" w:cs="Times New Roman"/>
                <w:color w:val="FF0000"/>
                <w:spacing w:val="0"/>
                <w:kern w:val="0"/>
                <w:position w:val="0"/>
                <w:sz w:val="24"/>
                <w:szCs w:val="24"/>
                <w:highlight w:val="none"/>
                <w:lang w:val="en-US" w:eastAsia="zh-CN" w:bidi="ar"/>
              </w:rPr>
              <w:t>开采方案</w:t>
            </w:r>
            <w:r>
              <w:rPr>
                <w:rFonts w:hint="default" w:ascii="Times New Roman" w:hAnsi="Times New Roman" w:eastAsia="仿宋" w:cs="Times New Roman"/>
                <w:color w:val="FF0000"/>
                <w:spacing w:val="0"/>
                <w:kern w:val="0"/>
                <w:position w:val="0"/>
                <w:sz w:val="24"/>
                <w:szCs w:val="24"/>
                <w:highlight w:val="none"/>
                <w:lang w:val="en-US" w:eastAsia="zh-CN" w:bidi="ar"/>
              </w:rPr>
              <w:t>与</w:t>
            </w:r>
            <w:r>
              <w:rPr>
                <w:rFonts w:hint="eastAsia" w:ascii="Times New Roman" w:hAnsi="Times New Roman" w:eastAsia="仿宋" w:cs="Times New Roman"/>
                <w:color w:val="FF0000"/>
                <w:spacing w:val="0"/>
                <w:kern w:val="0"/>
                <w:position w:val="0"/>
                <w:sz w:val="24"/>
                <w:szCs w:val="24"/>
                <w:highlight w:val="none"/>
                <w:lang w:val="en-US" w:eastAsia="zh-CN" w:bidi="ar"/>
              </w:rPr>
              <w:t>矿区生态修复</w:t>
            </w:r>
            <w:r>
              <w:rPr>
                <w:rFonts w:hint="default" w:ascii="Times New Roman" w:hAnsi="Times New Roman" w:eastAsia="仿宋" w:cs="Times New Roman"/>
                <w:color w:val="FF0000"/>
                <w:spacing w:val="0"/>
                <w:kern w:val="0"/>
                <w:position w:val="0"/>
                <w:sz w:val="24"/>
                <w:szCs w:val="24"/>
                <w:highlight w:val="none"/>
                <w:lang w:val="en-US" w:eastAsia="zh-CN" w:bidi="ar"/>
              </w:rPr>
              <w:t>方案</w:t>
            </w:r>
            <w:r>
              <w:rPr>
                <w:rFonts w:hint="eastAsia" w:eastAsia="仿宋" w:cs="Times New Roman"/>
                <w:color w:val="FF0000"/>
                <w:sz w:val="24"/>
                <w:highlight w:val="none"/>
                <w:lang w:val="en-US" w:eastAsia="zh-CN"/>
              </w:rPr>
              <w:t>》，</w:t>
            </w:r>
            <w:r>
              <w:rPr>
                <w:rFonts w:hint="eastAsia" w:ascii="Times New Roman" w:hAnsi="Times New Roman" w:eastAsia="仿宋" w:cs="Times New Roman"/>
                <w:color w:val="FF0000"/>
                <w:sz w:val="24"/>
                <w:highlight w:val="none"/>
                <w:lang w:val="en-US" w:eastAsia="zh-CN"/>
              </w:rPr>
              <w:t>本项目表土剥离量</w:t>
            </w:r>
            <w:r>
              <w:rPr>
                <w:rFonts w:hint="eastAsia" w:eastAsia="仿宋" w:cs="Times New Roman"/>
                <w:color w:val="FF0000"/>
                <w:sz w:val="24"/>
                <w:highlight w:val="none"/>
                <w:lang w:val="en-US" w:eastAsia="zh-CN"/>
              </w:rPr>
              <w:t>150000</w:t>
            </w:r>
            <w:r>
              <w:rPr>
                <w:rFonts w:hint="default" w:ascii="Times New Roman" w:hAnsi="Times New Roman" w:eastAsia="仿宋" w:cs="Times New Roman"/>
                <w:color w:val="FF0000"/>
                <w:sz w:val="24"/>
                <w:highlight w:val="none"/>
                <w:lang w:val="en-US" w:eastAsia="zh-CN"/>
              </w:rPr>
              <w:t>m</w:t>
            </w:r>
            <w:r>
              <w:rPr>
                <w:rFonts w:hint="default" w:ascii="Times New Roman" w:hAnsi="Times New Roman" w:eastAsia="仿宋" w:cs="Times New Roman"/>
                <w:color w:val="FF0000"/>
                <w:sz w:val="24"/>
                <w:highlight w:val="none"/>
                <w:vertAlign w:val="superscript"/>
                <w:lang w:val="en-US" w:eastAsia="zh-CN"/>
              </w:rPr>
              <w:t>3</w:t>
            </w:r>
            <w:r>
              <w:rPr>
                <w:rFonts w:hint="eastAsia" w:ascii="Times New Roman" w:hAnsi="Times New Roman" w:eastAsia="仿宋" w:cs="Times New Roman"/>
                <w:color w:val="FF0000"/>
                <w:sz w:val="24"/>
                <w:highlight w:val="none"/>
                <w:lang w:val="en-US" w:eastAsia="zh-CN"/>
              </w:rPr>
              <w:t>，</w:t>
            </w:r>
            <w:r>
              <w:rPr>
                <w:rFonts w:hint="eastAsia" w:eastAsia="仿宋" w:cs="Times New Roman"/>
                <w:color w:val="FF0000"/>
                <w:sz w:val="24"/>
                <w:highlight w:val="none"/>
                <w:lang w:val="en-US" w:eastAsia="zh-CN"/>
              </w:rPr>
              <w:t>地表剥离量为195000</w:t>
            </w:r>
            <w:r>
              <w:rPr>
                <w:rFonts w:hint="default" w:ascii="Times New Roman" w:hAnsi="Times New Roman" w:eastAsia="仿宋" w:cs="Times New Roman"/>
                <w:color w:val="FF0000"/>
                <w:sz w:val="24"/>
                <w:highlight w:val="none"/>
                <w:lang w:val="en-US" w:eastAsia="zh-CN"/>
              </w:rPr>
              <w:t>t</w:t>
            </w:r>
            <w:r>
              <w:rPr>
                <w:rFonts w:hint="eastAsia" w:ascii="Times New Roman" w:hAnsi="Times New Roman" w:eastAsia="仿宋" w:cs="Times New Roman"/>
                <w:color w:val="FF0000"/>
                <w:sz w:val="24"/>
                <w:highlight w:val="none"/>
                <w:lang w:val="en-US" w:eastAsia="zh-CN"/>
              </w:rPr>
              <w:t>（土容重取</w:t>
            </w:r>
            <w:r>
              <w:rPr>
                <w:rFonts w:hint="default" w:ascii="Times New Roman" w:hAnsi="Times New Roman" w:eastAsia="仿宋" w:cs="Times New Roman"/>
                <w:color w:val="FF0000"/>
                <w:sz w:val="24"/>
                <w:highlight w:val="none"/>
                <w:lang w:val="en-US" w:eastAsia="zh-CN"/>
              </w:rPr>
              <w:t>1.3t/m</w:t>
            </w:r>
            <w:r>
              <w:rPr>
                <w:rFonts w:hint="default" w:ascii="Times New Roman" w:hAnsi="Times New Roman" w:eastAsia="仿宋" w:cs="Times New Roman"/>
                <w:color w:val="FF0000"/>
                <w:sz w:val="24"/>
                <w:highlight w:val="none"/>
                <w:vertAlign w:val="superscript"/>
                <w:lang w:val="en-US" w:eastAsia="zh-CN"/>
              </w:rPr>
              <w:t>3</w:t>
            </w:r>
            <w:r>
              <w:rPr>
                <w:rFonts w:hint="eastAsia" w:ascii="Times New Roman" w:hAnsi="Times New Roman" w:eastAsia="仿宋" w:cs="Times New Roman"/>
                <w:color w:val="FF0000"/>
                <w:sz w:val="24"/>
                <w:highlight w:val="none"/>
                <w:lang w:val="en-US" w:eastAsia="zh-CN"/>
              </w:rPr>
              <w:t>），服务年限为10.4a，则表土剥离量为</w:t>
            </w:r>
            <w:r>
              <w:rPr>
                <w:rFonts w:hint="eastAsia" w:eastAsia="仿宋" w:cs="Times New Roman"/>
                <w:color w:val="FF0000"/>
                <w:sz w:val="24"/>
                <w:highlight w:val="none"/>
                <w:lang w:val="en-US" w:eastAsia="zh-CN"/>
              </w:rPr>
              <w:t>18750</w:t>
            </w:r>
            <w:r>
              <w:rPr>
                <w:rFonts w:hint="default" w:ascii="Times New Roman" w:hAnsi="Times New Roman" w:eastAsia="仿宋" w:cs="Times New Roman"/>
                <w:color w:val="FF0000"/>
                <w:sz w:val="24"/>
                <w:highlight w:val="none"/>
                <w:lang w:val="en-US" w:eastAsia="zh-CN"/>
              </w:rPr>
              <w:t>t/a</w:t>
            </w:r>
            <w:r>
              <w:rPr>
                <w:rFonts w:hint="eastAsia" w:eastAsia="仿宋" w:cs="Times New Roman"/>
                <w:color w:val="FF0000"/>
                <w:sz w:val="24"/>
                <w:highlight w:val="none"/>
                <w:lang w:val="en-US" w:eastAsia="zh-CN"/>
              </w:rPr>
              <w:t>，</w:t>
            </w:r>
            <w:r>
              <w:rPr>
                <w:rFonts w:hint="default" w:ascii="Times New Roman" w:hAnsi="Times New Roman" w:eastAsia="仿宋" w:cs="Times New Roman"/>
                <w:color w:val="FF0000"/>
                <w:spacing w:val="8"/>
                <w:sz w:val="24"/>
              </w:rPr>
              <w:t>废物代码SW</w:t>
            </w:r>
            <w:r>
              <w:rPr>
                <w:rFonts w:hint="eastAsia" w:ascii="Times New Roman" w:hAnsi="Times New Roman" w:eastAsia="仿宋" w:cs="Times New Roman"/>
                <w:color w:val="FF0000"/>
                <w:spacing w:val="8"/>
                <w:sz w:val="24"/>
                <w:lang w:val="en-US" w:eastAsia="zh-CN"/>
              </w:rPr>
              <w:t>59</w:t>
            </w:r>
            <w:r>
              <w:rPr>
                <w:rFonts w:hint="default" w:ascii="Times New Roman" w:hAnsi="Times New Roman" w:eastAsia="仿宋" w:cs="Times New Roman"/>
                <w:color w:val="FF0000"/>
                <w:spacing w:val="8"/>
                <w:sz w:val="24"/>
              </w:rPr>
              <w:t>，</w:t>
            </w:r>
            <w:r>
              <w:rPr>
                <w:rFonts w:hint="eastAsia" w:ascii="Times New Roman" w:hAnsi="Times New Roman" w:eastAsia="仿宋" w:cs="Times New Roman"/>
                <w:color w:val="FF0000"/>
                <w:spacing w:val="8"/>
                <w:sz w:val="24"/>
                <w:lang w:val="en-US" w:eastAsia="zh-CN"/>
              </w:rPr>
              <w:t>剥离表土临时堆放于排土场，后期用于矿山生态修复。</w:t>
            </w:r>
          </w:p>
          <w:p w14:paraId="70EA741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default" w:ascii="Times New Roman" w:hAnsi="Times New Roman" w:eastAsia="仿宋" w:cs="Times New Roman"/>
                <w:color w:val="FF0000"/>
                <w:spacing w:val="0"/>
                <w:kern w:val="0"/>
                <w:position w:val="0"/>
                <w:sz w:val="24"/>
                <w:szCs w:val="24"/>
                <w:highlight w:val="none"/>
                <w:lang w:val="en-US" w:eastAsia="zh-CN" w:bidi="ar"/>
              </w:rPr>
            </w:pPr>
            <w:r>
              <w:rPr>
                <w:rFonts w:hint="default" w:ascii="Times New Roman" w:hAnsi="Times New Roman" w:eastAsia="仿宋" w:cs="Times New Roman"/>
                <w:color w:val="FF0000"/>
                <w:spacing w:val="0"/>
                <w:kern w:val="0"/>
                <w:position w:val="0"/>
                <w:sz w:val="24"/>
                <w:szCs w:val="24"/>
                <w:highlight w:val="none"/>
                <w:lang w:val="en-US" w:eastAsia="zh-CN" w:bidi="ar"/>
              </w:rPr>
              <w:t>⑵</w:t>
            </w:r>
            <w:r>
              <w:rPr>
                <w:rFonts w:hint="eastAsia" w:eastAsia="仿宋" w:cs="Times New Roman"/>
                <w:color w:val="FF0000"/>
                <w:spacing w:val="0"/>
                <w:kern w:val="0"/>
                <w:position w:val="0"/>
                <w:sz w:val="24"/>
                <w:szCs w:val="24"/>
                <w:highlight w:val="none"/>
                <w:lang w:val="en-US" w:eastAsia="zh-CN" w:bidi="ar"/>
              </w:rPr>
              <w:t>剥离</w:t>
            </w:r>
            <w:r>
              <w:rPr>
                <w:rFonts w:hint="default" w:ascii="Times New Roman" w:hAnsi="Times New Roman" w:eastAsia="仿宋" w:cs="Times New Roman"/>
                <w:color w:val="FF0000"/>
                <w:spacing w:val="0"/>
                <w:kern w:val="0"/>
                <w:position w:val="0"/>
                <w:sz w:val="24"/>
                <w:szCs w:val="24"/>
                <w:highlight w:val="none"/>
                <w:lang w:val="en-US" w:eastAsia="zh-CN" w:bidi="ar"/>
              </w:rPr>
              <w:t>废石</w:t>
            </w:r>
            <w:r>
              <w:rPr>
                <w:rFonts w:hint="eastAsia" w:ascii="Times New Roman" w:hAnsi="Times New Roman" w:eastAsia="仿宋" w:cs="Times New Roman"/>
                <w:color w:val="FF0000"/>
                <w:spacing w:val="0"/>
                <w:kern w:val="0"/>
                <w:position w:val="0"/>
                <w:sz w:val="24"/>
                <w:szCs w:val="24"/>
                <w:highlight w:val="none"/>
                <w:lang w:val="en-US" w:eastAsia="zh-CN" w:bidi="ar"/>
              </w:rPr>
              <w:t>（S2）</w:t>
            </w:r>
          </w:p>
          <w:p w14:paraId="046A6F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eastAsia="仿宋" w:cs="Times New Roman"/>
                <w:color w:val="FF0000"/>
                <w:sz w:val="24"/>
                <w:highlight w:val="none"/>
                <w:lang w:val="en-US" w:eastAsia="zh-CN"/>
              </w:rPr>
            </w:pPr>
            <w:r>
              <w:rPr>
                <w:rFonts w:hint="eastAsia" w:eastAsia="仿宋" w:cs="Times New Roman"/>
                <w:color w:val="FF0000"/>
                <w:sz w:val="24"/>
                <w:highlight w:val="none"/>
                <w:lang w:val="en-US" w:eastAsia="zh-CN"/>
              </w:rPr>
              <w:t>根据《</w:t>
            </w:r>
            <w:r>
              <w:rPr>
                <w:rFonts w:hint="default" w:ascii="Times New Roman" w:hAnsi="Times New Roman" w:eastAsia="仿宋" w:cs="Times New Roman"/>
                <w:color w:val="FF0000"/>
                <w:spacing w:val="0"/>
                <w:kern w:val="0"/>
                <w:position w:val="0"/>
                <w:sz w:val="24"/>
                <w:szCs w:val="24"/>
                <w:highlight w:val="none"/>
                <w:lang w:val="en-US" w:eastAsia="zh-CN" w:bidi="ar"/>
              </w:rPr>
              <w:t>临泽县金源矿业有限责任公司平川镇羊圈湾冶金用石英岩矿</w:t>
            </w:r>
            <w:r>
              <w:rPr>
                <w:rFonts w:hint="eastAsia" w:ascii="Times New Roman" w:hAnsi="Times New Roman" w:eastAsia="仿宋" w:cs="Times New Roman"/>
                <w:color w:val="FF0000"/>
                <w:spacing w:val="0"/>
                <w:kern w:val="0"/>
                <w:position w:val="0"/>
                <w:sz w:val="24"/>
                <w:szCs w:val="24"/>
                <w:highlight w:val="none"/>
                <w:lang w:val="en-US" w:eastAsia="zh-CN" w:bidi="ar"/>
              </w:rPr>
              <w:t>开采方案</w:t>
            </w:r>
            <w:r>
              <w:rPr>
                <w:rFonts w:hint="default" w:ascii="Times New Roman" w:hAnsi="Times New Roman" w:eastAsia="仿宋" w:cs="Times New Roman"/>
                <w:color w:val="FF0000"/>
                <w:spacing w:val="0"/>
                <w:kern w:val="0"/>
                <w:position w:val="0"/>
                <w:sz w:val="24"/>
                <w:szCs w:val="24"/>
                <w:highlight w:val="none"/>
                <w:lang w:val="en-US" w:eastAsia="zh-CN" w:bidi="ar"/>
              </w:rPr>
              <w:t>与</w:t>
            </w:r>
            <w:r>
              <w:rPr>
                <w:rFonts w:hint="eastAsia" w:ascii="Times New Roman" w:hAnsi="Times New Roman" w:eastAsia="仿宋" w:cs="Times New Roman"/>
                <w:color w:val="FF0000"/>
                <w:spacing w:val="0"/>
                <w:kern w:val="0"/>
                <w:position w:val="0"/>
                <w:sz w:val="24"/>
                <w:szCs w:val="24"/>
                <w:highlight w:val="none"/>
                <w:lang w:val="en-US" w:eastAsia="zh-CN" w:bidi="ar"/>
              </w:rPr>
              <w:t>矿区生态修复</w:t>
            </w:r>
            <w:r>
              <w:rPr>
                <w:rFonts w:hint="default" w:ascii="Times New Roman" w:hAnsi="Times New Roman" w:eastAsia="仿宋" w:cs="Times New Roman"/>
                <w:color w:val="FF0000"/>
                <w:spacing w:val="0"/>
                <w:kern w:val="0"/>
                <w:position w:val="0"/>
                <w:sz w:val="24"/>
                <w:szCs w:val="24"/>
                <w:highlight w:val="none"/>
                <w:lang w:val="en-US" w:eastAsia="zh-CN" w:bidi="ar"/>
              </w:rPr>
              <w:t>方案</w:t>
            </w:r>
            <w:r>
              <w:rPr>
                <w:rFonts w:hint="eastAsia" w:eastAsia="仿宋" w:cs="Times New Roman"/>
                <w:color w:val="FF0000"/>
                <w:sz w:val="24"/>
                <w:highlight w:val="none"/>
                <w:lang w:val="en-US" w:eastAsia="zh-CN"/>
              </w:rPr>
              <w:t>》，</w:t>
            </w:r>
            <w:r>
              <w:rPr>
                <w:rFonts w:hint="default" w:ascii="Times New Roman" w:hAnsi="Times New Roman" w:eastAsia="仿宋" w:cs="Times New Roman"/>
                <w:bCs/>
                <w:color w:val="FF0000"/>
                <w:sz w:val="24"/>
                <w:szCs w:val="24"/>
                <w:lang w:val="en-US" w:eastAsia="zh-CN"/>
              </w:rPr>
              <w:t>本项目</w:t>
            </w:r>
            <w:r>
              <w:rPr>
                <w:rFonts w:hint="eastAsia" w:eastAsia="仿宋" w:cs="Times New Roman"/>
                <w:bCs/>
                <w:color w:val="FF0000"/>
                <w:sz w:val="24"/>
                <w:szCs w:val="24"/>
                <w:lang w:val="en-US" w:eastAsia="zh-CN"/>
              </w:rPr>
              <w:t>开采过程中废石剥离量为218.46万m</w:t>
            </w:r>
            <w:r>
              <w:rPr>
                <w:rFonts w:hint="eastAsia" w:eastAsia="仿宋" w:cs="Times New Roman"/>
                <w:bCs/>
                <w:color w:val="FF0000"/>
                <w:sz w:val="24"/>
                <w:szCs w:val="24"/>
                <w:vertAlign w:val="superscript"/>
                <w:lang w:val="en-US" w:eastAsia="zh-CN"/>
              </w:rPr>
              <w:t>3</w:t>
            </w:r>
            <w:r>
              <w:rPr>
                <w:rFonts w:hint="eastAsia" w:eastAsia="仿宋" w:cs="Times New Roman"/>
                <w:bCs/>
                <w:color w:val="FF0000"/>
                <w:sz w:val="24"/>
                <w:szCs w:val="24"/>
                <w:lang w:val="en-US" w:eastAsia="zh-CN"/>
              </w:rPr>
              <w:t>（密度取2.6t/m</w:t>
            </w:r>
            <w:r>
              <w:rPr>
                <w:rFonts w:hint="eastAsia" w:eastAsia="仿宋" w:cs="Times New Roman"/>
                <w:bCs/>
                <w:color w:val="FF0000"/>
                <w:sz w:val="24"/>
                <w:szCs w:val="24"/>
                <w:vertAlign w:val="superscript"/>
                <w:lang w:val="en-US" w:eastAsia="zh-CN"/>
              </w:rPr>
              <w:t>3</w:t>
            </w:r>
            <w:r>
              <w:rPr>
                <w:rFonts w:hint="eastAsia" w:eastAsia="仿宋" w:cs="Times New Roman"/>
                <w:bCs/>
                <w:color w:val="FF0000"/>
                <w:sz w:val="24"/>
                <w:szCs w:val="24"/>
                <w:lang w:val="en-US" w:eastAsia="zh-CN"/>
              </w:rPr>
              <w:t>），服务年限为10.4a，则废石剥离量为54.6万t/a，</w:t>
            </w:r>
            <w:r>
              <w:rPr>
                <w:rFonts w:hint="default" w:ascii="Times New Roman" w:hAnsi="Times New Roman" w:eastAsia="仿宋" w:cs="Times New Roman"/>
                <w:color w:val="FF0000"/>
                <w:spacing w:val="8"/>
                <w:sz w:val="24"/>
              </w:rPr>
              <w:t>废物代码SW</w:t>
            </w:r>
            <w:r>
              <w:rPr>
                <w:rFonts w:hint="eastAsia" w:eastAsia="仿宋" w:cs="Times New Roman"/>
                <w:color w:val="FF0000"/>
                <w:spacing w:val="8"/>
                <w:sz w:val="24"/>
                <w:lang w:val="en-US" w:eastAsia="zh-CN"/>
              </w:rPr>
              <w:t>59</w:t>
            </w:r>
            <w:r>
              <w:rPr>
                <w:rFonts w:hint="default" w:ascii="Times New Roman" w:hAnsi="Times New Roman" w:eastAsia="仿宋" w:cs="Times New Roman"/>
                <w:color w:val="FF0000"/>
                <w:spacing w:val="8"/>
                <w:sz w:val="24"/>
              </w:rPr>
              <w:t>，</w:t>
            </w:r>
            <w:r>
              <w:rPr>
                <w:rFonts w:hint="default" w:ascii="Times New Roman" w:hAnsi="Times New Roman" w:eastAsia="仿宋" w:cs="Times New Roman"/>
                <w:color w:val="FF0000"/>
                <w:spacing w:val="8"/>
                <w:sz w:val="24"/>
                <w:lang w:val="en-US" w:eastAsia="zh-CN"/>
              </w:rPr>
              <w:t>废石</w:t>
            </w:r>
            <w:r>
              <w:rPr>
                <w:rFonts w:hint="eastAsia" w:ascii="Times New Roman" w:hAnsi="Times New Roman" w:eastAsia="仿宋" w:cs="Times New Roman"/>
                <w:color w:val="FF0000"/>
                <w:spacing w:val="8"/>
                <w:sz w:val="24"/>
                <w:lang w:val="en-US" w:eastAsia="zh-CN"/>
              </w:rPr>
              <w:t>临时堆放于排土场，后期用于矿山生态修复</w:t>
            </w:r>
            <w:r>
              <w:rPr>
                <w:rFonts w:hint="eastAsia" w:eastAsia="仿宋" w:cs="Times New Roman"/>
                <w:color w:val="FF0000"/>
                <w:spacing w:val="8"/>
                <w:sz w:val="24"/>
                <w:lang w:val="en-US" w:eastAsia="zh-CN"/>
              </w:rPr>
              <w:t>。</w:t>
            </w:r>
          </w:p>
          <w:p w14:paraId="3B02E5A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default" w:ascii="Times New Roman" w:hAnsi="Times New Roman" w:eastAsia="仿宋" w:cs="Times New Roman"/>
                <w:color w:val="FF0000"/>
                <w:spacing w:val="0"/>
                <w:kern w:val="0"/>
                <w:position w:val="0"/>
                <w:sz w:val="24"/>
                <w:szCs w:val="24"/>
                <w:highlight w:val="none"/>
                <w:lang w:val="en-US" w:eastAsia="zh-CN" w:bidi="ar"/>
              </w:rPr>
            </w:pPr>
            <w:r>
              <w:rPr>
                <w:rFonts w:hint="default" w:ascii="Times New Roman" w:hAnsi="Times New Roman" w:eastAsia="仿宋" w:cs="Times New Roman"/>
                <w:color w:val="FF0000"/>
                <w:spacing w:val="0"/>
                <w:kern w:val="0"/>
                <w:position w:val="0"/>
                <w:sz w:val="24"/>
                <w:szCs w:val="24"/>
                <w:highlight w:val="none"/>
                <w:lang w:val="en-US" w:eastAsia="zh-CN" w:bidi="ar"/>
              </w:rPr>
              <w:t>⑶</w:t>
            </w:r>
            <w:r>
              <w:rPr>
                <w:rFonts w:hint="eastAsia" w:eastAsia="仿宋" w:cs="Times New Roman"/>
                <w:color w:val="FF0000"/>
                <w:spacing w:val="0"/>
                <w:kern w:val="0"/>
                <w:position w:val="0"/>
                <w:sz w:val="24"/>
                <w:szCs w:val="24"/>
                <w:highlight w:val="none"/>
                <w:lang w:val="en-US" w:eastAsia="zh-CN" w:bidi="ar"/>
              </w:rPr>
              <w:t>布袋除尘器收尘灰</w:t>
            </w:r>
            <w:r>
              <w:rPr>
                <w:rFonts w:hint="default" w:ascii="Times New Roman" w:hAnsi="Times New Roman" w:eastAsia="仿宋" w:cs="Times New Roman"/>
                <w:color w:val="FF0000"/>
                <w:spacing w:val="0"/>
                <w:kern w:val="0"/>
                <w:position w:val="0"/>
                <w:sz w:val="24"/>
                <w:szCs w:val="24"/>
                <w:highlight w:val="none"/>
                <w:lang w:val="en-US" w:eastAsia="zh-CN" w:bidi="ar"/>
              </w:rPr>
              <w:t>（S3）</w:t>
            </w:r>
          </w:p>
          <w:p w14:paraId="2550FDFE">
            <w:pPr>
              <w:adjustRightInd w:val="0"/>
              <w:snapToGrid w:val="0"/>
              <w:spacing w:line="360" w:lineRule="auto"/>
              <w:ind w:firstLine="512"/>
              <w:rPr>
                <w:rFonts w:eastAsia="仿宋"/>
                <w:color w:val="FF0000"/>
                <w:spacing w:val="8"/>
                <w:sz w:val="24"/>
              </w:rPr>
            </w:pPr>
            <w:r>
              <w:rPr>
                <w:rFonts w:eastAsia="仿宋"/>
                <w:color w:val="FF0000"/>
                <w:spacing w:val="8"/>
                <w:sz w:val="24"/>
              </w:rPr>
              <w:t>本项目</w:t>
            </w:r>
            <w:r>
              <w:rPr>
                <w:rFonts w:hint="eastAsia" w:eastAsia="仿宋"/>
                <w:color w:val="FF0000"/>
                <w:spacing w:val="8"/>
                <w:sz w:val="24"/>
                <w:lang w:val="en-US" w:eastAsia="zh-CN"/>
              </w:rPr>
              <w:t>布袋除尘器收集粉尘为301t/a，</w:t>
            </w:r>
            <w:r>
              <w:rPr>
                <w:rFonts w:hint="default" w:ascii="Times New Roman" w:hAnsi="Times New Roman" w:eastAsia="仿宋" w:cs="Times New Roman"/>
                <w:color w:val="FF0000"/>
                <w:spacing w:val="8"/>
                <w:sz w:val="24"/>
              </w:rPr>
              <w:t>废物代码SW</w:t>
            </w:r>
            <w:r>
              <w:rPr>
                <w:rFonts w:hint="eastAsia" w:eastAsia="仿宋" w:cs="Times New Roman"/>
                <w:color w:val="FF0000"/>
                <w:spacing w:val="8"/>
                <w:sz w:val="24"/>
                <w:lang w:val="en-US" w:eastAsia="zh-CN"/>
              </w:rPr>
              <w:t>59</w:t>
            </w:r>
            <w:r>
              <w:rPr>
                <w:rFonts w:hint="default" w:ascii="Times New Roman" w:hAnsi="Times New Roman" w:eastAsia="仿宋" w:cs="Times New Roman"/>
                <w:color w:val="FF0000"/>
                <w:spacing w:val="8"/>
                <w:sz w:val="24"/>
              </w:rPr>
              <w:t>，</w:t>
            </w:r>
            <w:r>
              <w:rPr>
                <w:rFonts w:hint="eastAsia" w:ascii="Times New Roman" w:hAnsi="Times New Roman" w:eastAsia="仿宋" w:cs="Times New Roman"/>
                <w:color w:val="FF0000"/>
                <w:spacing w:val="8"/>
                <w:sz w:val="24"/>
                <w:lang w:val="en-US" w:eastAsia="zh-CN"/>
              </w:rPr>
              <w:t>收尘灰集中收集外售</w:t>
            </w:r>
            <w:r>
              <w:rPr>
                <w:rFonts w:eastAsia="仿宋"/>
                <w:color w:val="FF0000"/>
                <w:spacing w:val="8"/>
                <w:sz w:val="24"/>
              </w:rPr>
              <w:t>。</w:t>
            </w:r>
          </w:p>
          <w:p w14:paraId="444E43DB">
            <w:pPr>
              <w:adjustRightInd w:val="0"/>
              <w:snapToGrid w:val="0"/>
              <w:spacing w:line="360" w:lineRule="auto"/>
              <w:ind w:firstLine="512"/>
              <w:rPr>
                <w:rFonts w:hint="eastAsia" w:eastAsia="仿宋" w:cs="Times New Roman"/>
                <w:color w:val="FF0000"/>
                <w:spacing w:val="8"/>
                <w:sz w:val="24"/>
                <w:szCs w:val="24"/>
                <w:lang w:val="en-US" w:eastAsia="zh-CN"/>
              </w:rPr>
            </w:pPr>
            <w:r>
              <w:rPr>
                <w:rFonts w:hint="default" w:ascii="Times New Roman" w:hAnsi="Times New Roman" w:eastAsia="仿宋" w:cs="Times New Roman"/>
                <w:color w:val="FF0000"/>
                <w:spacing w:val="8"/>
                <w:sz w:val="24"/>
                <w:szCs w:val="24"/>
                <w:lang w:val="en-US" w:eastAsia="zh-CN"/>
              </w:rPr>
              <w:t>⑷</w:t>
            </w:r>
            <w:r>
              <w:rPr>
                <w:rFonts w:hint="eastAsia" w:eastAsia="仿宋" w:cs="Times New Roman"/>
                <w:color w:val="FF0000"/>
                <w:spacing w:val="8"/>
                <w:sz w:val="24"/>
                <w:szCs w:val="24"/>
                <w:lang w:val="en-US" w:eastAsia="zh-CN"/>
              </w:rPr>
              <w:t>废布袋（S4）</w:t>
            </w:r>
          </w:p>
          <w:p w14:paraId="7B049C6F">
            <w:pPr>
              <w:adjustRightInd w:val="0"/>
              <w:snapToGrid w:val="0"/>
              <w:spacing w:line="360" w:lineRule="auto"/>
              <w:ind w:firstLine="512"/>
              <w:rPr>
                <w:rFonts w:eastAsia="仿宋"/>
                <w:color w:val="FF0000"/>
                <w:spacing w:val="8"/>
                <w:sz w:val="24"/>
              </w:rPr>
            </w:pPr>
            <w:r>
              <w:rPr>
                <w:rFonts w:hint="eastAsia" w:eastAsia="仿宋"/>
                <w:color w:val="FF0000"/>
                <w:spacing w:val="8"/>
                <w:sz w:val="24"/>
                <w:lang w:val="en-US" w:eastAsia="zh-CN"/>
              </w:rPr>
              <w:t>本</w:t>
            </w:r>
            <w:r>
              <w:rPr>
                <w:rFonts w:eastAsia="仿宋"/>
                <w:color w:val="FF0000"/>
                <w:spacing w:val="8"/>
                <w:sz w:val="24"/>
              </w:rPr>
              <w:t>项目</w:t>
            </w:r>
            <w:r>
              <w:rPr>
                <w:rFonts w:hint="eastAsia" w:eastAsia="仿宋"/>
                <w:color w:val="FF0000"/>
                <w:spacing w:val="8"/>
                <w:sz w:val="24"/>
                <w:lang w:val="en-US" w:eastAsia="zh-CN"/>
              </w:rPr>
              <w:t>布袋除尘器需定期更换，产生的废布袋为2个/次</w:t>
            </w:r>
            <w:r>
              <w:rPr>
                <w:rFonts w:eastAsia="仿宋"/>
                <w:color w:val="FF0000"/>
                <w:spacing w:val="8"/>
                <w:sz w:val="24"/>
              </w:rPr>
              <w:t>，</w:t>
            </w:r>
            <w:r>
              <w:rPr>
                <w:rFonts w:hint="default" w:ascii="Times New Roman" w:hAnsi="Times New Roman" w:eastAsia="仿宋" w:cs="Times New Roman"/>
                <w:color w:val="FF0000"/>
                <w:spacing w:val="8"/>
                <w:sz w:val="24"/>
              </w:rPr>
              <w:t>废物代码SW</w:t>
            </w:r>
            <w:r>
              <w:rPr>
                <w:rFonts w:hint="eastAsia" w:eastAsia="仿宋" w:cs="Times New Roman"/>
                <w:color w:val="FF0000"/>
                <w:spacing w:val="8"/>
                <w:sz w:val="24"/>
                <w:lang w:val="en-US" w:eastAsia="zh-CN"/>
              </w:rPr>
              <w:t>59</w:t>
            </w:r>
            <w:r>
              <w:rPr>
                <w:rFonts w:hint="default" w:ascii="Times New Roman" w:hAnsi="Times New Roman" w:eastAsia="仿宋" w:cs="Times New Roman"/>
                <w:color w:val="FF0000"/>
                <w:spacing w:val="8"/>
                <w:sz w:val="24"/>
              </w:rPr>
              <w:t>，</w:t>
            </w:r>
            <w:r>
              <w:rPr>
                <w:rFonts w:hint="eastAsia" w:eastAsia="仿宋"/>
                <w:color w:val="FF0000"/>
                <w:spacing w:val="8"/>
                <w:sz w:val="24"/>
                <w:lang w:val="en-US" w:eastAsia="zh-CN"/>
              </w:rPr>
              <w:t>定期由厂家更换并带走处理</w:t>
            </w:r>
            <w:r>
              <w:rPr>
                <w:rFonts w:eastAsia="仿宋"/>
                <w:color w:val="FF0000"/>
                <w:spacing w:val="8"/>
                <w:sz w:val="24"/>
              </w:rPr>
              <w:t>。</w:t>
            </w:r>
          </w:p>
          <w:p w14:paraId="0E978A79">
            <w:pPr>
              <w:adjustRightInd w:val="0"/>
              <w:snapToGrid w:val="0"/>
              <w:spacing w:line="360" w:lineRule="auto"/>
              <w:ind w:firstLine="480" w:firstLineChars="200"/>
              <w:jc w:val="both"/>
              <w:rPr>
                <w:rFonts w:hint="default" w:ascii="Times New Roman" w:hAnsi="Times New Roman" w:eastAsia="仿宋" w:cs="Times New Roman"/>
                <w:color w:val="FF0000"/>
                <w:spacing w:val="0"/>
                <w:kern w:val="0"/>
                <w:position w:val="0"/>
                <w:sz w:val="24"/>
                <w:szCs w:val="24"/>
                <w:highlight w:val="none"/>
                <w:lang w:val="en-US" w:eastAsia="zh-CN" w:bidi="ar"/>
              </w:rPr>
            </w:pPr>
            <w:r>
              <w:rPr>
                <w:rFonts w:hint="default" w:ascii="Times New Roman" w:hAnsi="Times New Roman" w:eastAsia="仿宋" w:cs="Times New Roman"/>
                <w:color w:val="FF0000"/>
                <w:sz w:val="24"/>
                <w:szCs w:val="24"/>
              </w:rPr>
              <w:t>⑸</w:t>
            </w:r>
            <w:r>
              <w:rPr>
                <w:rFonts w:hint="default" w:ascii="Times New Roman" w:hAnsi="Times New Roman" w:eastAsia="仿宋" w:cs="Times New Roman"/>
                <w:color w:val="FF0000"/>
                <w:spacing w:val="0"/>
                <w:kern w:val="0"/>
                <w:position w:val="0"/>
                <w:sz w:val="24"/>
                <w:szCs w:val="24"/>
                <w:highlight w:val="none"/>
                <w:lang w:val="en-US" w:eastAsia="zh-CN" w:bidi="ar"/>
              </w:rPr>
              <w:t>生活垃圾（S</w:t>
            </w:r>
            <w:r>
              <w:rPr>
                <w:rFonts w:hint="eastAsia" w:eastAsia="仿宋" w:cs="Times New Roman"/>
                <w:color w:val="FF0000"/>
                <w:spacing w:val="0"/>
                <w:kern w:val="0"/>
                <w:position w:val="0"/>
                <w:sz w:val="24"/>
                <w:szCs w:val="24"/>
                <w:highlight w:val="none"/>
                <w:lang w:val="en-US" w:eastAsia="zh-CN" w:bidi="ar"/>
              </w:rPr>
              <w:t>5</w:t>
            </w:r>
            <w:r>
              <w:rPr>
                <w:rFonts w:hint="default" w:ascii="Times New Roman" w:hAnsi="Times New Roman" w:eastAsia="仿宋" w:cs="Times New Roman"/>
                <w:color w:val="FF0000"/>
                <w:spacing w:val="0"/>
                <w:kern w:val="0"/>
                <w:position w:val="0"/>
                <w:sz w:val="24"/>
                <w:szCs w:val="24"/>
                <w:highlight w:val="none"/>
                <w:lang w:val="en-US" w:eastAsia="zh-CN" w:bidi="ar"/>
              </w:rPr>
              <w:t>）</w:t>
            </w:r>
          </w:p>
          <w:p w14:paraId="0FFC88CE">
            <w:pPr>
              <w:adjustRightInd w:val="0"/>
              <w:snapToGrid w:val="0"/>
              <w:spacing w:line="360" w:lineRule="auto"/>
              <w:ind w:firstLine="480" w:firstLineChars="200"/>
              <w:jc w:val="both"/>
              <w:rPr>
                <w:rFonts w:eastAsia="仿宋"/>
                <w:snapToGrid w:val="0"/>
                <w:color w:val="FF0000"/>
                <w:kern w:val="0"/>
                <w:sz w:val="24"/>
              </w:rPr>
            </w:pPr>
            <w:r>
              <w:rPr>
                <w:rFonts w:hint="default" w:ascii="Times New Roman" w:hAnsi="Times New Roman" w:eastAsia="仿宋" w:cs="Times New Roman"/>
                <w:color w:val="FF0000"/>
                <w:spacing w:val="0"/>
                <w:kern w:val="0"/>
                <w:position w:val="0"/>
                <w:sz w:val="24"/>
                <w:szCs w:val="24"/>
                <w:highlight w:val="none"/>
                <w:lang w:val="en-US" w:eastAsia="zh-CN" w:bidi="ar"/>
              </w:rPr>
              <w:t>运营期劳动定员</w:t>
            </w:r>
            <w:r>
              <w:rPr>
                <w:rFonts w:hint="eastAsia" w:eastAsia="仿宋" w:cs="Times New Roman"/>
                <w:color w:val="FF0000"/>
                <w:spacing w:val="0"/>
                <w:kern w:val="0"/>
                <w:position w:val="0"/>
                <w:sz w:val="24"/>
                <w:szCs w:val="24"/>
                <w:highlight w:val="none"/>
                <w:lang w:val="en-US" w:eastAsia="zh-CN" w:bidi="ar"/>
              </w:rPr>
              <w:t>20</w:t>
            </w:r>
            <w:r>
              <w:rPr>
                <w:rFonts w:hint="default" w:ascii="Times New Roman" w:hAnsi="Times New Roman" w:eastAsia="仿宋" w:cs="Times New Roman"/>
                <w:color w:val="FF0000"/>
                <w:spacing w:val="0"/>
                <w:kern w:val="0"/>
                <w:position w:val="0"/>
                <w:sz w:val="24"/>
                <w:szCs w:val="24"/>
                <w:highlight w:val="none"/>
                <w:lang w:val="en-US" w:eastAsia="zh-CN" w:bidi="ar"/>
              </w:rPr>
              <w:t>人，生活垃圾的产生量按0.5kg/人·d计算，则生活垃圾产生量约为</w:t>
            </w:r>
            <w:r>
              <w:rPr>
                <w:rFonts w:hint="eastAsia" w:eastAsia="仿宋" w:cs="Times New Roman"/>
                <w:color w:val="FF0000"/>
                <w:spacing w:val="0"/>
                <w:kern w:val="0"/>
                <w:position w:val="0"/>
                <w:sz w:val="24"/>
                <w:szCs w:val="24"/>
                <w:highlight w:val="none"/>
                <w:lang w:val="en-US" w:eastAsia="zh-CN" w:bidi="ar"/>
              </w:rPr>
              <w:t>2.5</w:t>
            </w:r>
            <w:r>
              <w:rPr>
                <w:rFonts w:hint="default" w:ascii="Times New Roman" w:hAnsi="Times New Roman" w:eastAsia="仿宋" w:cs="Times New Roman"/>
                <w:color w:val="FF0000"/>
                <w:spacing w:val="0"/>
                <w:kern w:val="0"/>
                <w:position w:val="0"/>
                <w:sz w:val="24"/>
                <w:szCs w:val="24"/>
                <w:highlight w:val="none"/>
                <w:lang w:val="en-US" w:eastAsia="zh-CN" w:bidi="ar"/>
              </w:rPr>
              <w:t>t/a，</w:t>
            </w:r>
            <w:r>
              <w:rPr>
                <w:rFonts w:hint="eastAsia" w:eastAsia="仿宋"/>
                <w:snapToGrid w:val="0"/>
                <w:color w:val="FF0000"/>
                <w:kern w:val="0"/>
                <w:sz w:val="24"/>
                <w:lang w:val="en-US" w:eastAsia="zh-CN"/>
              </w:rPr>
              <w:t>生活垃圾经垃圾桶集中收集后定期清运至当地环卫部门指定地点进行处置</w:t>
            </w:r>
            <w:r>
              <w:rPr>
                <w:rFonts w:eastAsia="仿宋"/>
                <w:snapToGrid w:val="0"/>
                <w:color w:val="FF0000"/>
                <w:kern w:val="0"/>
                <w:sz w:val="24"/>
              </w:rPr>
              <w:t>。</w:t>
            </w:r>
          </w:p>
          <w:p w14:paraId="19CCC9F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default" w:ascii="Times New Roman" w:hAnsi="Times New Roman" w:eastAsia="仿宋" w:cs="Times New Roman"/>
                <w:color w:val="FF0000"/>
                <w:spacing w:val="0"/>
                <w:kern w:val="0"/>
                <w:position w:val="0"/>
                <w:sz w:val="24"/>
                <w:szCs w:val="24"/>
                <w:highlight w:val="none"/>
                <w:lang w:val="en-US" w:eastAsia="zh-CN" w:bidi="ar"/>
              </w:rPr>
            </w:pPr>
            <w:r>
              <w:rPr>
                <w:rFonts w:hint="default" w:ascii="Times New Roman" w:hAnsi="Times New Roman" w:eastAsia="仿宋" w:cs="Times New Roman"/>
                <w:color w:val="FF0000"/>
                <w:spacing w:val="0"/>
                <w:kern w:val="0"/>
                <w:position w:val="0"/>
                <w:sz w:val="24"/>
                <w:szCs w:val="24"/>
                <w:highlight w:val="none"/>
                <w:lang w:val="en-US" w:eastAsia="zh-CN" w:bidi="ar"/>
              </w:rPr>
              <w:t>⑹废润滑油、废油桶（S</w:t>
            </w:r>
            <w:r>
              <w:rPr>
                <w:rFonts w:hint="eastAsia" w:ascii="Times New Roman" w:hAnsi="Times New Roman" w:eastAsia="仿宋" w:cs="Times New Roman"/>
                <w:color w:val="FF0000"/>
                <w:spacing w:val="0"/>
                <w:kern w:val="0"/>
                <w:position w:val="0"/>
                <w:sz w:val="24"/>
                <w:szCs w:val="24"/>
                <w:highlight w:val="none"/>
                <w:lang w:val="en-US" w:eastAsia="zh-CN" w:bidi="ar"/>
              </w:rPr>
              <w:t>6</w:t>
            </w:r>
            <w:r>
              <w:rPr>
                <w:rFonts w:hint="default" w:ascii="Times New Roman" w:hAnsi="Times New Roman" w:eastAsia="仿宋" w:cs="Times New Roman"/>
                <w:color w:val="FF0000"/>
                <w:spacing w:val="0"/>
                <w:kern w:val="0"/>
                <w:position w:val="0"/>
                <w:sz w:val="24"/>
                <w:szCs w:val="24"/>
                <w:highlight w:val="none"/>
                <w:lang w:val="en-US" w:eastAsia="zh-CN" w:bidi="ar"/>
              </w:rPr>
              <w:t>）</w:t>
            </w:r>
          </w:p>
          <w:p w14:paraId="2D03656D">
            <w:pPr>
              <w:pStyle w:val="62"/>
              <w:adjustRightInd w:val="0"/>
              <w:snapToGrid w:val="0"/>
              <w:ind w:firstLine="480" w:firstLineChars="200"/>
              <w:jc w:val="both"/>
              <w:rPr>
                <w:rFonts w:hint="default" w:ascii="Times New Roman" w:hAnsi="Times New Roman" w:eastAsia="仿宋" w:cs="Times New Roman"/>
                <w:snapToGrid w:val="0"/>
                <w:color w:val="FF0000"/>
                <w:kern w:val="0"/>
              </w:rPr>
            </w:pPr>
            <w:r>
              <w:rPr>
                <w:rFonts w:hint="default" w:ascii="Times New Roman" w:hAnsi="Times New Roman" w:eastAsia="仿宋" w:cs="Times New Roman"/>
                <w:snapToGrid w:val="0"/>
                <w:color w:val="FF0000"/>
                <w:kern w:val="0"/>
              </w:rPr>
              <w:t>本项目机械设备维修过程中废</w:t>
            </w:r>
            <w:r>
              <w:rPr>
                <w:rFonts w:hint="default" w:ascii="Times New Roman" w:hAnsi="Times New Roman" w:eastAsia="仿宋" w:cs="Times New Roman"/>
                <w:snapToGrid w:val="0"/>
                <w:color w:val="FF0000"/>
                <w:kern w:val="0"/>
                <w:lang w:val="en-US" w:eastAsia="zh-CN"/>
              </w:rPr>
              <w:t>润滑油</w:t>
            </w:r>
            <w:r>
              <w:rPr>
                <w:rFonts w:hint="eastAsia" w:eastAsia="仿宋" w:cs="Times New Roman"/>
                <w:snapToGrid w:val="0"/>
                <w:color w:val="FF0000"/>
                <w:kern w:val="0"/>
                <w:lang w:val="en-US" w:eastAsia="zh-CN"/>
              </w:rPr>
              <w:t>和废油桶</w:t>
            </w:r>
            <w:r>
              <w:rPr>
                <w:rFonts w:hint="default" w:ascii="Times New Roman" w:hAnsi="Times New Roman" w:eastAsia="仿宋" w:cs="Times New Roman"/>
                <w:snapToGrid w:val="0"/>
                <w:color w:val="FF0000"/>
                <w:kern w:val="0"/>
              </w:rPr>
              <w:t>产生量为</w:t>
            </w:r>
            <w:r>
              <w:rPr>
                <w:rFonts w:hint="eastAsia" w:eastAsia="仿宋" w:cs="Times New Roman"/>
                <w:snapToGrid w:val="0"/>
                <w:color w:val="FF0000"/>
                <w:kern w:val="0"/>
                <w:lang w:val="en-US" w:eastAsia="zh-CN"/>
              </w:rPr>
              <w:t>0.8</w:t>
            </w:r>
            <w:r>
              <w:rPr>
                <w:rFonts w:hint="default" w:ascii="Times New Roman" w:hAnsi="Times New Roman" w:eastAsia="仿宋" w:cs="Times New Roman"/>
                <w:snapToGrid w:val="0"/>
                <w:color w:val="FF0000"/>
                <w:kern w:val="0"/>
              </w:rPr>
              <w:t>t/a，</w:t>
            </w:r>
            <w:r>
              <w:rPr>
                <w:rFonts w:hint="default" w:ascii="Times New Roman" w:hAnsi="Times New Roman" w:eastAsia="仿宋" w:cs="Times New Roman"/>
                <w:color w:val="FF0000"/>
              </w:rPr>
              <w:t>根据《国家危险废物名录（20</w:t>
            </w:r>
            <w:r>
              <w:rPr>
                <w:rFonts w:hint="default" w:ascii="Times New Roman" w:hAnsi="Times New Roman" w:eastAsia="仿宋" w:cs="Times New Roman"/>
                <w:color w:val="FF0000"/>
                <w:lang w:val="en-US" w:eastAsia="zh-CN"/>
              </w:rPr>
              <w:t>25</w:t>
            </w:r>
            <w:r>
              <w:rPr>
                <w:rFonts w:hint="default" w:ascii="Times New Roman" w:hAnsi="Times New Roman" w:eastAsia="仿宋" w:cs="Times New Roman"/>
                <w:color w:val="FF0000"/>
              </w:rPr>
              <w:t>年版）》，废物类别HW08废矿物油与含矿物油废物，废物代码900-210-08</w:t>
            </w:r>
            <w:r>
              <w:rPr>
                <w:rFonts w:hint="default" w:ascii="Times New Roman" w:hAnsi="Times New Roman" w:eastAsia="仿宋" w:cs="Times New Roman"/>
                <w:snapToGrid w:val="0"/>
                <w:color w:val="FF0000"/>
                <w:kern w:val="0"/>
              </w:rPr>
              <w:t>，废</w:t>
            </w:r>
            <w:r>
              <w:rPr>
                <w:rFonts w:hint="default" w:ascii="Times New Roman" w:hAnsi="Times New Roman" w:eastAsia="仿宋" w:cs="Times New Roman"/>
                <w:snapToGrid w:val="0"/>
                <w:color w:val="FF0000"/>
                <w:kern w:val="0"/>
                <w:lang w:val="en-US" w:eastAsia="zh-CN"/>
              </w:rPr>
              <w:t>润滑油</w:t>
            </w:r>
            <w:r>
              <w:rPr>
                <w:rFonts w:hint="eastAsia" w:eastAsia="仿宋" w:cs="Times New Roman"/>
                <w:snapToGrid w:val="0"/>
                <w:color w:val="FF0000"/>
                <w:kern w:val="0"/>
                <w:lang w:val="en-US" w:eastAsia="zh-CN"/>
              </w:rPr>
              <w:t>和废油桶</w:t>
            </w:r>
            <w:r>
              <w:rPr>
                <w:rFonts w:hint="default" w:ascii="Times New Roman" w:hAnsi="Times New Roman" w:eastAsia="仿宋" w:cs="Times New Roman"/>
                <w:color w:val="FF0000"/>
              </w:rPr>
              <w:t>集中收集后暂存于危废</w:t>
            </w:r>
            <w:r>
              <w:rPr>
                <w:rFonts w:hint="default" w:ascii="Times New Roman" w:hAnsi="Times New Roman" w:eastAsia="仿宋" w:cs="Times New Roman"/>
                <w:color w:val="FF0000"/>
                <w:lang w:val="en-US" w:eastAsia="zh-CN"/>
              </w:rPr>
              <w:t>贮存点（</w:t>
            </w:r>
            <w:r>
              <w:rPr>
                <w:rFonts w:hint="default" w:ascii="Times New Roman" w:hAnsi="Times New Roman" w:eastAsia="仿宋" w:cs="Times New Roman"/>
                <w:bCs/>
                <w:color w:val="FF0000"/>
                <w:sz w:val="24"/>
                <w:lang w:val="en-US" w:eastAsia="zh-CN"/>
              </w:rPr>
              <w:t>位于</w:t>
            </w:r>
            <w:r>
              <w:rPr>
                <w:rFonts w:hint="eastAsia" w:ascii="Times New Roman" w:hAnsi="Times New Roman" w:eastAsia="仿宋" w:cs="Times New Roman"/>
                <w:bCs/>
                <w:color w:val="FF0000"/>
                <w:sz w:val="24"/>
                <w:lang w:val="en-US" w:eastAsia="zh-CN"/>
              </w:rPr>
              <w:t>破碎场</w:t>
            </w:r>
            <w:r>
              <w:rPr>
                <w:rFonts w:hint="eastAsia" w:eastAsia="仿宋" w:cs="Times New Roman"/>
                <w:bCs/>
                <w:color w:val="FF0000"/>
                <w:sz w:val="24"/>
                <w:lang w:val="en-US" w:eastAsia="zh-CN"/>
              </w:rPr>
              <w:t>北侧</w:t>
            </w:r>
            <w:r>
              <w:rPr>
                <w:rFonts w:hint="default" w:ascii="Times New Roman" w:hAnsi="Times New Roman" w:eastAsia="仿宋" w:cs="Times New Roman"/>
                <w:color w:val="FF0000"/>
                <w:lang w:val="en-US" w:eastAsia="zh-CN"/>
              </w:rPr>
              <w:t>1间</w:t>
            </w:r>
            <w:r>
              <w:rPr>
                <w:rFonts w:hint="eastAsia" w:eastAsia="仿宋" w:cs="Times New Roman"/>
                <w:color w:val="FF0000"/>
                <w:lang w:val="en-US" w:eastAsia="zh-CN"/>
              </w:rPr>
              <w:t>5</w:t>
            </w:r>
            <w:r>
              <w:rPr>
                <w:rFonts w:hint="default" w:ascii="Times New Roman" w:hAnsi="Times New Roman" w:eastAsia="仿宋" w:cs="Times New Roman"/>
                <w:color w:val="FF0000"/>
                <w:lang w:val="en-US" w:eastAsia="zh-CN"/>
              </w:rPr>
              <w:t>m</w:t>
            </w:r>
            <w:r>
              <w:rPr>
                <w:rFonts w:hint="default" w:ascii="Times New Roman" w:hAnsi="Times New Roman" w:eastAsia="仿宋" w:cs="Times New Roman"/>
                <w:color w:val="FF0000"/>
                <w:vertAlign w:val="superscript"/>
                <w:lang w:val="en-US" w:eastAsia="zh-CN"/>
              </w:rPr>
              <w:t>2</w:t>
            </w:r>
            <w:r>
              <w:rPr>
                <w:rFonts w:hint="default" w:ascii="Times New Roman" w:hAnsi="Times New Roman" w:eastAsia="仿宋" w:cs="Times New Roman"/>
                <w:color w:val="FF0000"/>
                <w:lang w:val="en-US" w:eastAsia="zh-CN"/>
              </w:rPr>
              <w:t>）</w:t>
            </w:r>
            <w:r>
              <w:rPr>
                <w:rFonts w:hint="default" w:ascii="Times New Roman" w:hAnsi="Times New Roman" w:eastAsia="仿宋" w:cs="Times New Roman"/>
                <w:color w:val="FF0000"/>
              </w:rPr>
              <w:t>，定期交由有资质的单位或部门进行处理处置。</w:t>
            </w:r>
          </w:p>
          <w:p w14:paraId="491FBFDC">
            <w:pPr>
              <w:adjustRightInd w:val="0"/>
              <w:snapToGrid w:val="0"/>
              <w:spacing w:line="360" w:lineRule="auto"/>
              <w:ind w:firstLine="440" w:firstLineChars="200"/>
              <w:jc w:val="both"/>
              <w:rPr>
                <w:rFonts w:eastAsia="仿宋"/>
                <w:bCs/>
                <w:color w:val="000000" w:themeColor="text1"/>
                <w:spacing w:val="-10"/>
                <w:sz w:val="24"/>
                <w14:textFill>
                  <w14:solidFill>
                    <w14:schemeClr w14:val="tx1"/>
                  </w14:solidFill>
                </w14:textFill>
              </w:rPr>
            </w:pPr>
            <w:r>
              <w:rPr>
                <w:rFonts w:eastAsia="仿宋"/>
                <w:bCs/>
                <w:color w:val="000000" w:themeColor="text1"/>
                <w:spacing w:val="-10"/>
                <w:sz w:val="24"/>
                <w14:textFill>
                  <w14:solidFill>
                    <w14:schemeClr w14:val="tx1"/>
                  </w14:solidFill>
                </w14:textFill>
              </w:rPr>
              <w:t>本项目固体废物产生情况见表</w:t>
            </w:r>
            <w:r>
              <w:rPr>
                <w:rFonts w:hint="eastAsia" w:eastAsia="仿宋"/>
                <w:bCs/>
                <w:color w:val="000000" w:themeColor="text1"/>
                <w:spacing w:val="-10"/>
                <w:sz w:val="24"/>
                <w:lang w:val="en-US" w:eastAsia="zh-CN"/>
                <w14:textFill>
                  <w14:solidFill>
                    <w14:schemeClr w14:val="tx1"/>
                  </w14:solidFill>
                </w14:textFill>
              </w:rPr>
              <w:t>50</w:t>
            </w:r>
            <w:r>
              <w:rPr>
                <w:rFonts w:eastAsia="仿宋"/>
                <w:bCs/>
                <w:color w:val="000000" w:themeColor="text1"/>
                <w:spacing w:val="-10"/>
                <w:sz w:val="24"/>
                <w14:textFill>
                  <w14:solidFill>
                    <w14:schemeClr w14:val="tx1"/>
                  </w14:solidFill>
                </w14:textFill>
              </w:rPr>
              <w:t>。</w:t>
            </w:r>
          </w:p>
          <w:p w14:paraId="593F8B3D">
            <w:pPr>
              <w:keepNext w:val="0"/>
              <w:keepLines w:val="0"/>
              <w:pageBreakBefore w:val="0"/>
              <w:widowControl/>
              <w:kinsoku/>
              <w:wordWrap/>
              <w:overflowPunct/>
              <w:topLinePunct w:val="0"/>
              <w:autoSpaceDE/>
              <w:autoSpaceDN/>
              <w:bidi w:val="0"/>
              <w:adjustRightInd w:val="0"/>
              <w:snapToGrid w:val="0"/>
              <w:jc w:val="center"/>
              <w:textAlignment w:val="auto"/>
              <w:rPr>
                <w:rFonts w:eastAsia="仿宋"/>
                <w:b/>
                <w:bCs/>
                <w:color w:val="FF0000"/>
                <w:szCs w:val="21"/>
              </w:rPr>
            </w:pPr>
            <w:r>
              <w:rPr>
                <w:rFonts w:eastAsia="仿宋"/>
                <w:b/>
                <w:bCs/>
                <w:color w:val="FF0000"/>
                <w:szCs w:val="21"/>
              </w:rPr>
              <w:t>表</w:t>
            </w:r>
            <w:r>
              <w:rPr>
                <w:rFonts w:hint="eastAsia" w:eastAsia="仿宋"/>
                <w:b/>
                <w:bCs/>
                <w:color w:val="FF0000"/>
                <w:szCs w:val="21"/>
                <w:lang w:val="en-US" w:eastAsia="zh-CN"/>
              </w:rPr>
              <w:t xml:space="preserve">50 </w:t>
            </w:r>
            <w:r>
              <w:rPr>
                <w:rFonts w:eastAsia="仿宋"/>
                <w:b/>
                <w:bCs/>
                <w:color w:val="FF0000"/>
                <w:szCs w:val="21"/>
              </w:rPr>
              <w:t xml:space="preserve"> 项目固体废物分析结果汇总表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1"/>
              <w:gridCol w:w="643"/>
              <w:gridCol w:w="643"/>
              <w:gridCol w:w="723"/>
              <w:gridCol w:w="396"/>
              <w:gridCol w:w="1100"/>
              <w:gridCol w:w="735"/>
              <w:gridCol w:w="1498"/>
              <w:gridCol w:w="1098"/>
            </w:tblGrid>
            <w:tr w14:paraId="204B91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6" w:type="pct"/>
                  <w:noWrap w:val="0"/>
                  <w:vAlign w:val="center"/>
                </w:tcPr>
                <w:p w14:paraId="361D379C">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bCs/>
                      <w:color w:val="FF0000"/>
                      <w:sz w:val="21"/>
                      <w:szCs w:val="21"/>
                    </w:rPr>
                  </w:pPr>
                  <w:r>
                    <w:rPr>
                      <w:rFonts w:eastAsia="仿宋"/>
                      <w:bCs/>
                      <w:color w:val="FF0000"/>
                      <w:sz w:val="21"/>
                      <w:szCs w:val="21"/>
                    </w:rPr>
                    <w:t>序号</w:t>
                  </w:r>
                </w:p>
              </w:tc>
              <w:tc>
                <w:tcPr>
                  <w:tcW w:w="442" w:type="pct"/>
                  <w:noWrap w:val="0"/>
                  <w:vAlign w:val="center"/>
                </w:tcPr>
                <w:p w14:paraId="64314876">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bCs/>
                      <w:color w:val="FF0000"/>
                      <w:sz w:val="21"/>
                      <w:szCs w:val="21"/>
                    </w:rPr>
                  </w:pPr>
                  <w:r>
                    <w:rPr>
                      <w:rFonts w:eastAsia="仿宋"/>
                      <w:bCs/>
                      <w:color w:val="FF0000"/>
                      <w:sz w:val="21"/>
                      <w:szCs w:val="21"/>
                    </w:rPr>
                    <w:t>类别</w:t>
                  </w:r>
                </w:p>
              </w:tc>
              <w:tc>
                <w:tcPr>
                  <w:tcW w:w="442" w:type="pct"/>
                  <w:noWrap w:val="0"/>
                  <w:vAlign w:val="center"/>
                </w:tcPr>
                <w:p w14:paraId="2D610AC3">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bCs/>
                      <w:color w:val="FF0000"/>
                      <w:sz w:val="21"/>
                      <w:szCs w:val="21"/>
                    </w:rPr>
                  </w:pPr>
                  <w:r>
                    <w:rPr>
                      <w:rFonts w:eastAsia="仿宋"/>
                      <w:bCs/>
                      <w:color w:val="FF0000"/>
                      <w:sz w:val="21"/>
                      <w:szCs w:val="21"/>
                    </w:rPr>
                    <w:t>固废</w:t>
                  </w:r>
                </w:p>
                <w:p w14:paraId="339FD6F4">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bCs/>
                      <w:color w:val="FF0000"/>
                      <w:sz w:val="21"/>
                      <w:szCs w:val="21"/>
                    </w:rPr>
                  </w:pPr>
                  <w:r>
                    <w:rPr>
                      <w:rFonts w:eastAsia="仿宋"/>
                      <w:bCs/>
                      <w:color w:val="FF0000"/>
                      <w:sz w:val="21"/>
                      <w:szCs w:val="21"/>
                    </w:rPr>
                    <w:t>名称</w:t>
                  </w:r>
                </w:p>
              </w:tc>
              <w:tc>
                <w:tcPr>
                  <w:tcW w:w="497" w:type="pct"/>
                  <w:noWrap w:val="0"/>
                  <w:vAlign w:val="center"/>
                </w:tcPr>
                <w:p w14:paraId="2C0C1BAF">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bCs/>
                      <w:color w:val="FF0000"/>
                      <w:sz w:val="21"/>
                      <w:szCs w:val="21"/>
                    </w:rPr>
                  </w:pPr>
                  <w:r>
                    <w:rPr>
                      <w:rFonts w:hint="eastAsia" w:eastAsia="仿宋"/>
                      <w:bCs/>
                      <w:color w:val="FF0000"/>
                      <w:sz w:val="21"/>
                      <w:szCs w:val="21"/>
                    </w:rPr>
                    <w:t>废物代码</w:t>
                  </w:r>
                </w:p>
              </w:tc>
              <w:tc>
                <w:tcPr>
                  <w:tcW w:w="272" w:type="pct"/>
                  <w:noWrap w:val="0"/>
                  <w:vAlign w:val="center"/>
                </w:tcPr>
                <w:p w14:paraId="2C22ED29">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bCs/>
                      <w:color w:val="FF0000"/>
                      <w:sz w:val="21"/>
                      <w:szCs w:val="21"/>
                    </w:rPr>
                  </w:pPr>
                  <w:r>
                    <w:rPr>
                      <w:rFonts w:eastAsia="仿宋"/>
                      <w:bCs/>
                      <w:color w:val="FF0000"/>
                      <w:sz w:val="21"/>
                      <w:szCs w:val="21"/>
                    </w:rPr>
                    <w:t>形态</w:t>
                  </w:r>
                </w:p>
              </w:tc>
              <w:tc>
                <w:tcPr>
                  <w:tcW w:w="756" w:type="pct"/>
                  <w:noWrap w:val="0"/>
                  <w:vAlign w:val="center"/>
                </w:tcPr>
                <w:p w14:paraId="567F3FA6">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bCs/>
                      <w:color w:val="FF0000"/>
                      <w:sz w:val="21"/>
                      <w:szCs w:val="21"/>
                    </w:rPr>
                  </w:pPr>
                  <w:r>
                    <w:rPr>
                      <w:rFonts w:eastAsia="仿宋"/>
                      <w:bCs/>
                      <w:color w:val="FF0000"/>
                      <w:sz w:val="21"/>
                      <w:szCs w:val="21"/>
                    </w:rPr>
                    <w:t>产生量（t/a）</w:t>
                  </w:r>
                </w:p>
              </w:tc>
              <w:tc>
                <w:tcPr>
                  <w:tcW w:w="505" w:type="pct"/>
                  <w:noWrap w:val="0"/>
                  <w:vAlign w:val="center"/>
                </w:tcPr>
                <w:p w14:paraId="3ED274E6">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bCs/>
                      <w:color w:val="FF0000"/>
                      <w:sz w:val="21"/>
                      <w:szCs w:val="21"/>
                    </w:rPr>
                  </w:pPr>
                  <w:r>
                    <w:rPr>
                      <w:rFonts w:eastAsia="仿宋"/>
                      <w:bCs/>
                      <w:color w:val="FF0000"/>
                      <w:sz w:val="21"/>
                      <w:szCs w:val="21"/>
                    </w:rPr>
                    <w:t>贮存</w:t>
                  </w:r>
                </w:p>
                <w:p w14:paraId="2A1C2C53">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bCs/>
                      <w:color w:val="FF0000"/>
                      <w:sz w:val="21"/>
                      <w:szCs w:val="21"/>
                    </w:rPr>
                  </w:pPr>
                  <w:r>
                    <w:rPr>
                      <w:rFonts w:eastAsia="仿宋"/>
                      <w:bCs/>
                      <w:color w:val="FF0000"/>
                      <w:sz w:val="21"/>
                      <w:szCs w:val="21"/>
                    </w:rPr>
                    <w:t>方式</w:t>
                  </w:r>
                </w:p>
              </w:tc>
              <w:tc>
                <w:tcPr>
                  <w:tcW w:w="1030" w:type="pct"/>
                  <w:noWrap w:val="0"/>
                  <w:vAlign w:val="center"/>
                </w:tcPr>
                <w:p w14:paraId="2391E416">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bCs/>
                      <w:color w:val="FF0000"/>
                      <w:sz w:val="21"/>
                      <w:szCs w:val="21"/>
                    </w:rPr>
                  </w:pPr>
                  <w:r>
                    <w:rPr>
                      <w:rFonts w:eastAsia="仿宋"/>
                      <w:bCs/>
                      <w:color w:val="FF0000"/>
                      <w:sz w:val="21"/>
                      <w:szCs w:val="21"/>
                    </w:rPr>
                    <w:t>处理处置方法</w:t>
                  </w:r>
                </w:p>
              </w:tc>
              <w:tc>
                <w:tcPr>
                  <w:tcW w:w="755" w:type="pct"/>
                  <w:noWrap w:val="0"/>
                  <w:vAlign w:val="center"/>
                </w:tcPr>
                <w:p w14:paraId="32C0105F">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bCs/>
                      <w:color w:val="FF0000"/>
                      <w:sz w:val="21"/>
                      <w:szCs w:val="21"/>
                    </w:rPr>
                  </w:pPr>
                  <w:r>
                    <w:rPr>
                      <w:rFonts w:eastAsia="仿宋"/>
                      <w:bCs/>
                      <w:color w:val="FF0000"/>
                      <w:sz w:val="21"/>
                      <w:szCs w:val="21"/>
                    </w:rPr>
                    <w:t>处置量（t/a）</w:t>
                  </w:r>
                </w:p>
              </w:tc>
            </w:tr>
            <w:tr w14:paraId="6BC087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296" w:type="pct"/>
                  <w:noWrap w:val="0"/>
                  <w:vAlign w:val="center"/>
                </w:tcPr>
                <w:p w14:paraId="70AC513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1</w:t>
                  </w:r>
                </w:p>
              </w:tc>
              <w:tc>
                <w:tcPr>
                  <w:tcW w:w="442" w:type="pct"/>
                  <w:vMerge w:val="restart"/>
                  <w:noWrap w:val="0"/>
                  <w:vAlign w:val="center"/>
                </w:tcPr>
                <w:p w14:paraId="2FFE68A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一般工业固体废物</w:t>
                  </w:r>
                </w:p>
              </w:tc>
              <w:tc>
                <w:tcPr>
                  <w:tcW w:w="442" w:type="pct"/>
                  <w:shd w:val="clear" w:color="auto" w:fill="auto"/>
                  <w:noWrap w:val="0"/>
                  <w:vAlign w:val="center"/>
                </w:tcPr>
                <w:p w14:paraId="016B223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FF0000"/>
                      <w:kern w:val="2"/>
                      <w:sz w:val="21"/>
                      <w:szCs w:val="21"/>
                      <w:lang w:val="en-US" w:eastAsia="zh-CN" w:bidi="ar-SA"/>
                    </w:rPr>
                  </w:pPr>
                  <w:r>
                    <w:rPr>
                      <w:rFonts w:hint="eastAsia" w:eastAsia="仿宋"/>
                      <w:snapToGrid w:val="0"/>
                      <w:color w:val="FF0000"/>
                      <w:kern w:val="0"/>
                      <w:sz w:val="21"/>
                      <w:szCs w:val="21"/>
                      <w:lang w:val="en-US" w:eastAsia="zh-CN"/>
                    </w:rPr>
                    <w:t>剥离表土</w:t>
                  </w:r>
                </w:p>
              </w:tc>
              <w:tc>
                <w:tcPr>
                  <w:tcW w:w="497" w:type="pct"/>
                  <w:shd w:val="clear" w:color="auto" w:fill="auto"/>
                  <w:noWrap w:val="0"/>
                  <w:vAlign w:val="center"/>
                </w:tcPr>
                <w:p w14:paraId="030FEF58">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eastAsia" w:eastAsia="仿宋"/>
                      <w:color w:val="FF0000"/>
                      <w:sz w:val="21"/>
                      <w:szCs w:val="21"/>
                      <w:lang w:val="en-US" w:eastAsia="zh-CN"/>
                    </w:rPr>
                  </w:pPr>
                  <w:r>
                    <w:rPr>
                      <w:rFonts w:hint="eastAsia" w:eastAsia="仿宋"/>
                      <w:color w:val="FF0000"/>
                      <w:sz w:val="21"/>
                      <w:szCs w:val="21"/>
                      <w:lang w:val="en-US" w:eastAsia="zh-CN"/>
                    </w:rPr>
                    <w:t>SW</w:t>
                  </w:r>
                </w:p>
                <w:p w14:paraId="1F513D6D">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FF0000"/>
                      <w:kern w:val="2"/>
                      <w:sz w:val="21"/>
                      <w:szCs w:val="21"/>
                      <w:lang w:val="en-US" w:eastAsia="zh-CN" w:bidi="ar-SA"/>
                    </w:rPr>
                  </w:pPr>
                  <w:r>
                    <w:rPr>
                      <w:rFonts w:hint="eastAsia" w:eastAsia="仿宋"/>
                      <w:color w:val="FF0000"/>
                      <w:sz w:val="21"/>
                      <w:szCs w:val="21"/>
                      <w:lang w:val="en-US" w:eastAsia="zh-CN"/>
                    </w:rPr>
                    <w:t>59</w:t>
                  </w:r>
                </w:p>
              </w:tc>
              <w:tc>
                <w:tcPr>
                  <w:tcW w:w="272" w:type="pct"/>
                  <w:shd w:val="clear" w:color="auto" w:fill="auto"/>
                  <w:noWrap w:val="0"/>
                  <w:vAlign w:val="center"/>
                </w:tcPr>
                <w:p w14:paraId="764E9B99">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ascii="Times New Roman" w:hAnsi="Times New Roman" w:eastAsia="仿宋" w:cs="Times New Roman"/>
                      <w:color w:val="FF0000"/>
                      <w:kern w:val="2"/>
                      <w:sz w:val="21"/>
                      <w:szCs w:val="21"/>
                      <w:lang w:val="en-US" w:eastAsia="zh-CN" w:bidi="ar-SA"/>
                    </w:rPr>
                  </w:pPr>
                  <w:r>
                    <w:rPr>
                      <w:rFonts w:eastAsia="仿宋"/>
                      <w:color w:val="FF0000"/>
                      <w:sz w:val="21"/>
                      <w:szCs w:val="21"/>
                    </w:rPr>
                    <w:t>固</w:t>
                  </w:r>
                </w:p>
              </w:tc>
              <w:tc>
                <w:tcPr>
                  <w:tcW w:w="756" w:type="pct"/>
                  <w:shd w:val="clear" w:color="auto" w:fill="auto"/>
                  <w:noWrap w:val="0"/>
                  <w:vAlign w:val="center"/>
                </w:tcPr>
                <w:p w14:paraId="2E2ACED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FF0000"/>
                      <w:kern w:val="2"/>
                      <w:sz w:val="21"/>
                      <w:szCs w:val="21"/>
                      <w:lang w:val="en-US" w:eastAsia="zh-CN" w:bidi="ar-SA"/>
                    </w:rPr>
                  </w:pPr>
                  <w:r>
                    <w:rPr>
                      <w:rFonts w:hint="eastAsia" w:eastAsia="仿宋" w:cs="Times New Roman"/>
                      <w:color w:val="FF0000"/>
                      <w:kern w:val="2"/>
                      <w:sz w:val="21"/>
                      <w:szCs w:val="21"/>
                      <w:lang w:val="en-US" w:eastAsia="zh-CN" w:bidi="ar-SA"/>
                    </w:rPr>
                    <w:t>18750</w:t>
                  </w:r>
                </w:p>
              </w:tc>
              <w:tc>
                <w:tcPr>
                  <w:tcW w:w="505" w:type="pct"/>
                  <w:shd w:val="clear" w:color="auto" w:fill="auto"/>
                  <w:noWrap w:val="0"/>
                  <w:vAlign w:val="center"/>
                </w:tcPr>
                <w:p w14:paraId="7B74AEE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仿宋" w:cs="Times New Roman"/>
                      <w:color w:val="FF0000"/>
                      <w:kern w:val="2"/>
                      <w:sz w:val="21"/>
                      <w:szCs w:val="21"/>
                      <w:lang w:val="en-US" w:eastAsia="zh-CN" w:bidi="ar-SA"/>
                    </w:rPr>
                  </w:pPr>
                  <w:r>
                    <w:rPr>
                      <w:rFonts w:hint="eastAsia" w:eastAsia="仿宋"/>
                      <w:color w:val="FF0000"/>
                      <w:sz w:val="21"/>
                      <w:szCs w:val="21"/>
                      <w:lang w:val="en-US" w:eastAsia="zh-CN"/>
                    </w:rPr>
                    <w:t>排土场</w:t>
                  </w:r>
                </w:p>
              </w:tc>
              <w:tc>
                <w:tcPr>
                  <w:tcW w:w="1030" w:type="pct"/>
                  <w:shd w:val="clear" w:color="auto" w:fill="auto"/>
                  <w:noWrap w:val="0"/>
                  <w:vAlign w:val="center"/>
                </w:tcPr>
                <w:p w14:paraId="5D98C38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FF0000"/>
                      <w:kern w:val="2"/>
                      <w:sz w:val="21"/>
                      <w:szCs w:val="21"/>
                      <w:lang w:val="en-US" w:eastAsia="zh-CN" w:bidi="ar-SA"/>
                    </w:rPr>
                  </w:pPr>
                  <w:r>
                    <w:rPr>
                      <w:rFonts w:hint="eastAsia" w:eastAsia="仿宋"/>
                      <w:color w:val="FF0000"/>
                      <w:spacing w:val="8"/>
                      <w:sz w:val="21"/>
                      <w:szCs w:val="21"/>
                      <w:lang w:val="en-US" w:eastAsia="zh-CN"/>
                    </w:rPr>
                    <w:t>全部用于矿山生态修复</w:t>
                  </w:r>
                </w:p>
              </w:tc>
              <w:tc>
                <w:tcPr>
                  <w:tcW w:w="755" w:type="pct"/>
                  <w:shd w:val="clear" w:color="auto" w:fill="auto"/>
                  <w:noWrap w:val="0"/>
                  <w:vAlign w:val="center"/>
                </w:tcPr>
                <w:p w14:paraId="336FC4B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color w:val="FF0000"/>
                      <w:kern w:val="2"/>
                      <w:sz w:val="21"/>
                      <w:szCs w:val="21"/>
                      <w:lang w:val="en-US" w:eastAsia="zh-CN" w:bidi="ar-SA"/>
                    </w:rPr>
                  </w:pPr>
                  <w:r>
                    <w:rPr>
                      <w:rFonts w:hint="eastAsia" w:eastAsia="仿宋" w:cs="Times New Roman"/>
                      <w:color w:val="FF0000"/>
                      <w:kern w:val="2"/>
                      <w:sz w:val="21"/>
                      <w:szCs w:val="21"/>
                      <w:lang w:val="en-US" w:eastAsia="zh-CN" w:bidi="ar-SA"/>
                    </w:rPr>
                    <w:t>18750</w:t>
                  </w:r>
                </w:p>
              </w:tc>
            </w:tr>
            <w:tr w14:paraId="1C61C6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296" w:type="pct"/>
                  <w:noWrap w:val="0"/>
                  <w:vAlign w:val="center"/>
                </w:tcPr>
                <w:p w14:paraId="37E8A0B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2</w:t>
                  </w:r>
                </w:p>
              </w:tc>
              <w:tc>
                <w:tcPr>
                  <w:tcW w:w="442" w:type="pct"/>
                  <w:vMerge w:val="continue"/>
                  <w:noWrap w:val="0"/>
                  <w:vAlign w:val="center"/>
                </w:tcPr>
                <w:p w14:paraId="448AA1B9">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 w:val="21"/>
                      <w:szCs w:val="21"/>
                    </w:rPr>
                  </w:pPr>
                </w:p>
              </w:tc>
              <w:tc>
                <w:tcPr>
                  <w:tcW w:w="442" w:type="pct"/>
                  <w:noWrap w:val="0"/>
                  <w:vAlign w:val="center"/>
                </w:tcPr>
                <w:p w14:paraId="3DC45E3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FF0000"/>
                      <w:sz w:val="21"/>
                      <w:szCs w:val="21"/>
                      <w:lang w:val="en-US" w:eastAsia="zh-CN"/>
                    </w:rPr>
                  </w:pPr>
                  <w:r>
                    <w:rPr>
                      <w:rFonts w:hint="eastAsia" w:ascii="Times New Roman" w:hAnsi="Times New Roman" w:eastAsia="仿宋" w:cs="Times New Roman"/>
                      <w:snapToGrid w:val="0"/>
                      <w:color w:val="FF0000"/>
                      <w:kern w:val="0"/>
                      <w:sz w:val="21"/>
                      <w:szCs w:val="21"/>
                      <w:lang w:val="en-US" w:eastAsia="zh-CN"/>
                    </w:rPr>
                    <w:t>废石</w:t>
                  </w:r>
                </w:p>
              </w:tc>
              <w:tc>
                <w:tcPr>
                  <w:tcW w:w="497" w:type="pct"/>
                  <w:noWrap w:val="0"/>
                  <w:vAlign w:val="center"/>
                </w:tcPr>
                <w:p w14:paraId="3AA6695C">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eastAsia" w:eastAsia="仿宋"/>
                      <w:color w:val="FF0000"/>
                      <w:sz w:val="21"/>
                      <w:szCs w:val="21"/>
                      <w:lang w:val="en-US" w:eastAsia="zh-CN"/>
                    </w:rPr>
                  </w:pPr>
                  <w:r>
                    <w:rPr>
                      <w:rFonts w:hint="eastAsia" w:eastAsia="仿宋"/>
                      <w:color w:val="FF0000"/>
                      <w:sz w:val="21"/>
                      <w:szCs w:val="21"/>
                      <w:lang w:val="en-US" w:eastAsia="zh-CN"/>
                    </w:rPr>
                    <w:t>SW</w:t>
                  </w:r>
                </w:p>
                <w:p w14:paraId="1D04D8A8">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59</w:t>
                  </w:r>
                </w:p>
              </w:tc>
              <w:tc>
                <w:tcPr>
                  <w:tcW w:w="272" w:type="pct"/>
                  <w:noWrap w:val="0"/>
                  <w:vAlign w:val="center"/>
                </w:tcPr>
                <w:p w14:paraId="25D18175">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color w:val="FF0000"/>
                      <w:sz w:val="21"/>
                      <w:szCs w:val="21"/>
                    </w:rPr>
                  </w:pPr>
                  <w:r>
                    <w:rPr>
                      <w:rFonts w:eastAsia="仿宋"/>
                      <w:color w:val="FF0000"/>
                      <w:sz w:val="21"/>
                      <w:szCs w:val="21"/>
                    </w:rPr>
                    <w:t>固</w:t>
                  </w:r>
                </w:p>
              </w:tc>
              <w:tc>
                <w:tcPr>
                  <w:tcW w:w="756" w:type="pct"/>
                  <w:noWrap w:val="0"/>
                  <w:vAlign w:val="center"/>
                </w:tcPr>
                <w:p w14:paraId="3CB6F7F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54.6万</w:t>
                  </w:r>
                </w:p>
              </w:tc>
              <w:tc>
                <w:tcPr>
                  <w:tcW w:w="505" w:type="pct"/>
                  <w:noWrap w:val="0"/>
                  <w:vAlign w:val="center"/>
                </w:tcPr>
                <w:p w14:paraId="1CB6F09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FF0000"/>
                      <w:sz w:val="21"/>
                      <w:szCs w:val="21"/>
                    </w:rPr>
                  </w:pPr>
                  <w:r>
                    <w:rPr>
                      <w:rFonts w:hint="eastAsia" w:eastAsia="仿宋"/>
                      <w:color w:val="FF0000"/>
                      <w:sz w:val="21"/>
                      <w:szCs w:val="21"/>
                      <w:lang w:val="en-US" w:eastAsia="zh-CN"/>
                    </w:rPr>
                    <w:t>排土场</w:t>
                  </w:r>
                </w:p>
              </w:tc>
              <w:tc>
                <w:tcPr>
                  <w:tcW w:w="1030" w:type="pct"/>
                  <w:noWrap w:val="0"/>
                  <w:vAlign w:val="center"/>
                </w:tcPr>
                <w:p w14:paraId="5ED8102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pacing w:val="8"/>
                      <w:sz w:val="21"/>
                      <w:szCs w:val="21"/>
                      <w:lang w:val="en-US" w:eastAsia="zh-CN"/>
                    </w:rPr>
                    <w:t>全部用于采坑回填</w:t>
                  </w:r>
                </w:p>
              </w:tc>
              <w:tc>
                <w:tcPr>
                  <w:tcW w:w="755" w:type="pct"/>
                  <w:noWrap w:val="0"/>
                  <w:vAlign w:val="center"/>
                </w:tcPr>
                <w:p w14:paraId="6849CEF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54.6万</w:t>
                  </w:r>
                </w:p>
              </w:tc>
            </w:tr>
            <w:tr w14:paraId="416D0F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296" w:type="pct"/>
                  <w:noWrap w:val="0"/>
                  <w:vAlign w:val="center"/>
                </w:tcPr>
                <w:p w14:paraId="27789C3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3</w:t>
                  </w:r>
                </w:p>
              </w:tc>
              <w:tc>
                <w:tcPr>
                  <w:tcW w:w="442" w:type="pct"/>
                  <w:vMerge w:val="continue"/>
                  <w:noWrap w:val="0"/>
                  <w:vAlign w:val="center"/>
                </w:tcPr>
                <w:p w14:paraId="7E8C90E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 w:val="21"/>
                      <w:szCs w:val="21"/>
                    </w:rPr>
                  </w:pPr>
                </w:p>
              </w:tc>
              <w:tc>
                <w:tcPr>
                  <w:tcW w:w="442" w:type="pct"/>
                  <w:noWrap w:val="0"/>
                  <w:vAlign w:val="center"/>
                </w:tcPr>
                <w:p w14:paraId="68659C3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snapToGrid w:val="0"/>
                      <w:color w:val="FF0000"/>
                      <w:kern w:val="0"/>
                      <w:sz w:val="21"/>
                      <w:szCs w:val="21"/>
                      <w:lang w:val="en-US" w:eastAsia="zh-CN"/>
                    </w:rPr>
                  </w:pPr>
                  <w:r>
                    <w:rPr>
                      <w:rFonts w:hint="eastAsia" w:eastAsia="仿宋" w:cs="Times New Roman"/>
                      <w:snapToGrid w:val="0"/>
                      <w:color w:val="FF0000"/>
                      <w:kern w:val="0"/>
                      <w:sz w:val="21"/>
                      <w:szCs w:val="21"/>
                      <w:lang w:val="en-US" w:eastAsia="zh-CN"/>
                    </w:rPr>
                    <w:t>收尘灰</w:t>
                  </w:r>
                </w:p>
              </w:tc>
              <w:tc>
                <w:tcPr>
                  <w:tcW w:w="497" w:type="pct"/>
                  <w:noWrap w:val="0"/>
                  <w:vAlign w:val="center"/>
                </w:tcPr>
                <w:p w14:paraId="1CE59FB2">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eastAsia" w:eastAsia="仿宋"/>
                      <w:color w:val="FF0000"/>
                      <w:sz w:val="21"/>
                      <w:szCs w:val="21"/>
                      <w:lang w:val="en-US" w:eastAsia="zh-CN"/>
                    </w:rPr>
                  </w:pPr>
                  <w:r>
                    <w:rPr>
                      <w:rFonts w:hint="eastAsia" w:eastAsia="仿宋"/>
                      <w:color w:val="FF0000"/>
                      <w:sz w:val="21"/>
                      <w:szCs w:val="21"/>
                      <w:lang w:val="en-US" w:eastAsia="zh-CN"/>
                    </w:rPr>
                    <w:t>SW</w:t>
                  </w:r>
                </w:p>
                <w:p w14:paraId="183E995F">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eastAsia" w:eastAsia="仿宋"/>
                      <w:color w:val="FF0000"/>
                      <w:sz w:val="21"/>
                      <w:szCs w:val="21"/>
                      <w:lang w:val="en-US" w:eastAsia="zh-CN"/>
                    </w:rPr>
                  </w:pPr>
                  <w:r>
                    <w:rPr>
                      <w:rFonts w:hint="eastAsia" w:eastAsia="仿宋"/>
                      <w:color w:val="FF0000"/>
                      <w:sz w:val="21"/>
                      <w:szCs w:val="21"/>
                      <w:lang w:val="en-US" w:eastAsia="zh-CN"/>
                    </w:rPr>
                    <w:t>59</w:t>
                  </w:r>
                </w:p>
              </w:tc>
              <w:tc>
                <w:tcPr>
                  <w:tcW w:w="272" w:type="pct"/>
                  <w:noWrap w:val="0"/>
                  <w:vAlign w:val="center"/>
                </w:tcPr>
                <w:p w14:paraId="295FB0A9">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color w:val="FF0000"/>
                      <w:sz w:val="21"/>
                      <w:szCs w:val="21"/>
                    </w:rPr>
                  </w:pPr>
                  <w:r>
                    <w:rPr>
                      <w:rFonts w:eastAsia="仿宋"/>
                      <w:color w:val="FF0000"/>
                      <w:sz w:val="21"/>
                      <w:szCs w:val="21"/>
                    </w:rPr>
                    <w:t>固</w:t>
                  </w:r>
                </w:p>
              </w:tc>
              <w:tc>
                <w:tcPr>
                  <w:tcW w:w="756" w:type="pct"/>
                  <w:noWrap w:val="0"/>
                  <w:vAlign w:val="center"/>
                </w:tcPr>
                <w:p w14:paraId="0872508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s="Times New Roman"/>
                      <w:color w:val="FF0000"/>
                      <w:sz w:val="21"/>
                      <w:szCs w:val="21"/>
                      <w:lang w:val="en-US" w:eastAsia="zh-CN"/>
                    </w:rPr>
                  </w:pPr>
                  <w:r>
                    <w:rPr>
                      <w:rFonts w:hint="eastAsia" w:eastAsia="仿宋" w:cs="Times New Roman"/>
                      <w:color w:val="FF0000"/>
                      <w:sz w:val="21"/>
                      <w:szCs w:val="21"/>
                      <w:lang w:val="en-US" w:eastAsia="zh-CN"/>
                    </w:rPr>
                    <w:t>301</w:t>
                  </w:r>
                </w:p>
              </w:tc>
              <w:tc>
                <w:tcPr>
                  <w:tcW w:w="505" w:type="pct"/>
                  <w:noWrap w:val="0"/>
                  <w:vAlign w:val="center"/>
                </w:tcPr>
                <w:p w14:paraId="566A265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收尘袋</w:t>
                  </w:r>
                </w:p>
              </w:tc>
              <w:tc>
                <w:tcPr>
                  <w:tcW w:w="1030" w:type="pct"/>
                  <w:noWrap w:val="0"/>
                  <w:vAlign w:val="center"/>
                </w:tcPr>
                <w:p w14:paraId="67C4AB8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pacing w:val="8"/>
                      <w:sz w:val="21"/>
                      <w:szCs w:val="21"/>
                      <w:lang w:val="en-US" w:eastAsia="zh-CN"/>
                    </w:rPr>
                  </w:pPr>
                  <w:r>
                    <w:rPr>
                      <w:rFonts w:hint="eastAsia" w:eastAsia="仿宋"/>
                      <w:color w:val="FF0000"/>
                      <w:spacing w:val="8"/>
                      <w:sz w:val="21"/>
                      <w:szCs w:val="21"/>
                      <w:lang w:val="en-US" w:eastAsia="zh-CN"/>
                    </w:rPr>
                    <w:t>外售</w:t>
                  </w:r>
                </w:p>
              </w:tc>
              <w:tc>
                <w:tcPr>
                  <w:tcW w:w="755" w:type="pct"/>
                  <w:noWrap w:val="0"/>
                  <w:vAlign w:val="center"/>
                </w:tcPr>
                <w:p w14:paraId="1D97A64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s="Times New Roman"/>
                      <w:color w:val="FF0000"/>
                      <w:sz w:val="21"/>
                      <w:szCs w:val="21"/>
                      <w:lang w:val="en-US" w:eastAsia="zh-CN"/>
                    </w:rPr>
                  </w:pPr>
                  <w:r>
                    <w:rPr>
                      <w:rFonts w:hint="eastAsia" w:eastAsia="仿宋" w:cs="Times New Roman"/>
                      <w:color w:val="FF0000"/>
                      <w:sz w:val="21"/>
                      <w:szCs w:val="21"/>
                      <w:lang w:val="en-US" w:eastAsia="zh-CN"/>
                    </w:rPr>
                    <w:t>301</w:t>
                  </w:r>
                </w:p>
              </w:tc>
            </w:tr>
            <w:tr w14:paraId="7D4C3A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296" w:type="pct"/>
                  <w:noWrap w:val="0"/>
                  <w:vAlign w:val="center"/>
                </w:tcPr>
                <w:p w14:paraId="38A6B4C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4</w:t>
                  </w:r>
                </w:p>
              </w:tc>
              <w:tc>
                <w:tcPr>
                  <w:tcW w:w="442" w:type="pct"/>
                  <w:vMerge w:val="continue"/>
                  <w:noWrap w:val="0"/>
                  <w:vAlign w:val="center"/>
                </w:tcPr>
                <w:p w14:paraId="6DC173B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 w:val="21"/>
                      <w:szCs w:val="21"/>
                    </w:rPr>
                  </w:pPr>
                </w:p>
              </w:tc>
              <w:tc>
                <w:tcPr>
                  <w:tcW w:w="442" w:type="pct"/>
                  <w:noWrap w:val="0"/>
                  <w:vAlign w:val="center"/>
                </w:tcPr>
                <w:p w14:paraId="285CF76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 w:cs="Times New Roman"/>
                      <w:snapToGrid w:val="0"/>
                      <w:color w:val="FF0000"/>
                      <w:kern w:val="0"/>
                      <w:sz w:val="21"/>
                      <w:szCs w:val="21"/>
                      <w:lang w:val="en-US" w:eastAsia="zh-CN"/>
                    </w:rPr>
                  </w:pPr>
                  <w:r>
                    <w:rPr>
                      <w:rFonts w:hint="eastAsia" w:eastAsia="仿宋" w:cs="Times New Roman"/>
                      <w:snapToGrid w:val="0"/>
                      <w:color w:val="FF0000"/>
                      <w:kern w:val="0"/>
                      <w:sz w:val="21"/>
                      <w:szCs w:val="21"/>
                      <w:lang w:val="en-US" w:eastAsia="zh-CN"/>
                    </w:rPr>
                    <w:t>废布袋</w:t>
                  </w:r>
                </w:p>
              </w:tc>
              <w:tc>
                <w:tcPr>
                  <w:tcW w:w="497" w:type="pct"/>
                  <w:noWrap w:val="0"/>
                  <w:vAlign w:val="center"/>
                </w:tcPr>
                <w:p w14:paraId="6312590A">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eastAsia" w:eastAsia="仿宋"/>
                      <w:color w:val="FF0000"/>
                      <w:sz w:val="21"/>
                      <w:szCs w:val="21"/>
                      <w:lang w:val="en-US" w:eastAsia="zh-CN"/>
                    </w:rPr>
                  </w:pPr>
                  <w:r>
                    <w:rPr>
                      <w:rFonts w:hint="eastAsia" w:eastAsia="仿宋"/>
                      <w:color w:val="FF0000"/>
                      <w:sz w:val="21"/>
                      <w:szCs w:val="21"/>
                      <w:lang w:val="en-US" w:eastAsia="zh-CN"/>
                    </w:rPr>
                    <w:t>SW</w:t>
                  </w:r>
                </w:p>
                <w:p w14:paraId="33EA82F2">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eastAsia" w:eastAsia="仿宋"/>
                      <w:color w:val="FF0000"/>
                      <w:sz w:val="21"/>
                      <w:szCs w:val="21"/>
                      <w:lang w:val="en-US" w:eastAsia="zh-CN"/>
                    </w:rPr>
                  </w:pPr>
                  <w:r>
                    <w:rPr>
                      <w:rFonts w:hint="eastAsia" w:eastAsia="仿宋"/>
                      <w:color w:val="FF0000"/>
                      <w:sz w:val="21"/>
                      <w:szCs w:val="21"/>
                      <w:lang w:val="en-US" w:eastAsia="zh-CN"/>
                    </w:rPr>
                    <w:t>59</w:t>
                  </w:r>
                </w:p>
              </w:tc>
              <w:tc>
                <w:tcPr>
                  <w:tcW w:w="272" w:type="pct"/>
                  <w:noWrap w:val="0"/>
                  <w:vAlign w:val="center"/>
                </w:tcPr>
                <w:p w14:paraId="0EB39FB1">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color w:val="FF0000"/>
                      <w:sz w:val="21"/>
                      <w:szCs w:val="21"/>
                    </w:rPr>
                  </w:pPr>
                  <w:r>
                    <w:rPr>
                      <w:rFonts w:eastAsia="仿宋"/>
                      <w:color w:val="FF0000"/>
                      <w:sz w:val="21"/>
                      <w:szCs w:val="21"/>
                    </w:rPr>
                    <w:t>固</w:t>
                  </w:r>
                </w:p>
              </w:tc>
              <w:tc>
                <w:tcPr>
                  <w:tcW w:w="756" w:type="pct"/>
                  <w:noWrap w:val="0"/>
                  <w:vAlign w:val="center"/>
                </w:tcPr>
                <w:p w14:paraId="2D745D3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s="Times New Roman"/>
                      <w:color w:val="FF0000"/>
                      <w:sz w:val="21"/>
                      <w:szCs w:val="21"/>
                      <w:lang w:val="en-US" w:eastAsia="zh-CN"/>
                    </w:rPr>
                  </w:pPr>
                  <w:r>
                    <w:rPr>
                      <w:rFonts w:hint="eastAsia" w:eastAsia="仿宋" w:cs="Times New Roman"/>
                      <w:color w:val="FF0000"/>
                      <w:sz w:val="21"/>
                      <w:szCs w:val="21"/>
                      <w:lang w:val="en-US" w:eastAsia="zh-CN"/>
                    </w:rPr>
                    <w:t>2个/次</w:t>
                  </w:r>
                </w:p>
              </w:tc>
              <w:tc>
                <w:tcPr>
                  <w:tcW w:w="505" w:type="pct"/>
                  <w:noWrap w:val="0"/>
                  <w:vAlign w:val="center"/>
                </w:tcPr>
                <w:p w14:paraId="37E4CFE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w:t>
                  </w:r>
                </w:p>
              </w:tc>
              <w:tc>
                <w:tcPr>
                  <w:tcW w:w="1030" w:type="pct"/>
                  <w:noWrap w:val="0"/>
                  <w:vAlign w:val="center"/>
                </w:tcPr>
                <w:p w14:paraId="3D3780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pacing w:val="8"/>
                      <w:sz w:val="21"/>
                      <w:szCs w:val="21"/>
                      <w:lang w:val="en-US" w:eastAsia="zh-CN"/>
                    </w:rPr>
                  </w:pPr>
                  <w:r>
                    <w:rPr>
                      <w:rFonts w:hint="eastAsia" w:eastAsia="仿宋"/>
                      <w:color w:val="FF0000"/>
                      <w:spacing w:val="8"/>
                      <w:sz w:val="21"/>
                      <w:szCs w:val="21"/>
                      <w:lang w:val="en-US" w:eastAsia="zh-CN"/>
                    </w:rPr>
                    <w:t>厂家更换并带走处理</w:t>
                  </w:r>
                </w:p>
              </w:tc>
              <w:tc>
                <w:tcPr>
                  <w:tcW w:w="755" w:type="pct"/>
                  <w:noWrap w:val="0"/>
                  <w:vAlign w:val="center"/>
                </w:tcPr>
                <w:p w14:paraId="7B624F5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s="Times New Roman"/>
                      <w:color w:val="FF0000"/>
                      <w:sz w:val="21"/>
                      <w:szCs w:val="21"/>
                      <w:lang w:val="en-US" w:eastAsia="zh-CN"/>
                    </w:rPr>
                  </w:pPr>
                  <w:r>
                    <w:rPr>
                      <w:rFonts w:hint="eastAsia" w:eastAsia="仿宋" w:cs="Times New Roman"/>
                      <w:color w:val="FF0000"/>
                      <w:sz w:val="21"/>
                      <w:szCs w:val="21"/>
                      <w:lang w:val="en-US" w:eastAsia="zh-CN"/>
                    </w:rPr>
                    <w:t>2个/次</w:t>
                  </w:r>
                </w:p>
              </w:tc>
            </w:tr>
            <w:tr w14:paraId="2F559B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6" w:type="pct"/>
                  <w:noWrap w:val="0"/>
                  <w:vAlign w:val="center"/>
                </w:tcPr>
                <w:p w14:paraId="7063959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5</w:t>
                  </w:r>
                </w:p>
              </w:tc>
              <w:tc>
                <w:tcPr>
                  <w:tcW w:w="442" w:type="pct"/>
                  <w:noWrap w:val="0"/>
                  <w:vAlign w:val="center"/>
                </w:tcPr>
                <w:p w14:paraId="6715E073">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 w:val="21"/>
                      <w:szCs w:val="21"/>
                    </w:rPr>
                  </w:pPr>
                  <w:r>
                    <w:rPr>
                      <w:rFonts w:eastAsia="仿宋"/>
                      <w:color w:val="FF0000"/>
                      <w:sz w:val="21"/>
                      <w:szCs w:val="21"/>
                    </w:rPr>
                    <w:t>危险</w:t>
                  </w:r>
                </w:p>
                <w:p w14:paraId="37E653E4">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 w:val="21"/>
                      <w:szCs w:val="21"/>
                    </w:rPr>
                  </w:pPr>
                  <w:r>
                    <w:rPr>
                      <w:rFonts w:eastAsia="仿宋"/>
                      <w:color w:val="FF0000"/>
                      <w:sz w:val="21"/>
                      <w:szCs w:val="21"/>
                    </w:rPr>
                    <w:t>废物</w:t>
                  </w:r>
                </w:p>
              </w:tc>
              <w:tc>
                <w:tcPr>
                  <w:tcW w:w="442" w:type="pct"/>
                  <w:noWrap w:val="0"/>
                  <w:vAlign w:val="center"/>
                </w:tcPr>
                <w:p w14:paraId="17B083C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bCs/>
                      <w:color w:val="FF0000"/>
                      <w:spacing w:val="-10"/>
                      <w:sz w:val="21"/>
                      <w:szCs w:val="21"/>
                      <w:lang w:val="en-US"/>
                    </w:rPr>
                  </w:pPr>
                  <w:r>
                    <w:rPr>
                      <w:rFonts w:hint="eastAsia" w:eastAsia="仿宋"/>
                      <w:color w:val="FF0000"/>
                      <w:sz w:val="21"/>
                      <w:szCs w:val="21"/>
                    </w:rPr>
                    <w:t>废</w:t>
                  </w:r>
                  <w:r>
                    <w:rPr>
                      <w:rFonts w:hint="eastAsia" w:eastAsia="仿宋"/>
                      <w:color w:val="FF0000"/>
                      <w:sz w:val="21"/>
                      <w:szCs w:val="21"/>
                      <w:lang w:val="en-US" w:eastAsia="zh-CN"/>
                    </w:rPr>
                    <w:t>矿物油和废油桶</w:t>
                  </w:r>
                </w:p>
              </w:tc>
              <w:tc>
                <w:tcPr>
                  <w:tcW w:w="497" w:type="pct"/>
                  <w:noWrap w:val="0"/>
                  <w:vAlign w:val="center"/>
                </w:tcPr>
                <w:p w14:paraId="0852BC0A">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color w:val="FF0000"/>
                      <w:sz w:val="21"/>
                      <w:szCs w:val="21"/>
                    </w:rPr>
                  </w:pPr>
                  <w:r>
                    <w:rPr>
                      <w:rFonts w:eastAsia="仿宋"/>
                      <w:color w:val="FF0000"/>
                      <w:sz w:val="21"/>
                      <w:szCs w:val="21"/>
                    </w:rPr>
                    <w:t>HW08</w:t>
                  </w:r>
                </w:p>
              </w:tc>
              <w:tc>
                <w:tcPr>
                  <w:tcW w:w="272" w:type="pct"/>
                  <w:noWrap w:val="0"/>
                  <w:vAlign w:val="center"/>
                </w:tcPr>
                <w:p w14:paraId="5B6D6D14">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color w:val="FF0000"/>
                      <w:sz w:val="21"/>
                      <w:szCs w:val="21"/>
                    </w:rPr>
                  </w:pPr>
                  <w:r>
                    <w:rPr>
                      <w:rFonts w:eastAsia="仿宋"/>
                      <w:color w:val="FF0000"/>
                      <w:sz w:val="21"/>
                      <w:szCs w:val="21"/>
                    </w:rPr>
                    <w:t>固</w:t>
                  </w:r>
                </w:p>
              </w:tc>
              <w:tc>
                <w:tcPr>
                  <w:tcW w:w="756" w:type="pct"/>
                  <w:noWrap w:val="0"/>
                  <w:vAlign w:val="center"/>
                </w:tcPr>
                <w:p w14:paraId="213984D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0.8</w:t>
                  </w:r>
                </w:p>
              </w:tc>
              <w:tc>
                <w:tcPr>
                  <w:tcW w:w="505" w:type="pct"/>
                  <w:noWrap w:val="0"/>
                  <w:vAlign w:val="center"/>
                </w:tcPr>
                <w:p w14:paraId="42A95EE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FF0000"/>
                      <w:sz w:val="21"/>
                      <w:szCs w:val="21"/>
                      <w:lang w:eastAsia="zh-CN"/>
                    </w:rPr>
                  </w:pPr>
                  <w:r>
                    <w:rPr>
                      <w:rFonts w:eastAsia="仿宋"/>
                      <w:color w:val="FF0000"/>
                      <w:sz w:val="21"/>
                      <w:szCs w:val="21"/>
                    </w:rPr>
                    <w:t>暂存于危废暂存</w:t>
                  </w:r>
                  <w:r>
                    <w:rPr>
                      <w:rFonts w:hint="eastAsia" w:eastAsia="仿宋"/>
                      <w:color w:val="FF0000"/>
                      <w:sz w:val="21"/>
                      <w:szCs w:val="21"/>
                      <w:lang w:val="en-US" w:eastAsia="zh-CN"/>
                    </w:rPr>
                    <w:t>点</w:t>
                  </w:r>
                </w:p>
              </w:tc>
              <w:tc>
                <w:tcPr>
                  <w:tcW w:w="1030" w:type="pct"/>
                  <w:noWrap w:val="0"/>
                  <w:vAlign w:val="center"/>
                </w:tcPr>
                <w:p w14:paraId="74DADC28">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 w:val="21"/>
                      <w:szCs w:val="21"/>
                    </w:rPr>
                  </w:pPr>
                  <w:r>
                    <w:rPr>
                      <w:rFonts w:hint="eastAsia" w:eastAsia="仿宋"/>
                      <w:color w:val="FF0000"/>
                      <w:sz w:val="21"/>
                      <w:szCs w:val="21"/>
                      <w:lang w:eastAsia="zh-CN"/>
                    </w:rPr>
                    <w:t>交由</w:t>
                  </w:r>
                  <w:r>
                    <w:rPr>
                      <w:rFonts w:eastAsia="仿宋"/>
                      <w:color w:val="FF0000"/>
                      <w:sz w:val="21"/>
                      <w:szCs w:val="21"/>
                    </w:rPr>
                    <w:t>资质单位进行处理</w:t>
                  </w:r>
                </w:p>
              </w:tc>
              <w:tc>
                <w:tcPr>
                  <w:tcW w:w="755" w:type="pct"/>
                  <w:noWrap w:val="0"/>
                  <w:vAlign w:val="center"/>
                </w:tcPr>
                <w:p w14:paraId="423B7EE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0.8</w:t>
                  </w:r>
                </w:p>
              </w:tc>
            </w:tr>
            <w:tr w14:paraId="328312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6" w:type="pct"/>
                  <w:noWrap w:val="0"/>
                  <w:vAlign w:val="center"/>
                </w:tcPr>
                <w:p w14:paraId="5A215B9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6</w:t>
                  </w:r>
                </w:p>
              </w:tc>
              <w:tc>
                <w:tcPr>
                  <w:tcW w:w="442" w:type="pct"/>
                  <w:noWrap w:val="0"/>
                  <w:vAlign w:val="center"/>
                </w:tcPr>
                <w:p w14:paraId="5E4A2167">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 w:val="21"/>
                      <w:szCs w:val="21"/>
                    </w:rPr>
                  </w:pPr>
                  <w:r>
                    <w:rPr>
                      <w:rFonts w:eastAsia="仿宋"/>
                      <w:color w:val="FF0000"/>
                      <w:sz w:val="21"/>
                      <w:szCs w:val="21"/>
                    </w:rPr>
                    <w:t>生活</w:t>
                  </w:r>
                </w:p>
                <w:p w14:paraId="6BCC1367">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 w:val="21"/>
                      <w:szCs w:val="21"/>
                    </w:rPr>
                  </w:pPr>
                  <w:r>
                    <w:rPr>
                      <w:rFonts w:eastAsia="仿宋"/>
                      <w:color w:val="FF0000"/>
                      <w:sz w:val="21"/>
                      <w:szCs w:val="21"/>
                    </w:rPr>
                    <w:t>垃圾</w:t>
                  </w:r>
                </w:p>
              </w:tc>
              <w:tc>
                <w:tcPr>
                  <w:tcW w:w="442" w:type="pct"/>
                  <w:noWrap w:val="0"/>
                  <w:vAlign w:val="center"/>
                </w:tcPr>
                <w:p w14:paraId="0CBBCD9F">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 w:val="21"/>
                      <w:szCs w:val="21"/>
                    </w:rPr>
                  </w:pPr>
                  <w:r>
                    <w:rPr>
                      <w:rFonts w:eastAsia="仿宋"/>
                      <w:color w:val="FF0000"/>
                      <w:sz w:val="21"/>
                      <w:szCs w:val="21"/>
                    </w:rPr>
                    <w:t>生活垃圾</w:t>
                  </w:r>
                </w:p>
              </w:tc>
              <w:tc>
                <w:tcPr>
                  <w:tcW w:w="497" w:type="pct"/>
                  <w:noWrap w:val="0"/>
                  <w:vAlign w:val="center"/>
                </w:tcPr>
                <w:p w14:paraId="2CED948A">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color w:val="FF0000"/>
                      <w:sz w:val="21"/>
                      <w:szCs w:val="21"/>
                    </w:rPr>
                  </w:pPr>
                  <w:r>
                    <w:rPr>
                      <w:rFonts w:hint="eastAsia" w:eastAsia="仿宋"/>
                      <w:color w:val="FF0000"/>
                      <w:sz w:val="21"/>
                      <w:szCs w:val="21"/>
                    </w:rPr>
                    <w:t>/</w:t>
                  </w:r>
                </w:p>
              </w:tc>
              <w:tc>
                <w:tcPr>
                  <w:tcW w:w="272" w:type="pct"/>
                  <w:noWrap w:val="0"/>
                  <w:vAlign w:val="center"/>
                </w:tcPr>
                <w:p w14:paraId="35A5BDAE">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eastAsia="仿宋"/>
                      <w:color w:val="FF0000"/>
                      <w:sz w:val="21"/>
                      <w:szCs w:val="21"/>
                    </w:rPr>
                  </w:pPr>
                  <w:r>
                    <w:rPr>
                      <w:rFonts w:eastAsia="仿宋"/>
                      <w:color w:val="FF0000"/>
                      <w:sz w:val="21"/>
                      <w:szCs w:val="21"/>
                    </w:rPr>
                    <w:t>固</w:t>
                  </w:r>
                </w:p>
              </w:tc>
              <w:tc>
                <w:tcPr>
                  <w:tcW w:w="756" w:type="pct"/>
                  <w:noWrap w:val="0"/>
                  <w:vAlign w:val="center"/>
                </w:tcPr>
                <w:p w14:paraId="4B5BC7F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2.5</w:t>
                  </w:r>
                </w:p>
              </w:tc>
              <w:tc>
                <w:tcPr>
                  <w:tcW w:w="505" w:type="pct"/>
                  <w:noWrap w:val="0"/>
                  <w:vAlign w:val="center"/>
                </w:tcPr>
                <w:p w14:paraId="0C13DAF1">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 w:val="21"/>
                      <w:szCs w:val="21"/>
                    </w:rPr>
                  </w:pPr>
                  <w:r>
                    <w:rPr>
                      <w:rFonts w:eastAsia="仿宋"/>
                      <w:color w:val="FF0000"/>
                      <w:sz w:val="21"/>
                      <w:szCs w:val="21"/>
                    </w:rPr>
                    <w:t>垃圾桶收集</w:t>
                  </w:r>
                </w:p>
              </w:tc>
              <w:tc>
                <w:tcPr>
                  <w:tcW w:w="1030" w:type="pct"/>
                  <w:noWrap w:val="0"/>
                  <w:vAlign w:val="center"/>
                </w:tcPr>
                <w:p w14:paraId="43D8A36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FF0000"/>
                      <w:sz w:val="21"/>
                      <w:szCs w:val="21"/>
                    </w:rPr>
                  </w:pPr>
                  <w:r>
                    <w:rPr>
                      <w:rFonts w:eastAsia="仿宋"/>
                      <w:color w:val="FF0000"/>
                      <w:sz w:val="21"/>
                      <w:szCs w:val="21"/>
                    </w:rPr>
                    <w:t>定期运至当地生活垃圾收集点进行集中处置</w:t>
                  </w:r>
                </w:p>
              </w:tc>
              <w:tc>
                <w:tcPr>
                  <w:tcW w:w="755" w:type="pct"/>
                  <w:noWrap w:val="0"/>
                  <w:vAlign w:val="center"/>
                </w:tcPr>
                <w:p w14:paraId="140FC7A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FF0000"/>
                      <w:sz w:val="21"/>
                      <w:szCs w:val="21"/>
                      <w:lang w:val="en-US" w:eastAsia="zh-CN"/>
                    </w:rPr>
                  </w:pPr>
                  <w:r>
                    <w:rPr>
                      <w:rFonts w:hint="eastAsia" w:eastAsia="仿宋"/>
                      <w:color w:val="FF0000"/>
                      <w:sz w:val="21"/>
                      <w:szCs w:val="21"/>
                      <w:lang w:val="en-US" w:eastAsia="zh-CN"/>
                    </w:rPr>
                    <w:t>2.5</w:t>
                  </w:r>
                </w:p>
              </w:tc>
            </w:tr>
          </w:tbl>
          <w:p w14:paraId="0B37F255">
            <w:pPr>
              <w:keepNext w:val="0"/>
              <w:keepLines w:val="0"/>
              <w:pageBreakBefore w:val="0"/>
              <w:widowControl/>
              <w:suppressLineNumbers w:val="0"/>
              <w:kinsoku/>
              <w:wordWrap/>
              <w:overflowPunct/>
              <w:topLinePunct w:val="0"/>
              <w:autoSpaceDE/>
              <w:autoSpaceDN/>
              <w:bidi w:val="0"/>
              <w:adjustRightInd w:val="0"/>
              <w:snapToGrid w:val="0"/>
              <w:spacing w:before="157" w:beforeLines="50" w:line="360" w:lineRule="auto"/>
              <w:ind w:left="0" w:right="0" w:firstLine="482" w:firstLineChars="200"/>
              <w:jc w:val="both"/>
              <w:textAlignment w:val="auto"/>
              <w:rPr>
                <w:rFonts w:hint="default" w:ascii="Times New Roman" w:hAnsi="Times New Roman" w:eastAsia="仿宋" w:cs="Times New Roman"/>
                <w:b/>
                <w:bCs/>
                <w:color w:val="auto"/>
                <w:spacing w:val="0"/>
                <w:kern w:val="0"/>
                <w:position w:val="0"/>
                <w:sz w:val="24"/>
                <w:szCs w:val="24"/>
                <w:highlight w:val="none"/>
                <w:lang w:val="en-US" w:eastAsia="zh-CN" w:bidi="ar"/>
              </w:rPr>
            </w:pPr>
            <w:r>
              <w:rPr>
                <w:rFonts w:hint="default" w:ascii="Times New Roman" w:hAnsi="Times New Roman" w:eastAsia="仿宋" w:cs="Times New Roman"/>
                <w:b/>
                <w:bCs/>
                <w:color w:val="auto"/>
                <w:spacing w:val="0"/>
                <w:kern w:val="0"/>
                <w:position w:val="0"/>
                <w:sz w:val="24"/>
                <w:szCs w:val="24"/>
                <w:highlight w:val="none"/>
                <w:lang w:val="en-US" w:eastAsia="zh-CN" w:bidi="ar"/>
              </w:rPr>
              <w:t>2.</w:t>
            </w:r>
            <w:r>
              <w:rPr>
                <w:rFonts w:hint="eastAsia" w:eastAsia="仿宋" w:cs="Times New Roman"/>
                <w:b/>
                <w:bCs/>
                <w:color w:val="auto"/>
                <w:spacing w:val="0"/>
                <w:kern w:val="0"/>
                <w:position w:val="0"/>
                <w:sz w:val="24"/>
                <w:szCs w:val="24"/>
                <w:highlight w:val="none"/>
                <w:lang w:val="en-US" w:eastAsia="zh-CN" w:bidi="ar"/>
              </w:rPr>
              <w:t>5</w:t>
            </w:r>
            <w:r>
              <w:rPr>
                <w:rFonts w:hint="default" w:ascii="Times New Roman" w:hAnsi="Times New Roman" w:eastAsia="仿宋" w:cs="Times New Roman"/>
                <w:b/>
                <w:bCs/>
                <w:color w:val="auto"/>
                <w:spacing w:val="0"/>
                <w:kern w:val="0"/>
                <w:position w:val="0"/>
                <w:sz w:val="24"/>
                <w:szCs w:val="24"/>
                <w:highlight w:val="none"/>
                <w:lang w:val="en-US" w:eastAsia="zh-CN" w:bidi="ar"/>
              </w:rPr>
              <w:t>环境风险分析</w:t>
            </w:r>
          </w:p>
          <w:p w14:paraId="5F247E87">
            <w:pPr>
              <w:adjustRightInd w:val="0"/>
              <w:snapToGrid w:val="0"/>
              <w:spacing w:line="360" w:lineRule="auto"/>
              <w:ind w:firstLine="440" w:firstLineChars="200"/>
              <w:rPr>
                <w:rFonts w:eastAsia="仿宋"/>
                <w:bCs/>
                <w:spacing w:val="-10"/>
                <w:sz w:val="24"/>
              </w:rPr>
            </w:pPr>
            <w:r>
              <w:rPr>
                <w:rFonts w:eastAsia="仿宋"/>
                <w:bCs/>
                <w:spacing w:val="-10"/>
                <w:sz w:val="24"/>
              </w:rPr>
              <w:t>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51CAAB8C">
            <w:pPr>
              <w:adjustRightInd w:val="0"/>
              <w:snapToGrid w:val="0"/>
              <w:spacing w:line="360" w:lineRule="auto"/>
              <w:ind w:firstLine="440" w:firstLineChars="200"/>
              <w:jc w:val="left"/>
              <w:rPr>
                <w:rFonts w:eastAsia="仿宋"/>
                <w:bCs/>
                <w:spacing w:val="-10"/>
                <w:sz w:val="24"/>
              </w:rPr>
            </w:pPr>
            <w:r>
              <w:rPr>
                <w:rFonts w:hint="eastAsia" w:ascii="宋体" w:hAnsi="宋体" w:cs="宋体"/>
                <w:bCs/>
                <w:spacing w:val="-10"/>
                <w:sz w:val="24"/>
              </w:rPr>
              <w:t>⑴</w:t>
            </w:r>
            <w:r>
              <w:rPr>
                <w:rFonts w:eastAsia="仿宋"/>
                <w:bCs/>
                <w:spacing w:val="-10"/>
                <w:sz w:val="24"/>
              </w:rPr>
              <w:t>风险调查</w:t>
            </w:r>
          </w:p>
          <w:p w14:paraId="464CFF0F">
            <w:pPr>
              <w:keepNext/>
              <w:adjustRightInd w:val="0"/>
              <w:snapToGrid w:val="0"/>
              <w:spacing w:line="360" w:lineRule="auto"/>
              <w:ind w:firstLine="440" w:firstLineChars="200"/>
              <w:jc w:val="left"/>
              <w:rPr>
                <w:rFonts w:eastAsia="仿宋"/>
                <w:bCs/>
                <w:spacing w:val="-10"/>
                <w:sz w:val="24"/>
              </w:rPr>
            </w:pPr>
            <w:r>
              <w:rPr>
                <w:rFonts w:eastAsia="仿宋"/>
                <w:bCs/>
                <w:spacing w:val="-10"/>
                <w:sz w:val="24"/>
              </w:rPr>
              <w:t>根据建设项目的特点，</w:t>
            </w:r>
            <w:r>
              <w:rPr>
                <w:rFonts w:hint="eastAsia" w:eastAsia="仿宋"/>
                <w:bCs/>
                <w:spacing w:val="-10"/>
                <w:sz w:val="24"/>
                <w:lang w:val="en-US" w:eastAsia="zh-CN"/>
              </w:rPr>
              <w:t>本项目不储存炸药和雷管，因此</w:t>
            </w:r>
            <w:r>
              <w:rPr>
                <w:rFonts w:eastAsia="仿宋"/>
                <w:bCs/>
                <w:spacing w:val="-10"/>
                <w:sz w:val="24"/>
              </w:rPr>
              <w:t>本项目的危险物质为</w:t>
            </w:r>
            <w:r>
              <w:rPr>
                <w:rFonts w:hint="eastAsia" w:eastAsia="仿宋"/>
                <w:bCs/>
                <w:spacing w:val="-10"/>
                <w:sz w:val="24"/>
                <w:lang w:val="en-US" w:eastAsia="zh-CN"/>
              </w:rPr>
              <w:t>润滑油、</w:t>
            </w:r>
            <w:r>
              <w:rPr>
                <w:rFonts w:hint="eastAsia" w:eastAsia="仿宋"/>
                <w:bCs/>
                <w:spacing w:val="-10"/>
                <w:sz w:val="24"/>
              </w:rPr>
              <w:t>废</w:t>
            </w:r>
            <w:r>
              <w:rPr>
                <w:rFonts w:hint="eastAsia" w:eastAsia="仿宋"/>
                <w:bCs/>
                <w:spacing w:val="-10"/>
                <w:sz w:val="24"/>
                <w:lang w:val="en-US" w:eastAsia="zh-CN"/>
              </w:rPr>
              <w:t>润滑油</w:t>
            </w:r>
            <w:r>
              <w:rPr>
                <w:rFonts w:eastAsia="仿宋"/>
                <w:bCs/>
                <w:spacing w:val="-10"/>
                <w:sz w:val="24"/>
              </w:rPr>
              <w:t>。</w:t>
            </w:r>
          </w:p>
          <w:p w14:paraId="0F2C2618">
            <w:pPr>
              <w:adjustRightInd w:val="0"/>
              <w:snapToGrid w:val="0"/>
              <w:spacing w:line="360" w:lineRule="auto"/>
              <w:ind w:firstLine="440" w:firstLineChars="200"/>
              <w:jc w:val="left"/>
              <w:rPr>
                <w:rFonts w:eastAsia="仿宋"/>
                <w:bCs/>
                <w:spacing w:val="-10"/>
                <w:sz w:val="24"/>
              </w:rPr>
            </w:pPr>
            <w:r>
              <w:rPr>
                <w:rFonts w:hint="eastAsia" w:ascii="宋体" w:hAnsi="宋体" w:cs="宋体"/>
                <w:bCs/>
                <w:spacing w:val="-10"/>
                <w:sz w:val="24"/>
              </w:rPr>
              <w:t>⑵</w:t>
            </w:r>
            <w:r>
              <w:rPr>
                <w:rFonts w:eastAsia="仿宋"/>
                <w:bCs/>
                <w:spacing w:val="-10"/>
                <w:sz w:val="24"/>
              </w:rPr>
              <w:t>风险潜势初判</w:t>
            </w:r>
          </w:p>
          <w:p w14:paraId="49BFBA7D">
            <w:pPr>
              <w:keepNext/>
              <w:adjustRightInd w:val="0"/>
              <w:snapToGrid w:val="0"/>
              <w:spacing w:line="360" w:lineRule="auto"/>
              <w:ind w:firstLine="480" w:firstLineChars="200"/>
              <w:jc w:val="left"/>
              <w:rPr>
                <w:rFonts w:eastAsia="仿宋"/>
                <w:snapToGrid w:val="0"/>
                <w:kern w:val="0"/>
                <w:sz w:val="24"/>
              </w:rPr>
            </w:pPr>
            <w:r>
              <w:rPr>
                <w:rFonts w:eastAsia="仿宋"/>
                <w:snapToGrid w:val="0"/>
                <w:kern w:val="0"/>
                <w:sz w:val="24"/>
              </w:rPr>
              <w:t>根据《建设项目环境风险评价技术导则》（HJ169-2018），建设项目环境风险潜势划分为Ⅰ、Ⅱ、Ⅲ、Ⅳ/Ⅳ</w:t>
            </w:r>
            <w:r>
              <w:rPr>
                <w:rFonts w:eastAsia="仿宋"/>
                <w:snapToGrid w:val="0"/>
                <w:kern w:val="0"/>
                <w:sz w:val="24"/>
                <w:vertAlign w:val="superscript"/>
              </w:rPr>
              <w:t>+</w:t>
            </w:r>
            <w:r>
              <w:rPr>
                <w:rFonts w:eastAsia="仿宋"/>
                <w:snapToGrid w:val="0"/>
                <w:kern w:val="0"/>
                <w:sz w:val="24"/>
              </w:rPr>
              <w:t>级。</w:t>
            </w:r>
          </w:p>
          <w:p w14:paraId="3AAA79AB">
            <w:pPr>
              <w:adjustRightInd w:val="0"/>
              <w:snapToGrid w:val="0"/>
              <w:spacing w:line="360" w:lineRule="auto"/>
              <w:ind w:firstLine="480" w:firstLineChars="200"/>
              <w:jc w:val="left"/>
              <w:rPr>
                <w:rFonts w:eastAsia="仿宋"/>
                <w:b/>
                <w:snapToGrid w:val="0"/>
                <w:kern w:val="0"/>
                <w:sz w:val="24"/>
              </w:rPr>
            </w:pPr>
            <w:r>
              <w:rPr>
                <w:rFonts w:hint="eastAsia" w:ascii="宋体" w:hAnsi="宋体" w:cs="宋体"/>
                <w:snapToGrid w:val="0"/>
                <w:kern w:val="0"/>
                <w:sz w:val="24"/>
              </w:rPr>
              <w:t>①</w:t>
            </w:r>
            <w:r>
              <w:rPr>
                <w:rFonts w:eastAsia="仿宋"/>
                <w:snapToGrid w:val="0"/>
                <w:kern w:val="0"/>
                <w:sz w:val="24"/>
              </w:rPr>
              <w:t>危险物质的临界量</w:t>
            </w:r>
          </w:p>
          <w:p w14:paraId="3EA9171C">
            <w:pPr>
              <w:adjustRightInd w:val="0"/>
              <w:snapToGrid w:val="0"/>
              <w:spacing w:line="360" w:lineRule="auto"/>
              <w:ind w:firstLine="480" w:firstLineChars="200"/>
              <w:jc w:val="left"/>
              <w:rPr>
                <w:rFonts w:eastAsia="仿宋"/>
                <w:snapToGrid w:val="0"/>
                <w:kern w:val="0"/>
                <w:sz w:val="24"/>
              </w:rPr>
            </w:pPr>
            <w:r>
              <w:rPr>
                <w:rFonts w:eastAsia="仿宋"/>
                <w:snapToGrid w:val="0"/>
                <w:kern w:val="0"/>
                <w:sz w:val="24"/>
              </w:rPr>
              <w:t>查阅《建设项目环境风险评价技术导则》（HJ169-2018）的附录B可知，油类物质的临界量为2500t。</w:t>
            </w:r>
          </w:p>
          <w:p w14:paraId="2C5EF900">
            <w:pPr>
              <w:adjustRightInd w:val="0"/>
              <w:snapToGrid w:val="0"/>
              <w:spacing w:line="360" w:lineRule="auto"/>
              <w:ind w:firstLine="480" w:firstLineChars="200"/>
              <w:jc w:val="left"/>
              <w:rPr>
                <w:rFonts w:eastAsia="仿宋"/>
                <w:snapToGrid w:val="0"/>
                <w:kern w:val="0"/>
                <w:sz w:val="24"/>
              </w:rPr>
            </w:pPr>
            <w:r>
              <w:rPr>
                <w:rFonts w:hint="eastAsia" w:ascii="宋体" w:hAnsi="宋体" w:cs="宋体"/>
                <w:snapToGrid w:val="0"/>
                <w:kern w:val="0"/>
                <w:sz w:val="24"/>
              </w:rPr>
              <w:t>②</w:t>
            </w:r>
            <w:r>
              <w:rPr>
                <w:rFonts w:eastAsia="仿宋"/>
                <w:snapToGrid w:val="0"/>
                <w:kern w:val="0"/>
                <w:sz w:val="24"/>
              </w:rPr>
              <w:t>危险物质数量与临界量的比值（Q）</w:t>
            </w:r>
          </w:p>
          <w:p w14:paraId="0FC5DAFC">
            <w:pPr>
              <w:adjustRightInd w:val="0"/>
              <w:snapToGrid w:val="0"/>
              <w:spacing w:line="360" w:lineRule="auto"/>
              <w:ind w:firstLine="480" w:firstLineChars="200"/>
              <w:jc w:val="left"/>
              <w:rPr>
                <w:rFonts w:eastAsia="仿宋"/>
                <w:snapToGrid w:val="0"/>
                <w:kern w:val="0"/>
                <w:sz w:val="24"/>
              </w:rPr>
            </w:pPr>
            <w:r>
              <w:rPr>
                <w:rFonts w:eastAsia="仿宋"/>
                <w:snapToGrid w:val="0"/>
                <w:kern w:val="0"/>
                <w:sz w:val="24"/>
              </w:rPr>
              <w:t>计算所涉及的每种危险物质在厂界内的最大存在总量与其在附录B中对应临界量的比值Q。在不同厂区的同一种物质，按其在厂界内的最大存在总量计算。对于长输管线项目，按照两个截断阀室之间管段危险物质最大</w:t>
            </w:r>
            <w:r>
              <w:rPr>
                <w:rFonts w:hint="eastAsia" w:eastAsia="仿宋"/>
                <w:snapToGrid w:val="0"/>
                <w:kern w:val="0"/>
                <w:sz w:val="24"/>
                <w:lang w:eastAsia="zh-CN"/>
              </w:rPr>
              <w:t>存放</w:t>
            </w:r>
            <w:r>
              <w:rPr>
                <w:rFonts w:eastAsia="仿宋"/>
                <w:snapToGrid w:val="0"/>
                <w:kern w:val="0"/>
                <w:sz w:val="24"/>
              </w:rPr>
              <w:t>总量计算。</w:t>
            </w:r>
          </w:p>
          <w:p w14:paraId="18BF1BED">
            <w:pPr>
              <w:adjustRightInd w:val="0"/>
              <w:snapToGrid w:val="0"/>
              <w:spacing w:line="360" w:lineRule="auto"/>
              <w:ind w:firstLine="480" w:firstLineChars="200"/>
              <w:jc w:val="left"/>
              <w:rPr>
                <w:rFonts w:eastAsia="仿宋"/>
                <w:snapToGrid w:val="0"/>
                <w:kern w:val="0"/>
                <w:sz w:val="24"/>
              </w:rPr>
            </w:pPr>
            <w:r>
              <w:rPr>
                <w:rFonts w:eastAsia="仿宋"/>
                <w:snapToGrid w:val="0"/>
                <w:kern w:val="0"/>
                <w:sz w:val="24"/>
              </w:rPr>
              <w:t>当只涉及一种危险物质时，计算该物质的总量与其临界量比值，即为Q；</w:t>
            </w:r>
          </w:p>
          <w:p w14:paraId="78B6C2A3">
            <w:pPr>
              <w:adjustRightInd w:val="0"/>
              <w:snapToGrid w:val="0"/>
              <w:spacing w:line="360" w:lineRule="auto"/>
              <w:ind w:firstLine="480" w:firstLineChars="200"/>
              <w:jc w:val="left"/>
              <w:rPr>
                <w:rFonts w:eastAsia="仿宋"/>
                <w:snapToGrid w:val="0"/>
                <w:kern w:val="0"/>
                <w:sz w:val="24"/>
              </w:rPr>
            </w:pPr>
            <w:r>
              <w:rPr>
                <w:rFonts w:eastAsia="仿宋"/>
                <w:snapToGrid w:val="0"/>
                <w:kern w:val="0"/>
                <w:sz w:val="24"/>
              </w:rPr>
              <w:t>当存在多种危险物质时，则按下式计算物质总量与其临界量比值（Q）：</w:t>
            </w:r>
          </w:p>
          <w:p w14:paraId="3F68CD98">
            <w:pPr>
              <w:adjustRightInd w:val="0"/>
              <w:snapToGrid w:val="0"/>
              <w:spacing w:line="360" w:lineRule="auto"/>
              <w:ind w:firstLine="480" w:firstLineChars="200"/>
              <w:jc w:val="left"/>
              <w:rPr>
                <w:rFonts w:eastAsia="仿宋"/>
                <w:snapToGrid w:val="0"/>
                <w:kern w:val="0"/>
                <w:sz w:val="24"/>
              </w:rPr>
            </w:pPr>
            <w:r>
              <w:rPr>
                <w:rFonts w:eastAsia="仿宋"/>
                <w:snapToGrid w:val="0"/>
                <w:kern w:val="0"/>
                <w:sz w:val="24"/>
              </w:rPr>
              <w:t>Q=q</w:t>
            </w:r>
            <w:r>
              <w:rPr>
                <w:rFonts w:eastAsia="仿宋"/>
                <w:snapToGrid w:val="0"/>
                <w:kern w:val="0"/>
                <w:sz w:val="24"/>
                <w:vertAlign w:val="subscript"/>
              </w:rPr>
              <w:t>1</w:t>
            </w:r>
            <w:r>
              <w:rPr>
                <w:rFonts w:eastAsia="仿宋"/>
                <w:snapToGrid w:val="0"/>
                <w:kern w:val="0"/>
                <w:sz w:val="24"/>
              </w:rPr>
              <w:t>/Q</w:t>
            </w:r>
            <w:r>
              <w:rPr>
                <w:rFonts w:eastAsia="仿宋"/>
                <w:snapToGrid w:val="0"/>
                <w:kern w:val="0"/>
                <w:sz w:val="24"/>
                <w:vertAlign w:val="subscript"/>
              </w:rPr>
              <w:t>1</w:t>
            </w:r>
            <w:r>
              <w:rPr>
                <w:rFonts w:eastAsia="仿宋"/>
                <w:snapToGrid w:val="0"/>
                <w:kern w:val="0"/>
                <w:sz w:val="24"/>
              </w:rPr>
              <w:t>+q</w:t>
            </w:r>
            <w:r>
              <w:rPr>
                <w:rFonts w:eastAsia="仿宋"/>
                <w:snapToGrid w:val="0"/>
                <w:kern w:val="0"/>
                <w:sz w:val="24"/>
                <w:vertAlign w:val="subscript"/>
              </w:rPr>
              <w:t>2</w:t>
            </w:r>
            <w:r>
              <w:rPr>
                <w:rFonts w:eastAsia="仿宋"/>
                <w:snapToGrid w:val="0"/>
                <w:kern w:val="0"/>
                <w:sz w:val="24"/>
              </w:rPr>
              <w:t>/Q</w:t>
            </w:r>
            <w:r>
              <w:rPr>
                <w:rFonts w:eastAsia="仿宋"/>
                <w:snapToGrid w:val="0"/>
                <w:kern w:val="0"/>
                <w:sz w:val="24"/>
                <w:vertAlign w:val="subscript"/>
              </w:rPr>
              <w:t>2</w:t>
            </w:r>
            <w:r>
              <w:rPr>
                <w:rFonts w:eastAsia="仿宋"/>
                <w:snapToGrid w:val="0"/>
                <w:kern w:val="0"/>
                <w:sz w:val="24"/>
              </w:rPr>
              <w:t>+……+q</w:t>
            </w:r>
            <w:r>
              <w:rPr>
                <w:rFonts w:eastAsia="仿宋"/>
                <w:snapToGrid w:val="0"/>
                <w:kern w:val="0"/>
                <w:sz w:val="24"/>
                <w:vertAlign w:val="subscript"/>
              </w:rPr>
              <w:t>n</w:t>
            </w:r>
            <w:r>
              <w:rPr>
                <w:rFonts w:eastAsia="仿宋"/>
                <w:snapToGrid w:val="0"/>
                <w:kern w:val="0"/>
                <w:sz w:val="24"/>
              </w:rPr>
              <w:t>/Q</w:t>
            </w:r>
            <w:r>
              <w:rPr>
                <w:rFonts w:eastAsia="仿宋"/>
                <w:snapToGrid w:val="0"/>
                <w:kern w:val="0"/>
                <w:sz w:val="24"/>
                <w:vertAlign w:val="subscript"/>
              </w:rPr>
              <w:t>n</w:t>
            </w:r>
          </w:p>
          <w:p w14:paraId="1AA0CE77">
            <w:pPr>
              <w:adjustRightInd w:val="0"/>
              <w:snapToGrid w:val="0"/>
              <w:spacing w:line="360" w:lineRule="auto"/>
              <w:ind w:firstLine="480" w:firstLineChars="200"/>
              <w:jc w:val="left"/>
              <w:rPr>
                <w:rFonts w:eastAsia="仿宋"/>
                <w:snapToGrid w:val="0"/>
                <w:kern w:val="0"/>
                <w:sz w:val="24"/>
              </w:rPr>
            </w:pPr>
            <w:r>
              <w:rPr>
                <w:rFonts w:eastAsia="仿宋"/>
                <w:snapToGrid w:val="0"/>
                <w:kern w:val="0"/>
                <w:sz w:val="24"/>
              </w:rPr>
              <w:t>式中：q</w:t>
            </w:r>
            <w:r>
              <w:rPr>
                <w:rFonts w:eastAsia="仿宋"/>
                <w:snapToGrid w:val="0"/>
                <w:kern w:val="0"/>
                <w:sz w:val="24"/>
                <w:vertAlign w:val="subscript"/>
              </w:rPr>
              <w:t>1</w:t>
            </w:r>
            <w:r>
              <w:rPr>
                <w:rFonts w:eastAsia="仿宋"/>
                <w:snapToGrid w:val="0"/>
                <w:kern w:val="0"/>
                <w:sz w:val="24"/>
              </w:rPr>
              <w:t>，q</w:t>
            </w:r>
            <w:r>
              <w:rPr>
                <w:rFonts w:eastAsia="仿宋"/>
                <w:snapToGrid w:val="0"/>
                <w:kern w:val="0"/>
                <w:sz w:val="24"/>
                <w:vertAlign w:val="subscript"/>
              </w:rPr>
              <w:t>2</w:t>
            </w:r>
            <w:r>
              <w:rPr>
                <w:rFonts w:eastAsia="仿宋"/>
                <w:snapToGrid w:val="0"/>
                <w:kern w:val="0"/>
                <w:sz w:val="24"/>
              </w:rPr>
              <w:t>，……，q</w:t>
            </w:r>
            <w:r>
              <w:rPr>
                <w:rFonts w:eastAsia="仿宋"/>
                <w:snapToGrid w:val="0"/>
                <w:kern w:val="0"/>
                <w:sz w:val="24"/>
                <w:vertAlign w:val="subscript"/>
              </w:rPr>
              <w:t>n</w:t>
            </w:r>
            <w:r>
              <w:rPr>
                <w:rFonts w:eastAsia="仿宋"/>
                <w:snapToGrid w:val="0"/>
                <w:kern w:val="0"/>
                <w:sz w:val="24"/>
              </w:rPr>
              <w:t>——每种危险物质的最大存在总量，t；</w:t>
            </w:r>
          </w:p>
          <w:p w14:paraId="611C6215">
            <w:pPr>
              <w:adjustRightInd w:val="0"/>
              <w:snapToGrid w:val="0"/>
              <w:spacing w:line="360" w:lineRule="auto"/>
              <w:ind w:firstLine="480" w:firstLineChars="200"/>
              <w:jc w:val="left"/>
              <w:rPr>
                <w:rFonts w:eastAsia="仿宋"/>
                <w:snapToGrid w:val="0"/>
                <w:kern w:val="0"/>
                <w:sz w:val="24"/>
              </w:rPr>
            </w:pPr>
            <w:r>
              <w:rPr>
                <w:rFonts w:eastAsia="仿宋"/>
                <w:snapToGrid w:val="0"/>
                <w:kern w:val="0"/>
                <w:sz w:val="24"/>
              </w:rPr>
              <w:t xml:space="preserve">      Q</w:t>
            </w:r>
            <w:r>
              <w:rPr>
                <w:rFonts w:eastAsia="仿宋"/>
                <w:snapToGrid w:val="0"/>
                <w:kern w:val="0"/>
                <w:sz w:val="24"/>
                <w:vertAlign w:val="subscript"/>
              </w:rPr>
              <w:t>1</w:t>
            </w:r>
            <w:r>
              <w:rPr>
                <w:rFonts w:eastAsia="仿宋"/>
                <w:snapToGrid w:val="0"/>
                <w:kern w:val="0"/>
                <w:sz w:val="24"/>
              </w:rPr>
              <w:t>，Q</w:t>
            </w:r>
            <w:r>
              <w:rPr>
                <w:rFonts w:eastAsia="仿宋"/>
                <w:snapToGrid w:val="0"/>
                <w:kern w:val="0"/>
                <w:sz w:val="24"/>
                <w:vertAlign w:val="subscript"/>
              </w:rPr>
              <w:t>2</w:t>
            </w:r>
            <w:r>
              <w:rPr>
                <w:rFonts w:eastAsia="仿宋"/>
                <w:snapToGrid w:val="0"/>
                <w:kern w:val="0"/>
                <w:sz w:val="24"/>
              </w:rPr>
              <w:t>，……，Q</w:t>
            </w:r>
            <w:r>
              <w:rPr>
                <w:rFonts w:eastAsia="仿宋"/>
                <w:snapToGrid w:val="0"/>
                <w:kern w:val="0"/>
                <w:sz w:val="24"/>
                <w:vertAlign w:val="subscript"/>
              </w:rPr>
              <w:t>n</w:t>
            </w:r>
            <w:r>
              <w:rPr>
                <w:rFonts w:eastAsia="仿宋"/>
                <w:snapToGrid w:val="0"/>
                <w:kern w:val="0"/>
                <w:sz w:val="24"/>
              </w:rPr>
              <w:t>——每种危险物质的临界量，t。</w:t>
            </w:r>
          </w:p>
          <w:p w14:paraId="6BAB3BCC">
            <w:pPr>
              <w:adjustRightInd w:val="0"/>
              <w:snapToGrid w:val="0"/>
              <w:spacing w:line="360" w:lineRule="auto"/>
              <w:ind w:firstLine="480" w:firstLineChars="200"/>
              <w:jc w:val="left"/>
              <w:rPr>
                <w:rFonts w:eastAsia="仿宋"/>
                <w:snapToGrid w:val="0"/>
                <w:kern w:val="0"/>
                <w:sz w:val="24"/>
              </w:rPr>
            </w:pPr>
            <w:r>
              <w:rPr>
                <w:rFonts w:eastAsia="仿宋"/>
                <w:snapToGrid w:val="0"/>
                <w:kern w:val="0"/>
                <w:sz w:val="24"/>
              </w:rPr>
              <w:t xml:space="preserve">      当Q＜1时，该项目环境风险潜势为Ⅰ。</w:t>
            </w:r>
          </w:p>
          <w:p w14:paraId="29E1EBCA">
            <w:pPr>
              <w:adjustRightInd w:val="0"/>
              <w:snapToGrid w:val="0"/>
              <w:spacing w:line="360" w:lineRule="auto"/>
              <w:ind w:firstLine="480" w:firstLineChars="200"/>
              <w:jc w:val="left"/>
              <w:rPr>
                <w:rFonts w:eastAsia="仿宋"/>
                <w:snapToGrid w:val="0"/>
                <w:kern w:val="0"/>
                <w:sz w:val="24"/>
              </w:rPr>
            </w:pPr>
            <w:r>
              <w:rPr>
                <w:rFonts w:eastAsia="仿宋"/>
                <w:snapToGrid w:val="0"/>
                <w:kern w:val="0"/>
                <w:sz w:val="24"/>
              </w:rPr>
              <w:t xml:space="preserve">      当Q≥1时，将Q值划分为：</w:t>
            </w:r>
            <w:r>
              <w:rPr>
                <w:rFonts w:hint="eastAsia" w:ascii="宋体" w:hAnsi="宋体" w:cs="宋体"/>
                <w:snapToGrid w:val="0"/>
                <w:kern w:val="0"/>
                <w:sz w:val="24"/>
              </w:rPr>
              <w:t>⑴</w:t>
            </w:r>
            <w:r>
              <w:rPr>
                <w:rFonts w:eastAsia="仿宋"/>
                <w:snapToGrid w:val="0"/>
                <w:kern w:val="0"/>
                <w:sz w:val="24"/>
              </w:rPr>
              <w:t>1≤Q＜10；</w:t>
            </w:r>
            <w:r>
              <w:rPr>
                <w:rFonts w:hint="eastAsia" w:ascii="宋体" w:hAnsi="宋体" w:cs="宋体"/>
                <w:snapToGrid w:val="0"/>
                <w:kern w:val="0"/>
                <w:sz w:val="24"/>
              </w:rPr>
              <w:t>⑵</w:t>
            </w:r>
            <w:r>
              <w:rPr>
                <w:rFonts w:eastAsia="仿宋"/>
                <w:snapToGrid w:val="0"/>
                <w:kern w:val="0"/>
                <w:sz w:val="24"/>
              </w:rPr>
              <w:t>10≤Q＜100；</w:t>
            </w:r>
            <w:r>
              <w:rPr>
                <w:rFonts w:hint="eastAsia" w:ascii="宋体" w:hAnsi="宋体" w:cs="宋体"/>
                <w:snapToGrid w:val="0"/>
                <w:kern w:val="0"/>
                <w:sz w:val="24"/>
              </w:rPr>
              <w:t>⑶</w:t>
            </w:r>
            <w:r>
              <w:rPr>
                <w:rFonts w:eastAsia="仿宋"/>
                <w:snapToGrid w:val="0"/>
                <w:kern w:val="0"/>
                <w:sz w:val="24"/>
              </w:rPr>
              <w:t>Q≥100。</w:t>
            </w:r>
          </w:p>
          <w:p w14:paraId="639C1474">
            <w:pPr>
              <w:adjustRightInd w:val="0"/>
              <w:snapToGrid w:val="0"/>
              <w:spacing w:line="360" w:lineRule="auto"/>
              <w:ind w:firstLine="480" w:firstLineChars="200"/>
              <w:jc w:val="left"/>
              <w:rPr>
                <w:rFonts w:eastAsia="仿宋"/>
                <w:snapToGrid w:val="0"/>
                <w:kern w:val="0"/>
                <w:sz w:val="24"/>
              </w:rPr>
            </w:pPr>
            <w:r>
              <w:rPr>
                <w:rFonts w:eastAsia="仿宋"/>
                <w:snapToGrid w:val="0"/>
                <w:kern w:val="0"/>
                <w:sz w:val="24"/>
              </w:rPr>
              <w:t>本项目</w:t>
            </w:r>
            <w:r>
              <w:rPr>
                <w:rFonts w:hint="eastAsia" w:eastAsia="仿宋"/>
                <w:bCs/>
                <w:spacing w:val="-10"/>
                <w:sz w:val="24"/>
                <w:lang w:val="en-US" w:eastAsia="zh-CN"/>
              </w:rPr>
              <w:t>润滑油、</w:t>
            </w:r>
            <w:r>
              <w:rPr>
                <w:rFonts w:hint="eastAsia" w:eastAsia="仿宋"/>
                <w:snapToGrid w:val="0"/>
                <w:kern w:val="0"/>
                <w:sz w:val="24"/>
              </w:rPr>
              <w:t>废</w:t>
            </w:r>
            <w:r>
              <w:rPr>
                <w:rFonts w:hint="eastAsia" w:eastAsia="仿宋"/>
                <w:snapToGrid w:val="0"/>
                <w:kern w:val="0"/>
                <w:sz w:val="24"/>
                <w:lang w:val="en-US" w:eastAsia="zh-CN"/>
              </w:rPr>
              <w:t>润滑油</w:t>
            </w:r>
            <w:r>
              <w:rPr>
                <w:rFonts w:hint="eastAsia" w:eastAsia="仿宋"/>
                <w:snapToGrid w:val="0"/>
                <w:kern w:val="0"/>
                <w:sz w:val="24"/>
              </w:rPr>
              <w:t>最大暂存量为</w:t>
            </w:r>
            <w:r>
              <w:rPr>
                <w:rFonts w:hint="eastAsia" w:eastAsia="仿宋"/>
                <w:snapToGrid w:val="0"/>
                <w:kern w:val="0"/>
                <w:sz w:val="24"/>
                <w:lang w:val="en-US" w:eastAsia="zh-CN"/>
              </w:rPr>
              <w:t>1.0</w:t>
            </w:r>
            <w:r>
              <w:rPr>
                <w:rFonts w:eastAsia="仿宋"/>
                <w:snapToGrid w:val="0"/>
                <w:kern w:val="0"/>
                <w:sz w:val="24"/>
              </w:rPr>
              <w:t xml:space="preserve">t。 </w:t>
            </w:r>
          </w:p>
          <w:p w14:paraId="5BEEB08D">
            <w:pPr>
              <w:adjustRightInd w:val="0"/>
              <w:snapToGrid w:val="0"/>
              <w:spacing w:line="360" w:lineRule="auto"/>
              <w:ind w:firstLine="480" w:firstLineChars="200"/>
              <w:jc w:val="left"/>
              <w:rPr>
                <w:rFonts w:eastAsia="仿宋"/>
                <w:snapToGrid w:val="0"/>
                <w:kern w:val="0"/>
                <w:sz w:val="24"/>
              </w:rPr>
            </w:pPr>
            <w:r>
              <w:rPr>
                <w:rFonts w:eastAsia="仿宋"/>
                <w:snapToGrid w:val="0"/>
                <w:kern w:val="0"/>
                <w:sz w:val="24"/>
              </w:rPr>
              <w:t>根据公式计算：Q=</w:t>
            </w:r>
            <w:r>
              <w:rPr>
                <w:rFonts w:hint="eastAsia" w:eastAsia="仿宋"/>
                <w:snapToGrid w:val="0"/>
                <w:kern w:val="0"/>
                <w:sz w:val="24"/>
                <w:lang w:val="en-US" w:eastAsia="zh-CN"/>
              </w:rPr>
              <w:t>1.0</w:t>
            </w:r>
            <w:r>
              <w:rPr>
                <w:rFonts w:eastAsia="仿宋"/>
                <w:snapToGrid w:val="0"/>
                <w:kern w:val="0"/>
                <w:sz w:val="24"/>
              </w:rPr>
              <w:t>/2500＝</w:t>
            </w:r>
            <w:r>
              <w:rPr>
                <w:rFonts w:hint="eastAsia" w:eastAsia="仿宋"/>
                <w:snapToGrid w:val="0"/>
                <w:kern w:val="0"/>
                <w:sz w:val="24"/>
                <w:lang w:val="en-US" w:eastAsia="zh-CN"/>
              </w:rPr>
              <w:t>0.0004</w:t>
            </w:r>
            <w:r>
              <w:rPr>
                <w:rFonts w:eastAsia="仿宋"/>
                <w:snapToGrid w:val="0"/>
                <w:kern w:val="0"/>
                <w:sz w:val="24"/>
              </w:rPr>
              <w:t>＜1，即本项目Q＜1。</w:t>
            </w:r>
          </w:p>
          <w:p w14:paraId="5268A97E">
            <w:pPr>
              <w:adjustRightInd w:val="0"/>
              <w:snapToGrid w:val="0"/>
              <w:spacing w:line="360" w:lineRule="auto"/>
              <w:ind w:firstLine="480" w:firstLineChars="200"/>
              <w:jc w:val="left"/>
              <w:rPr>
                <w:rFonts w:eastAsia="仿宋"/>
                <w:snapToGrid w:val="0"/>
                <w:kern w:val="0"/>
                <w:sz w:val="24"/>
              </w:rPr>
            </w:pPr>
            <w:r>
              <w:rPr>
                <w:rFonts w:eastAsia="仿宋"/>
                <w:snapToGrid w:val="0"/>
                <w:kern w:val="0"/>
                <w:sz w:val="24"/>
              </w:rPr>
              <w:t>根据《建设项目环境风险评价技术导则》（HJ169-2018）附录C可知，当Q＜1时，该项目环境风险潜势为Ⅰ。则本项目的环境风险潜势为Ⅰ。</w:t>
            </w:r>
          </w:p>
          <w:p w14:paraId="09DE47E3">
            <w:pPr>
              <w:adjustRightInd w:val="0"/>
              <w:snapToGrid w:val="0"/>
              <w:spacing w:line="360" w:lineRule="auto"/>
              <w:ind w:firstLine="480" w:firstLineChars="200"/>
              <w:jc w:val="left"/>
              <w:rPr>
                <w:rFonts w:eastAsia="仿宋"/>
                <w:snapToGrid w:val="0"/>
                <w:kern w:val="0"/>
                <w:sz w:val="24"/>
              </w:rPr>
            </w:pPr>
            <w:r>
              <w:rPr>
                <w:rFonts w:hint="eastAsia" w:ascii="宋体" w:hAnsi="宋体" w:cs="宋体"/>
                <w:snapToGrid w:val="0"/>
                <w:kern w:val="0"/>
                <w:sz w:val="24"/>
              </w:rPr>
              <w:t>⑶</w:t>
            </w:r>
            <w:r>
              <w:rPr>
                <w:rFonts w:eastAsia="仿宋"/>
                <w:snapToGrid w:val="0"/>
                <w:kern w:val="0"/>
                <w:sz w:val="24"/>
              </w:rPr>
              <w:t>评价等级</w:t>
            </w:r>
          </w:p>
          <w:p w14:paraId="0C9BEF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eastAsia="仿宋"/>
                <w:snapToGrid w:val="0"/>
                <w:kern w:val="0"/>
                <w:sz w:val="24"/>
              </w:rPr>
            </w:pPr>
            <w:r>
              <w:rPr>
                <w:rFonts w:eastAsia="仿宋"/>
                <w:snapToGrid w:val="0"/>
                <w:kern w:val="0"/>
                <w:sz w:val="24"/>
              </w:rPr>
              <w:t>根据《建设项目环境风险评价技术导则》（HJ169-2018），建设项目环境风险评价工作等级划分为一级、二级、三级。根据建设项目涉及的物质及工艺系统危险性和所在地的环境敏感性确定环境风险潜势，按照表</w:t>
            </w:r>
            <w:r>
              <w:rPr>
                <w:rFonts w:hint="eastAsia" w:eastAsia="仿宋"/>
                <w:snapToGrid w:val="0"/>
                <w:kern w:val="0"/>
                <w:sz w:val="24"/>
                <w:lang w:val="en-US" w:eastAsia="zh-CN"/>
              </w:rPr>
              <w:t>51</w:t>
            </w:r>
            <w:r>
              <w:rPr>
                <w:rFonts w:eastAsia="仿宋"/>
                <w:snapToGrid w:val="0"/>
                <w:kern w:val="0"/>
                <w:sz w:val="24"/>
              </w:rPr>
              <w:t>确定评价工作等级。风险潜势为Ⅳ及以上，进行一级评价；风险潜势为Ⅲ，进行二级评价；风险潜势为Ⅱ，进行三级评价；风险潜势为Ⅰ，可开展简单分析。</w:t>
            </w:r>
          </w:p>
          <w:p w14:paraId="3699BDE5">
            <w:pPr>
              <w:adjustRightInd w:val="0"/>
              <w:snapToGrid w:val="0"/>
              <w:spacing w:line="360" w:lineRule="auto"/>
              <w:ind w:firstLine="480" w:firstLineChars="200"/>
              <w:jc w:val="left"/>
              <w:rPr>
                <w:rFonts w:eastAsia="仿宋"/>
                <w:snapToGrid w:val="0"/>
                <w:kern w:val="0"/>
                <w:sz w:val="24"/>
              </w:rPr>
            </w:pPr>
            <w:r>
              <w:rPr>
                <w:rFonts w:eastAsia="仿宋"/>
                <w:snapToGrid w:val="0"/>
                <w:kern w:val="0"/>
                <w:sz w:val="24"/>
              </w:rPr>
              <w:t>建设项目环境风险评价工作等级划分见表</w:t>
            </w:r>
            <w:r>
              <w:rPr>
                <w:rFonts w:hint="eastAsia" w:eastAsia="仿宋"/>
                <w:snapToGrid w:val="0"/>
                <w:kern w:val="0"/>
                <w:sz w:val="24"/>
                <w:lang w:val="en-US" w:eastAsia="zh-CN"/>
              </w:rPr>
              <w:t>51</w:t>
            </w:r>
            <w:r>
              <w:rPr>
                <w:rFonts w:eastAsia="仿宋"/>
                <w:snapToGrid w:val="0"/>
                <w:kern w:val="0"/>
                <w:sz w:val="24"/>
              </w:rPr>
              <w:t>。</w:t>
            </w:r>
          </w:p>
          <w:p w14:paraId="71C9F6C9">
            <w:pPr>
              <w:keepNext w:val="0"/>
              <w:keepLines w:val="0"/>
              <w:pageBreakBefore w:val="0"/>
              <w:widowControl/>
              <w:kinsoku/>
              <w:wordWrap/>
              <w:overflowPunct/>
              <w:topLinePunct w:val="0"/>
              <w:autoSpaceDE/>
              <w:autoSpaceDN/>
              <w:bidi w:val="0"/>
              <w:adjustRightInd w:val="0"/>
              <w:snapToGrid w:val="0"/>
              <w:jc w:val="center"/>
              <w:textAlignment w:val="auto"/>
              <w:rPr>
                <w:rFonts w:eastAsia="仿宋"/>
                <w:b/>
                <w:bCs/>
                <w:szCs w:val="21"/>
              </w:rPr>
            </w:pPr>
            <w:r>
              <w:rPr>
                <w:rFonts w:eastAsia="仿宋"/>
                <w:b/>
                <w:bCs/>
                <w:szCs w:val="21"/>
              </w:rPr>
              <w:t>表</w:t>
            </w:r>
            <w:r>
              <w:rPr>
                <w:rFonts w:hint="eastAsia" w:eastAsia="仿宋"/>
                <w:b/>
                <w:bCs/>
                <w:szCs w:val="21"/>
                <w:lang w:val="en-US" w:eastAsia="zh-CN"/>
              </w:rPr>
              <w:t>51</w:t>
            </w:r>
            <w:r>
              <w:rPr>
                <w:rFonts w:eastAsia="仿宋"/>
                <w:b/>
                <w:bCs/>
                <w:szCs w:val="21"/>
              </w:rPr>
              <w:t xml:space="preserve">   评价工作等级划分</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380"/>
              <w:gridCol w:w="1552"/>
              <w:gridCol w:w="1552"/>
              <w:gridCol w:w="1556"/>
            </w:tblGrid>
            <w:tr w14:paraId="27418A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80" w:type="dxa"/>
                  <w:noWrap/>
                  <w:vAlign w:val="center"/>
                </w:tcPr>
                <w:p w14:paraId="1CAB4BAE">
                  <w:pPr>
                    <w:keepNext w:val="0"/>
                    <w:keepLines w:val="0"/>
                    <w:pageBreakBefore w:val="0"/>
                    <w:widowControl/>
                    <w:kinsoku/>
                    <w:wordWrap/>
                    <w:overflowPunct/>
                    <w:topLinePunct w:val="0"/>
                    <w:autoSpaceDE/>
                    <w:autoSpaceDN/>
                    <w:bidi w:val="0"/>
                    <w:adjustRightInd w:val="0"/>
                    <w:snapToGrid w:val="0"/>
                    <w:jc w:val="center"/>
                    <w:textAlignment w:val="auto"/>
                    <w:rPr>
                      <w:rFonts w:eastAsia="仿宋"/>
                      <w:snapToGrid w:val="0"/>
                      <w:kern w:val="0"/>
                      <w:szCs w:val="21"/>
                    </w:rPr>
                  </w:pPr>
                  <w:r>
                    <w:rPr>
                      <w:rFonts w:eastAsia="仿宋"/>
                      <w:snapToGrid w:val="0"/>
                      <w:kern w:val="0"/>
                      <w:szCs w:val="21"/>
                    </w:rPr>
                    <w:t>环境风险潜势</w:t>
                  </w:r>
                </w:p>
              </w:tc>
              <w:tc>
                <w:tcPr>
                  <w:tcW w:w="1374" w:type="dxa"/>
                  <w:noWrap/>
                  <w:vAlign w:val="center"/>
                </w:tcPr>
                <w:p w14:paraId="03DB72E3">
                  <w:pPr>
                    <w:keepNext w:val="0"/>
                    <w:keepLines w:val="0"/>
                    <w:pageBreakBefore w:val="0"/>
                    <w:widowControl/>
                    <w:kinsoku/>
                    <w:wordWrap/>
                    <w:overflowPunct/>
                    <w:topLinePunct w:val="0"/>
                    <w:autoSpaceDE/>
                    <w:autoSpaceDN/>
                    <w:bidi w:val="0"/>
                    <w:adjustRightInd w:val="0"/>
                    <w:snapToGrid w:val="0"/>
                    <w:jc w:val="center"/>
                    <w:textAlignment w:val="auto"/>
                    <w:rPr>
                      <w:rFonts w:eastAsia="仿宋"/>
                      <w:snapToGrid w:val="0"/>
                      <w:kern w:val="0"/>
                      <w:szCs w:val="21"/>
                    </w:rPr>
                  </w:pPr>
                  <w:r>
                    <w:rPr>
                      <w:rFonts w:eastAsia="仿宋"/>
                      <w:snapToGrid w:val="0"/>
                      <w:kern w:val="0"/>
                      <w:szCs w:val="21"/>
                    </w:rPr>
                    <w:t>Ⅳ、Ⅳ</w:t>
                  </w:r>
                  <w:r>
                    <w:rPr>
                      <w:rFonts w:eastAsia="仿宋"/>
                      <w:snapToGrid w:val="0"/>
                      <w:kern w:val="0"/>
                      <w:szCs w:val="21"/>
                      <w:vertAlign w:val="superscript"/>
                    </w:rPr>
                    <w:t>+</w:t>
                  </w:r>
                </w:p>
              </w:tc>
              <w:tc>
                <w:tcPr>
                  <w:tcW w:w="1550" w:type="dxa"/>
                  <w:noWrap/>
                  <w:vAlign w:val="center"/>
                </w:tcPr>
                <w:p w14:paraId="537BD625">
                  <w:pPr>
                    <w:keepNext w:val="0"/>
                    <w:keepLines w:val="0"/>
                    <w:pageBreakBefore w:val="0"/>
                    <w:widowControl/>
                    <w:kinsoku/>
                    <w:wordWrap/>
                    <w:overflowPunct/>
                    <w:topLinePunct w:val="0"/>
                    <w:autoSpaceDE/>
                    <w:autoSpaceDN/>
                    <w:bidi w:val="0"/>
                    <w:adjustRightInd w:val="0"/>
                    <w:snapToGrid w:val="0"/>
                    <w:jc w:val="center"/>
                    <w:textAlignment w:val="auto"/>
                    <w:rPr>
                      <w:rFonts w:eastAsia="仿宋"/>
                      <w:snapToGrid w:val="0"/>
                      <w:kern w:val="0"/>
                      <w:szCs w:val="21"/>
                    </w:rPr>
                  </w:pPr>
                  <w:r>
                    <w:rPr>
                      <w:rFonts w:eastAsia="仿宋"/>
                      <w:snapToGrid w:val="0"/>
                      <w:kern w:val="0"/>
                      <w:szCs w:val="21"/>
                    </w:rPr>
                    <w:t>Ⅲ</w:t>
                  </w:r>
                </w:p>
              </w:tc>
              <w:tc>
                <w:tcPr>
                  <w:tcW w:w="1550" w:type="dxa"/>
                  <w:noWrap/>
                  <w:vAlign w:val="center"/>
                </w:tcPr>
                <w:p w14:paraId="4EB586E3">
                  <w:pPr>
                    <w:keepNext w:val="0"/>
                    <w:keepLines w:val="0"/>
                    <w:pageBreakBefore w:val="0"/>
                    <w:widowControl/>
                    <w:kinsoku/>
                    <w:wordWrap/>
                    <w:overflowPunct/>
                    <w:topLinePunct w:val="0"/>
                    <w:autoSpaceDE/>
                    <w:autoSpaceDN/>
                    <w:bidi w:val="0"/>
                    <w:adjustRightInd w:val="0"/>
                    <w:snapToGrid w:val="0"/>
                    <w:jc w:val="center"/>
                    <w:textAlignment w:val="auto"/>
                    <w:rPr>
                      <w:rFonts w:eastAsia="仿宋"/>
                      <w:snapToGrid w:val="0"/>
                      <w:kern w:val="0"/>
                      <w:szCs w:val="21"/>
                    </w:rPr>
                  </w:pPr>
                  <w:r>
                    <w:rPr>
                      <w:rFonts w:eastAsia="仿宋"/>
                      <w:snapToGrid w:val="0"/>
                      <w:kern w:val="0"/>
                      <w:szCs w:val="21"/>
                    </w:rPr>
                    <w:t>Ⅱ</w:t>
                  </w:r>
                </w:p>
              </w:tc>
              <w:tc>
                <w:tcPr>
                  <w:tcW w:w="1552" w:type="dxa"/>
                  <w:noWrap/>
                  <w:vAlign w:val="center"/>
                </w:tcPr>
                <w:p w14:paraId="7F970944">
                  <w:pPr>
                    <w:keepNext w:val="0"/>
                    <w:keepLines w:val="0"/>
                    <w:pageBreakBefore w:val="0"/>
                    <w:widowControl/>
                    <w:kinsoku/>
                    <w:wordWrap/>
                    <w:overflowPunct/>
                    <w:topLinePunct w:val="0"/>
                    <w:autoSpaceDE/>
                    <w:autoSpaceDN/>
                    <w:bidi w:val="0"/>
                    <w:adjustRightInd w:val="0"/>
                    <w:snapToGrid w:val="0"/>
                    <w:jc w:val="center"/>
                    <w:textAlignment w:val="auto"/>
                    <w:rPr>
                      <w:rFonts w:eastAsia="仿宋"/>
                      <w:snapToGrid w:val="0"/>
                      <w:kern w:val="0"/>
                      <w:szCs w:val="21"/>
                    </w:rPr>
                  </w:pPr>
                  <w:r>
                    <w:rPr>
                      <w:rFonts w:eastAsia="仿宋"/>
                      <w:snapToGrid w:val="0"/>
                      <w:kern w:val="0"/>
                      <w:szCs w:val="21"/>
                    </w:rPr>
                    <w:t>Ⅰ</w:t>
                  </w:r>
                </w:p>
              </w:tc>
            </w:tr>
            <w:tr w14:paraId="2AFE2F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80" w:type="dxa"/>
                  <w:noWrap/>
                  <w:vAlign w:val="center"/>
                </w:tcPr>
                <w:p w14:paraId="30498474">
                  <w:pPr>
                    <w:keepNext w:val="0"/>
                    <w:keepLines w:val="0"/>
                    <w:pageBreakBefore w:val="0"/>
                    <w:widowControl/>
                    <w:kinsoku/>
                    <w:wordWrap/>
                    <w:overflowPunct/>
                    <w:topLinePunct w:val="0"/>
                    <w:autoSpaceDE/>
                    <w:autoSpaceDN/>
                    <w:bidi w:val="0"/>
                    <w:adjustRightInd w:val="0"/>
                    <w:snapToGrid w:val="0"/>
                    <w:jc w:val="center"/>
                    <w:textAlignment w:val="auto"/>
                    <w:rPr>
                      <w:rFonts w:eastAsia="仿宋"/>
                      <w:snapToGrid w:val="0"/>
                      <w:kern w:val="0"/>
                      <w:szCs w:val="21"/>
                    </w:rPr>
                  </w:pPr>
                  <w:r>
                    <w:rPr>
                      <w:rFonts w:eastAsia="仿宋"/>
                      <w:snapToGrid w:val="0"/>
                      <w:kern w:val="0"/>
                      <w:szCs w:val="21"/>
                    </w:rPr>
                    <w:t>评价工作等级</w:t>
                  </w:r>
                </w:p>
              </w:tc>
              <w:tc>
                <w:tcPr>
                  <w:tcW w:w="1374" w:type="dxa"/>
                  <w:noWrap/>
                  <w:vAlign w:val="center"/>
                </w:tcPr>
                <w:p w14:paraId="6C3D6A56">
                  <w:pPr>
                    <w:keepNext w:val="0"/>
                    <w:keepLines w:val="0"/>
                    <w:pageBreakBefore w:val="0"/>
                    <w:widowControl/>
                    <w:kinsoku/>
                    <w:wordWrap/>
                    <w:overflowPunct/>
                    <w:topLinePunct w:val="0"/>
                    <w:autoSpaceDE/>
                    <w:autoSpaceDN/>
                    <w:bidi w:val="0"/>
                    <w:adjustRightInd w:val="0"/>
                    <w:snapToGrid w:val="0"/>
                    <w:jc w:val="center"/>
                    <w:textAlignment w:val="auto"/>
                    <w:rPr>
                      <w:rFonts w:eastAsia="仿宋"/>
                      <w:snapToGrid w:val="0"/>
                      <w:kern w:val="0"/>
                      <w:szCs w:val="21"/>
                    </w:rPr>
                  </w:pPr>
                  <w:r>
                    <w:rPr>
                      <w:rFonts w:eastAsia="仿宋"/>
                      <w:snapToGrid w:val="0"/>
                      <w:kern w:val="0"/>
                      <w:szCs w:val="21"/>
                    </w:rPr>
                    <w:t>一</w:t>
                  </w:r>
                </w:p>
              </w:tc>
              <w:tc>
                <w:tcPr>
                  <w:tcW w:w="1550" w:type="dxa"/>
                  <w:noWrap/>
                  <w:vAlign w:val="center"/>
                </w:tcPr>
                <w:p w14:paraId="262477EC">
                  <w:pPr>
                    <w:keepNext w:val="0"/>
                    <w:keepLines w:val="0"/>
                    <w:pageBreakBefore w:val="0"/>
                    <w:widowControl/>
                    <w:kinsoku/>
                    <w:wordWrap/>
                    <w:overflowPunct/>
                    <w:topLinePunct w:val="0"/>
                    <w:autoSpaceDE/>
                    <w:autoSpaceDN/>
                    <w:bidi w:val="0"/>
                    <w:adjustRightInd w:val="0"/>
                    <w:snapToGrid w:val="0"/>
                    <w:jc w:val="center"/>
                    <w:textAlignment w:val="auto"/>
                    <w:rPr>
                      <w:rFonts w:eastAsia="仿宋"/>
                      <w:snapToGrid w:val="0"/>
                      <w:kern w:val="0"/>
                      <w:szCs w:val="21"/>
                    </w:rPr>
                  </w:pPr>
                  <w:r>
                    <w:rPr>
                      <w:rFonts w:eastAsia="仿宋"/>
                      <w:snapToGrid w:val="0"/>
                      <w:kern w:val="0"/>
                      <w:szCs w:val="21"/>
                    </w:rPr>
                    <w:t>二</w:t>
                  </w:r>
                </w:p>
              </w:tc>
              <w:tc>
                <w:tcPr>
                  <w:tcW w:w="1550" w:type="dxa"/>
                  <w:noWrap/>
                  <w:vAlign w:val="center"/>
                </w:tcPr>
                <w:p w14:paraId="0B8917D7">
                  <w:pPr>
                    <w:keepNext w:val="0"/>
                    <w:keepLines w:val="0"/>
                    <w:pageBreakBefore w:val="0"/>
                    <w:widowControl/>
                    <w:kinsoku/>
                    <w:wordWrap/>
                    <w:overflowPunct/>
                    <w:topLinePunct w:val="0"/>
                    <w:autoSpaceDE/>
                    <w:autoSpaceDN/>
                    <w:bidi w:val="0"/>
                    <w:adjustRightInd w:val="0"/>
                    <w:snapToGrid w:val="0"/>
                    <w:jc w:val="center"/>
                    <w:textAlignment w:val="auto"/>
                    <w:rPr>
                      <w:rFonts w:eastAsia="仿宋"/>
                      <w:snapToGrid w:val="0"/>
                      <w:kern w:val="0"/>
                      <w:szCs w:val="21"/>
                    </w:rPr>
                  </w:pPr>
                  <w:r>
                    <w:rPr>
                      <w:rFonts w:eastAsia="仿宋"/>
                      <w:snapToGrid w:val="0"/>
                      <w:kern w:val="0"/>
                      <w:szCs w:val="21"/>
                    </w:rPr>
                    <w:t>三</w:t>
                  </w:r>
                </w:p>
              </w:tc>
              <w:tc>
                <w:tcPr>
                  <w:tcW w:w="1552" w:type="dxa"/>
                  <w:noWrap/>
                  <w:vAlign w:val="center"/>
                </w:tcPr>
                <w:p w14:paraId="14D37AEC">
                  <w:pPr>
                    <w:keepNext w:val="0"/>
                    <w:keepLines w:val="0"/>
                    <w:pageBreakBefore w:val="0"/>
                    <w:widowControl/>
                    <w:kinsoku/>
                    <w:wordWrap/>
                    <w:overflowPunct/>
                    <w:topLinePunct w:val="0"/>
                    <w:autoSpaceDE/>
                    <w:autoSpaceDN/>
                    <w:bidi w:val="0"/>
                    <w:adjustRightInd w:val="0"/>
                    <w:snapToGrid w:val="0"/>
                    <w:jc w:val="center"/>
                    <w:textAlignment w:val="auto"/>
                    <w:rPr>
                      <w:rFonts w:eastAsia="仿宋"/>
                      <w:snapToGrid w:val="0"/>
                      <w:kern w:val="0"/>
                      <w:szCs w:val="21"/>
                    </w:rPr>
                  </w:pPr>
                  <w:r>
                    <w:rPr>
                      <w:rFonts w:eastAsia="仿宋"/>
                      <w:snapToGrid w:val="0"/>
                      <w:kern w:val="0"/>
                      <w:szCs w:val="21"/>
                    </w:rPr>
                    <w:t>简单分析</w:t>
                  </w:r>
                  <w:r>
                    <w:rPr>
                      <w:rFonts w:eastAsia="仿宋"/>
                      <w:snapToGrid w:val="0"/>
                      <w:kern w:val="0"/>
                      <w:szCs w:val="21"/>
                      <w:vertAlign w:val="superscript"/>
                    </w:rPr>
                    <w:t>a</w:t>
                  </w:r>
                </w:p>
              </w:tc>
            </w:tr>
            <w:tr w14:paraId="17CFE3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06" w:type="dxa"/>
                  <w:gridSpan w:val="5"/>
                  <w:noWrap w:val="0"/>
                  <w:vAlign w:val="center"/>
                </w:tcPr>
                <w:p w14:paraId="1B3FA966">
                  <w:pPr>
                    <w:keepNext w:val="0"/>
                    <w:keepLines w:val="0"/>
                    <w:pageBreakBefore w:val="0"/>
                    <w:widowControl/>
                    <w:kinsoku/>
                    <w:wordWrap/>
                    <w:overflowPunct/>
                    <w:topLinePunct w:val="0"/>
                    <w:autoSpaceDE/>
                    <w:autoSpaceDN/>
                    <w:bidi w:val="0"/>
                    <w:adjustRightInd w:val="0"/>
                    <w:snapToGrid w:val="0"/>
                    <w:jc w:val="left"/>
                    <w:textAlignment w:val="auto"/>
                    <w:rPr>
                      <w:rFonts w:eastAsia="仿宋"/>
                      <w:snapToGrid w:val="0"/>
                      <w:kern w:val="0"/>
                      <w:szCs w:val="21"/>
                    </w:rPr>
                  </w:pPr>
                  <w:r>
                    <w:rPr>
                      <w:rFonts w:eastAsia="仿宋"/>
                      <w:snapToGrid w:val="0"/>
                      <w:kern w:val="0"/>
                      <w:szCs w:val="21"/>
                      <w:vertAlign w:val="superscript"/>
                    </w:rPr>
                    <w:t>a</w:t>
                  </w:r>
                  <w:r>
                    <w:rPr>
                      <w:rFonts w:eastAsia="仿宋"/>
                      <w:snapToGrid w:val="0"/>
                      <w:kern w:val="0"/>
                      <w:szCs w:val="21"/>
                    </w:rPr>
                    <w:t>是相对于详细评价工作内容而言的，在描述危险物质、环境影响途径、环境危害后果、风险防范措施等方面给出定性的说明。见附录A。</w:t>
                  </w:r>
                </w:p>
              </w:tc>
            </w:tr>
          </w:tbl>
          <w:p w14:paraId="4A47CCD0">
            <w:pPr>
              <w:adjustRightInd w:val="0"/>
              <w:snapToGrid w:val="0"/>
              <w:spacing w:before="120" w:beforeLines="50" w:line="360" w:lineRule="auto"/>
              <w:ind w:firstLine="480" w:firstLineChars="200"/>
              <w:jc w:val="left"/>
              <w:rPr>
                <w:rFonts w:eastAsia="仿宋"/>
                <w:snapToGrid w:val="0"/>
                <w:kern w:val="0"/>
                <w:sz w:val="24"/>
              </w:rPr>
            </w:pPr>
            <w:r>
              <w:rPr>
                <w:rFonts w:eastAsia="仿宋"/>
                <w:snapToGrid w:val="0"/>
                <w:kern w:val="0"/>
                <w:sz w:val="24"/>
              </w:rPr>
              <w:t>根据计算得知，本项目Q＜1，环境风险潜势为Ⅰ。结合表</w:t>
            </w:r>
            <w:r>
              <w:rPr>
                <w:rFonts w:hint="eastAsia" w:eastAsia="仿宋"/>
                <w:snapToGrid w:val="0"/>
                <w:kern w:val="0"/>
                <w:sz w:val="24"/>
                <w:lang w:val="en-US" w:eastAsia="zh-CN"/>
              </w:rPr>
              <w:t>51</w:t>
            </w:r>
            <w:r>
              <w:rPr>
                <w:rFonts w:eastAsia="仿宋"/>
                <w:snapToGrid w:val="0"/>
                <w:kern w:val="0"/>
                <w:sz w:val="24"/>
              </w:rPr>
              <w:t>可知，本项目的评价工作等级为简单分析评价。</w:t>
            </w:r>
          </w:p>
          <w:p w14:paraId="601E08A9">
            <w:pPr>
              <w:adjustRightInd w:val="0"/>
              <w:snapToGrid w:val="0"/>
              <w:spacing w:line="360" w:lineRule="auto"/>
              <w:ind w:firstLine="480" w:firstLineChars="200"/>
              <w:rPr>
                <w:rFonts w:eastAsia="仿宋"/>
                <w:bCs/>
                <w:snapToGrid w:val="0"/>
                <w:kern w:val="0"/>
                <w:sz w:val="24"/>
              </w:rPr>
            </w:pPr>
            <w:r>
              <w:rPr>
                <w:rFonts w:hint="eastAsia" w:ascii="宋体" w:hAnsi="宋体" w:cs="宋体"/>
                <w:bCs/>
                <w:snapToGrid w:val="0"/>
                <w:kern w:val="0"/>
                <w:sz w:val="24"/>
              </w:rPr>
              <w:t>⑷</w:t>
            </w:r>
            <w:r>
              <w:rPr>
                <w:rFonts w:eastAsia="仿宋"/>
                <w:bCs/>
                <w:snapToGrid w:val="0"/>
                <w:kern w:val="0"/>
                <w:sz w:val="24"/>
              </w:rPr>
              <w:t>环境风险识别</w:t>
            </w:r>
          </w:p>
          <w:p w14:paraId="2505FAC1">
            <w:pPr>
              <w:keepNext/>
              <w:adjustRightInd w:val="0"/>
              <w:snapToGrid w:val="0"/>
              <w:spacing w:line="360" w:lineRule="auto"/>
              <w:ind w:firstLine="480" w:firstLineChars="200"/>
              <w:rPr>
                <w:rFonts w:eastAsia="仿宋"/>
                <w:bCs/>
                <w:snapToGrid w:val="0"/>
                <w:kern w:val="0"/>
                <w:sz w:val="24"/>
              </w:rPr>
            </w:pPr>
            <w:r>
              <w:rPr>
                <w:rFonts w:eastAsia="仿宋"/>
                <w:bCs/>
                <w:snapToGrid w:val="0"/>
                <w:kern w:val="0"/>
                <w:sz w:val="24"/>
              </w:rPr>
              <w:t>本项目存在风险最大的为</w:t>
            </w:r>
            <w:r>
              <w:rPr>
                <w:rFonts w:hint="eastAsia" w:eastAsia="仿宋"/>
                <w:bCs/>
                <w:snapToGrid w:val="0"/>
                <w:kern w:val="0"/>
                <w:sz w:val="24"/>
                <w:lang w:val="en-US" w:eastAsia="zh-CN"/>
              </w:rPr>
              <w:t>库房</w:t>
            </w:r>
            <w:r>
              <w:rPr>
                <w:rFonts w:hint="eastAsia" w:eastAsia="仿宋"/>
                <w:bCs/>
                <w:spacing w:val="-10"/>
                <w:sz w:val="24"/>
                <w:lang w:val="en-US" w:eastAsia="zh-CN"/>
              </w:rPr>
              <w:t>润滑油泄漏和</w:t>
            </w:r>
            <w:r>
              <w:rPr>
                <w:rFonts w:hint="eastAsia" w:eastAsia="仿宋"/>
                <w:bCs/>
                <w:snapToGrid w:val="0"/>
                <w:kern w:val="0"/>
                <w:sz w:val="24"/>
              </w:rPr>
              <w:t>危废</w:t>
            </w:r>
            <w:r>
              <w:rPr>
                <w:rFonts w:hint="eastAsia" w:eastAsia="仿宋"/>
                <w:bCs/>
                <w:snapToGrid w:val="0"/>
                <w:kern w:val="0"/>
                <w:sz w:val="24"/>
                <w:lang w:val="en-US" w:eastAsia="zh-CN"/>
              </w:rPr>
              <w:t>贮存点</w:t>
            </w:r>
            <w:r>
              <w:rPr>
                <w:rFonts w:hint="eastAsia" w:eastAsia="仿宋"/>
                <w:snapToGrid w:val="0"/>
                <w:kern w:val="0"/>
                <w:sz w:val="24"/>
              </w:rPr>
              <w:t>废</w:t>
            </w:r>
            <w:r>
              <w:rPr>
                <w:rFonts w:hint="eastAsia" w:eastAsia="仿宋"/>
                <w:snapToGrid w:val="0"/>
                <w:kern w:val="0"/>
                <w:sz w:val="24"/>
                <w:lang w:val="en-US" w:eastAsia="zh-CN"/>
              </w:rPr>
              <w:t>矿物油泄漏</w:t>
            </w:r>
            <w:r>
              <w:rPr>
                <w:rFonts w:eastAsia="仿宋"/>
                <w:bCs/>
                <w:snapToGrid w:val="0"/>
                <w:kern w:val="0"/>
                <w:sz w:val="24"/>
              </w:rPr>
              <w:t>。</w:t>
            </w:r>
          </w:p>
          <w:p w14:paraId="7C69A995">
            <w:pPr>
              <w:adjustRightInd w:val="0"/>
              <w:snapToGrid w:val="0"/>
              <w:spacing w:line="360" w:lineRule="auto"/>
              <w:ind w:firstLine="480" w:firstLineChars="200"/>
              <w:rPr>
                <w:rFonts w:eastAsia="仿宋"/>
                <w:bCs/>
                <w:snapToGrid w:val="0"/>
                <w:kern w:val="0"/>
                <w:sz w:val="24"/>
              </w:rPr>
            </w:pPr>
            <w:r>
              <w:rPr>
                <w:rFonts w:hint="eastAsia" w:ascii="宋体" w:hAnsi="宋体" w:cs="宋体"/>
                <w:bCs/>
                <w:snapToGrid w:val="0"/>
                <w:kern w:val="0"/>
                <w:sz w:val="24"/>
              </w:rPr>
              <w:t>①</w:t>
            </w:r>
            <w:r>
              <w:rPr>
                <w:rFonts w:eastAsia="仿宋"/>
                <w:bCs/>
                <w:snapToGrid w:val="0"/>
                <w:kern w:val="0"/>
                <w:sz w:val="24"/>
              </w:rPr>
              <w:t>风险物质及危险性分析</w:t>
            </w:r>
          </w:p>
          <w:p w14:paraId="41AB391B">
            <w:pPr>
              <w:keepNext/>
              <w:adjustRightInd w:val="0"/>
              <w:snapToGrid w:val="0"/>
              <w:spacing w:line="360" w:lineRule="auto"/>
              <w:ind w:firstLine="480" w:firstLineChars="200"/>
              <w:rPr>
                <w:rFonts w:eastAsia="仿宋"/>
                <w:snapToGrid w:val="0"/>
                <w:kern w:val="0"/>
                <w:sz w:val="24"/>
              </w:rPr>
            </w:pPr>
            <w:r>
              <w:rPr>
                <w:rFonts w:eastAsia="仿宋"/>
                <w:snapToGrid w:val="0"/>
                <w:kern w:val="0"/>
                <w:sz w:val="24"/>
              </w:rPr>
              <w:t>a.风险物质</w:t>
            </w:r>
          </w:p>
          <w:p w14:paraId="014772DE">
            <w:pPr>
              <w:keepNext/>
              <w:adjustRightInd w:val="0"/>
              <w:snapToGrid w:val="0"/>
              <w:spacing w:line="360" w:lineRule="auto"/>
              <w:ind w:firstLine="480" w:firstLineChars="200"/>
              <w:rPr>
                <w:rFonts w:eastAsia="仿宋"/>
                <w:snapToGrid w:val="0"/>
                <w:kern w:val="0"/>
                <w:sz w:val="24"/>
              </w:rPr>
            </w:pPr>
            <w:r>
              <w:rPr>
                <w:rFonts w:eastAsia="仿宋"/>
                <w:snapToGrid w:val="0"/>
                <w:kern w:val="0"/>
                <w:sz w:val="24"/>
              </w:rPr>
              <w:t>本项目存在的主要危险性物质为</w:t>
            </w:r>
            <w:r>
              <w:rPr>
                <w:rFonts w:hint="eastAsia" w:eastAsia="仿宋"/>
                <w:bCs/>
                <w:spacing w:val="-10"/>
                <w:sz w:val="24"/>
                <w:lang w:val="en-US" w:eastAsia="zh-CN"/>
              </w:rPr>
              <w:t>润滑油、</w:t>
            </w:r>
            <w:r>
              <w:rPr>
                <w:rFonts w:hint="eastAsia" w:eastAsia="仿宋"/>
                <w:snapToGrid w:val="0"/>
                <w:kern w:val="0"/>
                <w:sz w:val="24"/>
              </w:rPr>
              <w:t>废</w:t>
            </w:r>
            <w:r>
              <w:rPr>
                <w:rFonts w:hint="eastAsia" w:eastAsia="仿宋"/>
                <w:snapToGrid w:val="0"/>
                <w:kern w:val="0"/>
                <w:sz w:val="24"/>
                <w:lang w:val="en-US" w:eastAsia="zh-CN"/>
              </w:rPr>
              <w:t>矿物油</w:t>
            </w:r>
            <w:r>
              <w:rPr>
                <w:rFonts w:eastAsia="仿宋"/>
                <w:snapToGrid w:val="0"/>
                <w:kern w:val="0"/>
                <w:sz w:val="24"/>
              </w:rPr>
              <w:t>，其理化性质、毒性及健康危害、燃烧爆炸危险性见表</w:t>
            </w:r>
            <w:r>
              <w:rPr>
                <w:rFonts w:hint="eastAsia" w:eastAsia="仿宋"/>
                <w:snapToGrid w:val="0"/>
                <w:kern w:val="0"/>
                <w:sz w:val="24"/>
                <w:lang w:val="en-US" w:eastAsia="zh-CN"/>
              </w:rPr>
              <w:t>52</w:t>
            </w:r>
            <w:r>
              <w:rPr>
                <w:rFonts w:eastAsia="仿宋"/>
                <w:snapToGrid w:val="0"/>
                <w:kern w:val="0"/>
                <w:sz w:val="24"/>
              </w:rPr>
              <w:t>。</w:t>
            </w:r>
          </w:p>
          <w:p w14:paraId="2EA5450E">
            <w:pPr>
              <w:keepNext w:val="0"/>
              <w:keepLines w:val="0"/>
              <w:pageBreakBefore w:val="0"/>
              <w:widowControl/>
              <w:kinsoku/>
              <w:wordWrap/>
              <w:overflowPunct/>
              <w:topLinePunct w:val="0"/>
              <w:autoSpaceDE/>
              <w:autoSpaceDN/>
              <w:bidi w:val="0"/>
              <w:adjustRightInd w:val="0"/>
              <w:snapToGrid w:val="0"/>
              <w:jc w:val="center"/>
              <w:textAlignment w:val="auto"/>
              <w:rPr>
                <w:rFonts w:eastAsia="仿宋"/>
                <w:b/>
                <w:bCs/>
                <w:szCs w:val="21"/>
              </w:rPr>
            </w:pPr>
            <w:r>
              <w:rPr>
                <w:rFonts w:eastAsia="仿宋"/>
                <w:b/>
                <w:bCs/>
                <w:szCs w:val="21"/>
              </w:rPr>
              <w:t>表</w:t>
            </w:r>
            <w:r>
              <w:rPr>
                <w:rFonts w:hint="eastAsia" w:eastAsia="仿宋"/>
                <w:b/>
                <w:bCs/>
                <w:szCs w:val="21"/>
                <w:lang w:val="en-US" w:eastAsia="zh-CN"/>
              </w:rPr>
              <w:t>52</w:t>
            </w:r>
            <w:r>
              <w:rPr>
                <w:rFonts w:eastAsia="仿宋"/>
                <w:b/>
                <w:bCs/>
                <w:szCs w:val="21"/>
              </w:rPr>
              <w:t xml:space="preserve">  油类的理化性质和危险特性</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72"/>
              <w:gridCol w:w="2094"/>
              <w:gridCol w:w="490"/>
              <w:gridCol w:w="1585"/>
              <w:gridCol w:w="49"/>
              <w:gridCol w:w="71"/>
              <w:gridCol w:w="1606"/>
            </w:tblGrid>
            <w:tr w14:paraId="6FDA91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340" w:hRule="exact"/>
                <w:jc w:val="center"/>
              </w:trPr>
              <w:tc>
                <w:tcPr>
                  <w:tcW w:w="8306" w:type="dxa"/>
                  <w:gridSpan w:val="7"/>
                  <w:noWrap w:val="0"/>
                  <w:vAlign w:val="center"/>
                </w:tcPr>
                <w:p w14:paraId="0D3C72E1">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
                      <w:szCs w:val="21"/>
                    </w:rPr>
                  </w:pPr>
                  <w:r>
                    <w:rPr>
                      <w:rFonts w:eastAsia="仿宋"/>
                      <w:b/>
                      <w:szCs w:val="21"/>
                    </w:rPr>
                    <w:t>第一部分  危险性概述</w:t>
                  </w:r>
                </w:p>
              </w:tc>
            </w:tr>
            <w:tr w14:paraId="45BB9F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559" w:type="dxa"/>
                  <w:noWrap w:val="0"/>
                  <w:vAlign w:val="center"/>
                </w:tcPr>
                <w:p w14:paraId="11A64961">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危险性类别：</w:t>
                  </w:r>
                </w:p>
              </w:tc>
              <w:tc>
                <w:tcPr>
                  <w:tcW w:w="2969" w:type="dxa"/>
                  <w:gridSpan w:val="2"/>
                  <w:noWrap w:val="0"/>
                  <w:vAlign w:val="center"/>
                </w:tcPr>
                <w:p w14:paraId="24067AC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第3.3类高闪点 易燃液体</w:t>
                  </w:r>
                </w:p>
              </w:tc>
              <w:tc>
                <w:tcPr>
                  <w:tcW w:w="1863" w:type="dxa"/>
                  <w:gridSpan w:val="2"/>
                  <w:noWrap w:val="0"/>
                  <w:vAlign w:val="center"/>
                </w:tcPr>
                <w:p w14:paraId="766B4C8B">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燃爆危险：</w:t>
                  </w:r>
                </w:p>
              </w:tc>
              <w:tc>
                <w:tcPr>
                  <w:tcW w:w="1915" w:type="dxa"/>
                  <w:gridSpan w:val="2"/>
                  <w:noWrap w:val="0"/>
                  <w:vAlign w:val="center"/>
                </w:tcPr>
                <w:p w14:paraId="2D81A884">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易燃</w:t>
                  </w:r>
                </w:p>
              </w:tc>
            </w:tr>
            <w:tr w14:paraId="6ED76D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0" w:hRule="exact"/>
                <w:jc w:val="center"/>
              </w:trPr>
              <w:tc>
                <w:tcPr>
                  <w:tcW w:w="1559" w:type="dxa"/>
                  <w:noWrap w:val="0"/>
                  <w:vAlign w:val="center"/>
                </w:tcPr>
                <w:p w14:paraId="684EFF29">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侵入途径：</w:t>
                  </w:r>
                </w:p>
              </w:tc>
              <w:tc>
                <w:tcPr>
                  <w:tcW w:w="2969" w:type="dxa"/>
                  <w:gridSpan w:val="2"/>
                  <w:noWrap w:val="0"/>
                  <w:vAlign w:val="center"/>
                </w:tcPr>
                <w:p w14:paraId="752F3417">
                  <w:pPr>
                    <w:pStyle w:val="21"/>
                    <w:keepNext w:val="0"/>
                    <w:keepLines w:val="0"/>
                    <w:pageBreakBefore w:val="0"/>
                    <w:widowControl w:val="0"/>
                    <w:kinsoku/>
                    <w:wordWrap/>
                    <w:overflowPunct/>
                    <w:topLinePunct w:val="0"/>
                    <w:autoSpaceDE/>
                    <w:autoSpaceDN/>
                    <w:bidi w:val="0"/>
                    <w:adjustRightInd w:val="0"/>
                    <w:snapToGrid w:val="0"/>
                    <w:textAlignment w:val="auto"/>
                    <w:rPr>
                      <w:rFonts w:eastAsia="仿宋"/>
                      <w:szCs w:val="21"/>
                    </w:rPr>
                  </w:pPr>
                  <w:r>
                    <w:rPr>
                      <w:rFonts w:eastAsia="仿宋"/>
                      <w:szCs w:val="21"/>
                    </w:rPr>
                    <w:t>吸入、食入、经皮吸收</w:t>
                  </w:r>
                </w:p>
              </w:tc>
              <w:tc>
                <w:tcPr>
                  <w:tcW w:w="1863" w:type="dxa"/>
                  <w:gridSpan w:val="2"/>
                  <w:noWrap w:val="0"/>
                  <w:vAlign w:val="center"/>
                </w:tcPr>
                <w:p w14:paraId="40D03A34">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有害燃烧产物：</w:t>
                  </w:r>
                </w:p>
              </w:tc>
              <w:tc>
                <w:tcPr>
                  <w:tcW w:w="1915" w:type="dxa"/>
                  <w:gridSpan w:val="2"/>
                  <w:noWrap w:val="0"/>
                  <w:vAlign w:val="center"/>
                </w:tcPr>
                <w:p w14:paraId="3234B38A">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一氧化碳、二氧化碳</w:t>
                  </w:r>
                </w:p>
              </w:tc>
            </w:tr>
            <w:tr w14:paraId="41DF49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75" w:hRule="exact"/>
                <w:jc w:val="center"/>
              </w:trPr>
              <w:tc>
                <w:tcPr>
                  <w:tcW w:w="1559" w:type="dxa"/>
                  <w:noWrap w:val="0"/>
                  <w:vAlign w:val="center"/>
                </w:tcPr>
                <w:p w14:paraId="76AE6BC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环境危害：</w:t>
                  </w:r>
                </w:p>
              </w:tc>
              <w:tc>
                <w:tcPr>
                  <w:tcW w:w="6747" w:type="dxa"/>
                  <w:gridSpan w:val="6"/>
                  <w:noWrap w:val="0"/>
                  <w:vAlign w:val="center"/>
                </w:tcPr>
                <w:p w14:paraId="7ED69504">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该物质对环境有危害，应特别注意对地表水、土壤、大气和饮用水的污染</w:t>
                  </w:r>
                </w:p>
              </w:tc>
            </w:tr>
            <w:tr w14:paraId="1D3869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8306" w:type="dxa"/>
                  <w:gridSpan w:val="7"/>
                  <w:noWrap w:val="0"/>
                  <w:vAlign w:val="center"/>
                </w:tcPr>
                <w:p w14:paraId="5D66868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
                      <w:szCs w:val="21"/>
                    </w:rPr>
                  </w:pPr>
                  <w:r>
                    <w:rPr>
                      <w:rFonts w:eastAsia="仿宋"/>
                      <w:b/>
                      <w:szCs w:val="21"/>
                    </w:rPr>
                    <w:t>第二部分   理化特性</w:t>
                  </w:r>
                </w:p>
              </w:tc>
            </w:tr>
            <w:tr w14:paraId="03CE7D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71" w:hRule="exact"/>
                <w:jc w:val="center"/>
              </w:trPr>
              <w:tc>
                <w:tcPr>
                  <w:tcW w:w="1559" w:type="dxa"/>
                  <w:noWrap w:val="0"/>
                  <w:vAlign w:val="center"/>
                </w:tcPr>
                <w:p w14:paraId="3155B52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外观及性状：</w:t>
                  </w:r>
                </w:p>
              </w:tc>
              <w:tc>
                <w:tcPr>
                  <w:tcW w:w="2399" w:type="dxa"/>
                  <w:noWrap w:val="0"/>
                  <w:vAlign w:val="center"/>
                </w:tcPr>
                <w:p w14:paraId="3E7F7C2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稍</w:t>
                  </w:r>
                  <w:r>
                    <w:rPr>
                      <w:rFonts w:hint="eastAsia" w:eastAsia="仿宋"/>
                      <w:szCs w:val="21"/>
                      <w:lang w:eastAsia="zh-CN"/>
                    </w:rPr>
                    <w:t>有黏性的</w:t>
                  </w:r>
                  <w:r>
                    <w:rPr>
                      <w:rFonts w:eastAsia="仿宋"/>
                      <w:szCs w:val="21"/>
                    </w:rPr>
                    <w:t>棕色液体。</w:t>
                  </w:r>
                </w:p>
              </w:tc>
              <w:tc>
                <w:tcPr>
                  <w:tcW w:w="2516" w:type="dxa"/>
                  <w:gridSpan w:val="4"/>
                  <w:noWrap w:val="0"/>
                  <w:vAlign w:val="center"/>
                </w:tcPr>
                <w:p w14:paraId="72F59B03">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主要用途：</w:t>
                  </w:r>
                </w:p>
              </w:tc>
              <w:tc>
                <w:tcPr>
                  <w:tcW w:w="1832" w:type="dxa"/>
                  <w:noWrap w:val="0"/>
                  <w:vAlign w:val="center"/>
                </w:tcPr>
                <w:p w14:paraId="3840A7A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用作柴油机的燃料等。</w:t>
                  </w:r>
                </w:p>
              </w:tc>
            </w:tr>
            <w:tr w14:paraId="3E254A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559" w:type="dxa"/>
                  <w:noWrap w:val="0"/>
                  <w:vAlign w:val="center"/>
                </w:tcPr>
                <w:p w14:paraId="75A4861F">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闪点（℃）：</w:t>
                  </w:r>
                </w:p>
              </w:tc>
              <w:tc>
                <w:tcPr>
                  <w:tcW w:w="2399" w:type="dxa"/>
                  <w:noWrap w:val="0"/>
                  <w:vAlign w:val="center"/>
                </w:tcPr>
                <w:p w14:paraId="4D134254">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45</w:t>
                  </w:r>
                  <w:r>
                    <w:rPr>
                      <w:rFonts w:hint="eastAsia" w:eastAsia="仿宋"/>
                      <w:szCs w:val="21"/>
                      <w:lang w:eastAsia="zh-CN"/>
                    </w:rPr>
                    <w:t>~</w:t>
                  </w:r>
                  <w:r>
                    <w:rPr>
                      <w:rFonts w:eastAsia="仿宋"/>
                      <w:szCs w:val="21"/>
                    </w:rPr>
                    <w:t>55℃</w:t>
                  </w:r>
                </w:p>
              </w:tc>
              <w:tc>
                <w:tcPr>
                  <w:tcW w:w="2516" w:type="dxa"/>
                  <w:gridSpan w:val="4"/>
                  <w:noWrap w:val="0"/>
                  <w:vAlign w:val="center"/>
                </w:tcPr>
                <w:p w14:paraId="3902C5AF">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相对密度（水＝1）：</w:t>
                  </w:r>
                </w:p>
              </w:tc>
              <w:tc>
                <w:tcPr>
                  <w:tcW w:w="1832" w:type="dxa"/>
                  <w:noWrap w:val="0"/>
                  <w:vAlign w:val="center"/>
                </w:tcPr>
                <w:p w14:paraId="507BAF6A">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0.87</w:t>
                  </w:r>
                  <w:r>
                    <w:rPr>
                      <w:rFonts w:hint="eastAsia" w:eastAsia="仿宋"/>
                      <w:szCs w:val="21"/>
                      <w:lang w:eastAsia="zh-CN"/>
                    </w:rPr>
                    <w:t>~</w:t>
                  </w:r>
                  <w:r>
                    <w:rPr>
                      <w:rFonts w:eastAsia="仿宋"/>
                      <w:szCs w:val="21"/>
                    </w:rPr>
                    <w:t>0.9</w:t>
                  </w:r>
                </w:p>
              </w:tc>
            </w:tr>
            <w:tr w14:paraId="43BD72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559" w:type="dxa"/>
                  <w:noWrap w:val="0"/>
                  <w:vAlign w:val="center"/>
                </w:tcPr>
                <w:p w14:paraId="7D0D4D0B">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沸点（℃）：</w:t>
                  </w:r>
                </w:p>
              </w:tc>
              <w:tc>
                <w:tcPr>
                  <w:tcW w:w="2399" w:type="dxa"/>
                  <w:noWrap w:val="0"/>
                  <w:vAlign w:val="center"/>
                </w:tcPr>
                <w:p w14:paraId="3B26761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200</w:t>
                  </w:r>
                  <w:r>
                    <w:rPr>
                      <w:rFonts w:hint="eastAsia" w:eastAsia="仿宋"/>
                      <w:szCs w:val="21"/>
                      <w:lang w:eastAsia="zh-CN"/>
                    </w:rPr>
                    <w:t>~</w:t>
                  </w:r>
                  <w:r>
                    <w:rPr>
                      <w:rFonts w:eastAsia="仿宋"/>
                      <w:szCs w:val="21"/>
                    </w:rPr>
                    <w:t>350℃</w:t>
                  </w:r>
                </w:p>
              </w:tc>
              <w:tc>
                <w:tcPr>
                  <w:tcW w:w="2516" w:type="dxa"/>
                  <w:gridSpan w:val="4"/>
                  <w:noWrap w:val="0"/>
                  <w:vAlign w:val="center"/>
                </w:tcPr>
                <w:p w14:paraId="7CFAA04D">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爆炸上限％（V/V）：</w:t>
                  </w:r>
                </w:p>
              </w:tc>
              <w:tc>
                <w:tcPr>
                  <w:tcW w:w="1832" w:type="dxa"/>
                  <w:noWrap w:val="0"/>
                  <w:vAlign w:val="center"/>
                </w:tcPr>
                <w:p w14:paraId="2AF6ED5B">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4.5</w:t>
                  </w:r>
                </w:p>
              </w:tc>
            </w:tr>
            <w:tr w14:paraId="7C79FE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559" w:type="dxa"/>
                  <w:noWrap w:val="0"/>
                  <w:vAlign w:val="center"/>
                </w:tcPr>
                <w:p w14:paraId="1E847C11">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自然点（℃）：</w:t>
                  </w:r>
                </w:p>
              </w:tc>
              <w:tc>
                <w:tcPr>
                  <w:tcW w:w="2399" w:type="dxa"/>
                  <w:noWrap w:val="0"/>
                  <w:vAlign w:val="center"/>
                </w:tcPr>
                <w:p w14:paraId="75881AEE">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257</w:t>
                  </w:r>
                </w:p>
              </w:tc>
              <w:tc>
                <w:tcPr>
                  <w:tcW w:w="2516" w:type="dxa"/>
                  <w:gridSpan w:val="4"/>
                  <w:noWrap w:val="0"/>
                  <w:vAlign w:val="center"/>
                </w:tcPr>
                <w:p w14:paraId="20ECD60A">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爆炸下限％（V/V）：</w:t>
                  </w:r>
                </w:p>
              </w:tc>
              <w:tc>
                <w:tcPr>
                  <w:tcW w:w="1832" w:type="dxa"/>
                  <w:noWrap w:val="0"/>
                  <w:vAlign w:val="center"/>
                </w:tcPr>
                <w:p w14:paraId="6038DF65">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1.5</w:t>
                  </w:r>
                </w:p>
              </w:tc>
            </w:tr>
            <w:tr w14:paraId="01CC11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559" w:type="dxa"/>
                  <w:noWrap w:val="0"/>
                  <w:vAlign w:val="center"/>
                </w:tcPr>
                <w:p w14:paraId="708A83D5">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溶解性：</w:t>
                  </w:r>
                </w:p>
              </w:tc>
              <w:tc>
                <w:tcPr>
                  <w:tcW w:w="6747" w:type="dxa"/>
                  <w:gridSpan w:val="6"/>
                  <w:noWrap w:val="0"/>
                  <w:vAlign w:val="center"/>
                </w:tcPr>
                <w:p w14:paraId="219BC9EB">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不溶于水，易溶于苯、二硫化碳、醇，易溶于脂肪。</w:t>
                  </w:r>
                </w:p>
              </w:tc>
            </w:tr>
            <w:tr w14:paraId="67B3D9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8306" w:type="dxa"/>
                  <w:gridSpan w:val="7"/>
                  <w:noWrap w:val="0"/>
                  <w:vAlign w:val="center"/>
                </w:tcPr>
                <w:p w14:paraId="0521347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
                      <w:szCs w:val="21"/>
                    </w:rPr>
                  </w:pPr>
                  <w:r>
                    <w:rPr>
                      <w:rFonts w:eastAsia="仿宋"/>
                      <w:b/>
                      <w:szCs w:val="21"/>
                    </w:rPr>
                    <w:t>第三部分   稳定性及化学活性</w:t>
                  </w:r>
                </w:p>
              </w:tc>
            </w:tr>
            <w:tr w14:paraId="76C363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559" w:type="dxa"/>
                  <w:noWrap w:val="0"/>
                  <w:vAlign w:val="center"/>
                </w:tcPr>
                <w:p w14:paraId="7427BDDF">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稳定性：</w:t>
                  </w:r>
                </w:p>
              </w:tc>
              <w:tc>
                <w:tcPr>
                  <w:tcW w:w="2399" w:type="dxa"/>
                  <w:noWrap w:val="0"/>
                  <w:vAlign w:val="center"/>
                </w:tcPr>
                <w:p w14:paraId="69A7FA33">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稳定</w:t>
                  </w:r>
                </w:p>
              </w:tc>
              <w:tc>
                <w:tcPr>
                  <w:tcW w:w="2377" w:type="dxa"/>
                  <w:gridSpan w:val="2"/>
                  <w:noWrap w:val="0"/>
                  <w:vAlign w:val="center"/>
                </w:tcPr>
                <w:p w14:paraId="6C931BC3">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避免接触的条件：</w:t>
                  </w:r>
                </w:p>
              </w:tc>
              <w:tc>
                <w:tcPr>
                  <w:tcW w:w="1971" w:type="dxa"/>
                  <w:gridSpan w:val="3"/>
                  <w:noWrap w:val="0"/>
                  <w:vAlign w:val="center"/>
                </w:tcPr>
                <w:p w14:paraId="008A3DF8">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明火、高热</w:t>
                  </w:r>
                </w:p>
              </w:tc>
            </w:tr>
            <w:tr w14:paraId="6D1CD6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559" w:type="dxa"/>
                  <w:noWrap w:val="0"/>
                  <w:vAlign w:val="center"/>
                </w:tcPr>
                <w:p w14:paraId="5534CE0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禁配物：</w:t>
                  </w:r>
                </w:p>
              </w:tc>
              <w:tc>
                <w:tcPr>
                  <w:tcW w:w="2399" w:type="dxa"/>
                  <w:noWrap w:val="0"/>
                  <w:vAlign w:val="center"/>
                </w:tcPr>
                <w:p w14:paraId="0751A78E">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强氧化剂、卤素</w:t>
                  </w:r>
                </w:p>
              </w:tc>
              <w:tc>
                <w:tcPr>
                  <w:tcW w:w="2377" w:type="dxa"/>
                  <w:gridSpan w:val="2"/>
                  <w:noWrap w:val="0"/>
                  <w:vAlign w:val="center"/>
                </w:tcPr>
                <w:p w14:paraId="2B08FF2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聚合危害：</w:t>
                  </w:r>
                </w:p>
              </w:tc>
              <w:tc>
                <w:tcPr>
                  <w:tcW w:w="1971" w:type="dxa"/>
                  <w:gridSpan w:val="3"/>
                  <w:noWrap w:val="0"/>
                  <w:vAlign w:val="center"/>
                </w:tcPr>
                <w:p w14:paraId="172B186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不聚合</w:t>
                  </w:r>
                </w:p>
              </w:tc>
            </w:tr>
            <w:tr w14:paraId="18F6C1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559" w:type="dxa"/>
                  <w:noWrap w:val="0"/>
                  <w:vAlign w:val="center"/>
                </w:tcPr>
                <w:p w14:paraId="3A762FE3">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分解产物：</w:t>
                  </w:r>
                </w:p>
              </w:tc>
              <w:tc>
                <w:tcPr>
                  <w:tcW w:w="6747" w:type="dxa"/>
                  <w:gridSpan w:val="6"/>
                  <w:noWrap w:val="0"/>
                  <w:vAlign w:val="center"/>
                </w:tcPr>
                <w:p w14:paraId="61F320ED">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一氧化碳、二氧化碳</w:t>
                  </w:r>
                </w:p>
              </w:tc>
            </w:tr>
            <w:tr w14:paraId="14E01A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8306" w:type="dxa"/>
                  <w:gridSpan w:val="7"/>
                  <w:noWrap w:val="0"/>
                  <w:vAlign w:val="center"/>
                </w:tcPr>
                <w:p w14:paraId="12F9B041">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b/>
                      <w:szCs w:val="21"/>
                    </w:rPr>
                  </w:pPr>
                  <w:r>
                    <w:rPr>
                      <w:rFonts w:eastAsia="仿宋"/>
                      <w:b/>
                      <w:szCs w:val="21"/>
                    </w:rPr>
                    <w:t>第四部分   毒理学资料</w:t>
                  </w:r>
                </w:p>
              </w:tc>
            </w:tr>
            <w:tr w14:paraId="2EC91F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559" w:type="dxa"/>
                  <w:noWrap w:val="0"/>
                  <w:vAlign w:val="center"/>
                </w:tcPr>
                <w:p w14:paraId="6C559A3F">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急性毒性：</w:t>
                  </w:r>
                </w:p>
              </w:tc>
              <w:tc>
                <w:tcPr>
                  <w:tcW w:w="6747" w:type="dxa"/>
                  <w:gridSpan w:val="6"/>
                  <w:noWrap w:val="0"/>
                  <w:vAlign w:val="center"/>
                </w:tcPr>
                <w:p w14:paraId="3F51EC94">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LD</w:t>
                  </w:r>
                  <w:r>
                    <w:rPr>
                      <w:rFonts w:eastAsia="仿宋"/>
                      <w:szCs w:val="21"/>
                      <w:vertAlign w:val="subscript"/>
                    </w:rPr>
                    <w:t>50</w:t>
                  </w:r>
                  <w:r>
                    <w:rPr>
                      <w:rFonts w:eastAsia="仿宋"/>
                      <w:szCs w:val="21"/>
                    </w:rPr>
                    <w:t xml:space="preserve">       LC</w:t>
                  </w:r>
                  <w:r>
                    <w:rPr>
                      <w:rFonts w:eastAsia="仿宋"/>
                      <w:szCs w:val="21"/>
                      <w:vertAlign w:val="subscript"/>
                    </w:rPr>
                    <w:t>50</w:t>
                  </w:r>
                </w:p>
              </w:tc>
            </w:tr>
            <w:tr w14:paraId="22DC06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85" w:hRule="exact"/>
                <w:jc w:val="center"/>
              </w:trPr>
              <w:tc>
                <w:tcPr>
                  <w:tcW w:w="1559" w:type="dxa"/>
                  <w:noWrap w:val="0"/>
                  <w:vAlign w:val="center"/>
                </w:tcPr>
                <w:p w14:paraId="25110F6A">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急性中毒：</w:t>
                  </w:r>
                </w:p>
              </w:tc>
              <w:tc>
                <w:tcPr>
                  <w:tcW w:w="6747" w:type="dxa"/>
                  <w:gridSpan w:val="6"/>
                  <w:noWrap w:val="0"/>
                  <w:vAlign w:val="center"/>
                </w:tcPr>
                <w:p w14:paraId="1D0A5B1A">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皮肤接触柴油可引起接触性皮炎、油性痤疮，吸入可引起吸入性肺炎，能经胎盘进入胎儿血中。</w:t>
                  </w:r>
                </w:p>
              </w:tc>
            </w:tr>
            <w:tr w14:paraId="5901B4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559" w:type="dxa"/>
                  <w:noWrap w:val="0"/>
                  <w:vAlign w:val="center"/>
                </w:tcPr>
                <w:p w14:paraId="30FA3E1E">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慢性中毒：</w:t>
                  </w:r>
                </w:p>
              </w:tc>
              <w:tc>
                <w:tcPr>
                  <w:tcW w:w="6747" w:type="dxa"/>
                  <w:gridSpan w:val="6"/>
                  <w:noWrap w:val="0"/>
                  <w:vAlign w:val="center"/>
                </w:tcPr>
                <w:p w14:paraId="6795F9B4">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柴油废气可引起眼、鼻</w:t>
                  </w:r>
                  <w:r>
                    <w:rPr>
                      <w:rFonts w:hint="eastAsia" w:eastAsia="仿宋"/>
                      <w:szCs w:val="21"/>
                      <w:lang w:eastAsia="zh-CN"/>
                    </w:rPr>
                    <w:t>刺激征状</w:t>
                  </w:r>
                  <w:r>
                    <w:rPr>
                      <w:rFonts w:eastAsia="仿宋"/>
                      <w:szCs w:val="21"/>
                    </w:rPr>
                    <w:t>，头痛</w:t>
                  </w:r>
                </w:p>
              </w:tc>
            </w:tr>
            <w:tr w14:paraId="74BC2F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559" w:type="dxa"/>
                  <w:noWrap w:val="0"/>
                  <w:vAlign w:val="center"/>
                </w:tcPr>
                <w:p w14:paraId="5EF5176B">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刺激性：</w:t>
                  </w:r>
                </w:p>
              </w:tc>
              <w:tc>
                <w:tcPr>
                  <w:tcW w:w="6747" w:type="dxa"/>
                  <w:gridSpan w:val="6"/>
                  <w:noWrap w:val="0"/>
                  <w:vAlign w:val="center"/>
                </w:tcPr>
                <w:p w14:paraId="4736B4F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具有刺激作用</w:t>
                  </w:r>
                </w:p>
              </w:tc>
            </w:tr>
            <w:tr w14:paraId="56163A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559" w:type="dxa"/>
                  <w:noWrap w:val="0"/>
                  <w:vAlign w:val="center"/>
                </w:tcPr>
                <w:p w14:paraId="614F3D32">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最高容许浓度</w:t>
                  </w:r>
                </w:p>
              </w:tc>
              <w:tc>
                <w:tcPr>
                  <w:tcW w:w="6747" w:type="dxa"/>
                  <w:gridSpan w:val="6"/>
                  <w:noWrap w:val="0"/>
                  <w:vAlign w:val="center"/>
                </w:tcPr>
                <w:p w14:paraId="278B0E60">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szCs w:val="21"/>
                    </w:rPr>
                  </w:pPr>
                  <w:r>
                    <w:rPr>
                      <w:rFonts w:eastAsia="仿宋"/>
                      <w:szCs w:val="21"/>
                    </w:rPr>
                    <w:t>目前无标准</w:t>
                  </w:r>
                </w:p>
              </w:tc>
            </w:tr>
          </w:tbl>
          <w:p w14:paraId="1A71F769">
            <w:pPr>
              <w:keepNext/>
              <w:adjustRightInd w:val="0"/>
              <w:snapToGrid w:val="0"/>
              <w:spacing w:before="120" w:beforeLines="50" w:line="360" w:lineRule="auto"/>
              <w:ind w:firstLine="480" w:firstLineChars="200"/>
              <w:rPr>
                <w:rFonts w:eastAsia="仿宋"/>
                <w:snapToGrid w:val="0"/>
                <w:kern w:val="0"/>
                <w:sz w:val="24"/>
              </w:rPr>
            </w:pPr>
            <w:r>
              <w:rPr>
                <w:rFonts w:eastAsia="仿宋"/>
                <w:snapToGrid w:val="0"/>
                <w:kern w:val="0"/>
                <w:sz w:val="24"/>
              </w:rPr>
              <w:t>b.物质危险性识别</w:t>
            </w:r>
          </w:p>
          <w:p w14:paraId="091C5A81">
            <w:pPr>
              <w:keepNext/>
              <w:adjustRightInd w:val="0"/>
              <w:snapToGrid w:val="0"/>
              <w:spacing w:line="360" w:lineRule="auto"/>
              <w:ind w:firstLine="480" w:firstLineChars="200"/>
              <w:rPr>
                <w:rFonts w:eastAsia="仿宋"/>
                <w:snapToGrid w:val="0"/>
                <w:kern w:val="0"/>
                <w:sz w:val="24"/>
              </w:rPr>
            </w:pPr>
            <w:r>
              <w:rPr>
                <w:rFonts w:eastAsia="仿宋"/>
                <w:snapToGrid w:val="0"/>
                <w:kern w:val="0"/>
                <w:sz w:val="24"/>
              </w:rPr>
              <w:t>根据《建设项目环境风险评价技术导则》（HJ169-2018）</w:t>
            </w:r>
            <w:r>
              <w:rPr>
                <w:rFonts w:hint="eastAsia" w:eastAsia="仿宋"/>
                <w:snapToGrid w:val="0"/>
                <w:kern w:val="0"/>
                <w:sz w:val="24"/>
              </w:rPr>
              <w:t>，</w:t>
            </w:r>
            <w:r>
              <w:rPr>
                <w:rFonts w:hint="eastAsia" w:eastAsia="仿宋"/>
                <w:bCs/>
                <w:spacing w:val="-10"/>
                <w:sz w:val="24"/>
                <w:lang w:val="en-US" w:eastAsia="zh-CN"/>
              </w:rPr>
              <w:t>润滑油、</w:t>
            </w:r>
            <w:r>
              <w:rPr>
                <w:rFonts w:hint="eastAsia" w:eastAsia="仿宋"/>
                <w:snapToGrid w:val="0"/>
                <w:kern w:val="0"/>
                <w:sz w:val="24"/>
              </w:rPr>
              <w:t>废</w:t>
            </w:r>
            <w:r>
              <w:rPr>
                <w:rFonts w:hint="eastAsia" w:eastAsia="仿宋"/>
                <w:snapToGrid w:val="0"/>
                <w:kern w:val="0"/>
                <w:sz w:val="24"/>
                <w:lang w:val="en-US" w:eastAsia="zh-CN"/>
              </w:rPr>
              <w:t>矿物油</w:t>
            </w:r>
            <w:r>
              <w:rPr>
                <w:rFonts w:eastAsia="仿宋"/>
                <w:snapToGrid w:val="0"/>
                <w:kern w:val="0"/>
                <w:sz w:val="24"/>
              </w:rPr>
              <w:t>属于风险物质。</w:t>
            </w:r>
          </w:p>
          <w:p w14:paraId="28C5B2B2">
            <w:pPr>
              <w:adjustRightInd w:val="0"/>
              <w:snapToGrid w:val="0"/>
              <w:spacing w:line="360" w:lineRule="auto"/>
              <w:ind w:firstLine="480" w:firstLineChars="200"/>
              <w:rPr>
                <w:rFonts w:eastAsia="仿宋"/>
                <w:bCs/>
                <w:snapToGrid w:val="0"/>
                <w:kern w:val="0"/>
                <w:sz w:val="24"/>
              </w:rPr>
            </w:pPr>
            <w:r>
              <w:rPr>
                <w:rFonts w:hint="eastAsia" w:ascii="宋体" w:hAnsi="宋体" w:cs="宋体"/>
                <w:bCs/>
                <w:snapToGrid w:val="0"/>
                <w:kern w:val="0"/>
                <w:sz w:val="24"/>
              </w:rPr>
              <w:t>②</w:t>
            </w:r>
            <w:r>
              <w:rPr>
                <w:rFonts w:eastAsia="仿宋"/>
                <w:bCs/>
                <w:snapToGrid w:val="0"/>
                <w:kern w:val="0"/>
                <w:sz w:val="24"/>
              </w:rPr>
              <w:t>生产过程风险识别</w:t>
            </w:r>
          </w:p>
          <w:p w14:paraId="30623DF4">
            <w:pPr>
              <w:adjustRightInd w:val="0"/>
              <w:snapToGrid w:val="0"/>
              <w:spacing w:line="360" w:lineRule="auto"/>
              <w:ind w:firstLine="480" w:firstLineChars="200"/>
              <w:rPr>
                <w:rFonts w:eastAsia="仿宋"/>
                <w:bCs/>
                <w:snapToGrid w:val="0"/>
                <w:kern w:val="0"/>
                <w:sz w:val="24"/>
              </w:rPr>
            </w:pPr>
            <w:r>
              <w:rPr>
                <w:rFonts w:eastAsia="仿宋"/>
                <w:bCs/>
                <w:snapToGrid w:val="0"/>
                <w:kern w:val="0"/>
                <w:sz w:val="24"/>
              </w:rPr>
              <w:t>本项目可能出现的风险事故主要是：</w:t>
            </w:r>
            <w:r>
              <w:rPr>
                <w:rFonts w:hint="eastAsia" w:eastAsia="仿宋"/>
                <w:bCs/>
                <w:spacing w:val="-10"/>
                <w:sz w:val="24"/>
                <w:lang w:val="en-US" w:eastAsia="zh-CN"/>
              </w:rPr>
              <w:t>润滑油、</w:t>
            </w:r>
            <w:r>
              <w:rPr>
                <w:rFonts w:hint="eastAsia" w:eastAsia="仿宋"/>
                <w:snapToGrid w:val="0"/>
                <w:kern w:val="0"/>
                <w:sz w:val="24"/>
              </w:rPr>
              <w:t>废</w:t>
            </w:r>
            <w:r>
              <w:rPr>
                <w:rFonts w:hint="eastAsia" w:eastAsia="仿宋"/>
                <w:snapToGrid w:val="0"/>
                <w:kern w:val="0"/>
                <w:sz w:val="24"/>
                <w:lang w:val="en-US" w:eastAsia="zh-CN"/>
              </w:rPr>
              <w:t>矿物油泄漏</w:t>
            </w:r>
            <w:r>
              <w:rPr>
                <w:rFonts w:hint="eastAsia" w:eastAsia="仿宋"/>
                <w:bCs/>
                <w:snapToGrid w:val="0"/>
                <w:kern w:val="0"/>
                <w:sz w:val="24"/>
              </w:rPr>
              <w:t>。</w:t>
            </w:r>
          </w:p>
          <w:p w14:paraId="38DE0568">
            <w:pPr>
              <w:adjustRightInd w:val="0"/>
              <w:snapToGrid w:val="0"/>
              <w:spacing w:line="360" w:lineRule="auto"/>
              <w:ind w:firstLine="480" w:firstLineChars="200"/>
              <w:rPr>
                <w:rFonts w:eastAsia="仿宋"/>
                <w:bCs/>
                <w:snapToGrid w:val="0"/>
                <w:kern w:val="0"/>
                <w:sz w:val="24"/>
              </w:rPr>
            </w:pPr>
            <w:r>
              <w:rPr>
                <w:rFonts w:hint="eastAsia" w:ascii="宋体" w:hAnsi="宋体" w:cs="宋体"/>
                <w:bCs/>
                <w:snapToGrid w:val="0"/>
                <w:kern w:val="0"/>
                <w:sz w:val="24"/>
              </w:rPr>
              <w:t>⑸</w:t>
            </w:r>
            <w:r>
              <w:rPr>
                <w:rFonts w:eastAsia="仿宋"/>
                <w:bCs/>
                <w:snapToGrid w:val="0"/>
                <w:kern w:val="0"/>
                <w:sz w:val="24"/>
              </w:rPr>
              <w:t>风险事故影响分析</w:t>
            </w:r>
          </w:p>
          <w:p w14:paraId="63535BE9">
            <w:pPr>
              <w:pStyle w:val="20"/>
              <w:shd w:val="clear" w:color="auto" w:fill="FFFFFF"/>
              <w:adjustRightInd w:val="0"/>
              <w:snapToGrid w:val="0"/>
              <w:spacing w:before="0" w:beforeAutospacing="0" w:after="0" w:afterAutospacing="0" w:line="360" w:lineRule="auto"/>
              <w:ind w:firstLine="480" w:firstLineChars="200"/>
              <w:jc w:val="both"/>
              <w:rPr>
                <w:rFonts w:ascii="Times New Roman" w:hAnsi="Times New Roman" w:eastAsia="仿宋"/>
                <w:snapToGrid w:val="0"/>
              </w:rPr>
            </w:pPr>
            <w:r>
              <w:rPr>
                <w:rFonts w:ascii="Times New Roman" w:hAnsi="Times New Roman" w:eastAsia="仿宋"/>
                <w:snapToGrid w:val="0"/>
              </w:rPr>
              <w:t>在生产过程中，</w:t>
            </w:r>
            <w:r>
              <w:rPr>
                <w:rFonts w:hint="eastAsia" w:ascii="Times New Roman" w:hAnsi="Times New Roman" w:eastAsia="仿宋"/>
                <w:snapToGrid w:val="0"/>
              </w:rPr>
              <w:t>存在</w:t>
            </w:r>
            <w:r>
              <w:rPr>
                <w:rFonts w:hint="eastAsia" w:eastAsia="仿宋"/>
                <w:bCs/>
                <w:spacing w:val="-10"/>
                <w:sz w:val="24"/>
                <w:lang w:val="en-US" w:eastAsia="zh-CN"/>
              </w:rPr>
              <w:t>润滑油、</w:t>
            </w:r>
            <w:r>
              <w:rPr>
                <w:rFonts w:hint="eastAsia" w:eastAsia="仿宋"/>
                <w:snapToGrid w:val="0"/>
                <w:kern w:val="0"/>
                <w:sz w:val="24"/>
              </w:rPr>
              <w:t>废</w:t>
            </w:r>
            <w:r>
              <w:rPr>
                <w:rFonts w:hint="eastAsia" w:eastAsia="仿宋"/>
                <w:snapToGrid w:val="0"/>
                <w:kern w:val="0"/>
                <w:sz w:val="24"/>
                <w:lang w:val="en-US" w:eastAsia="zh-CN"/>
              </w:rPr>
              <w:t>矿物油泄漏</w:t>
            </w:r>
            <w:r>
              <w:rPr>
                <w:rFonts w:hint="eastAsia" w:ascii="Times New Roman" w:hAnsi="Times New Roman" w:eastAsia="仿宋"/>
                <w:snapToGrid w:val="0"/>
              </w:rPr>
              <w:t>的环境风险</w:t>
            </w:r>
            <w:r>
              <w:rPr>
                <w:rFonts w:ascii="Times New Roman" w:hAnsi="Times New Roman" w:eastAsia="仿宋"/>
                <w:snapToGrid w:val="0"/>
              </w:rPr>
              <w:t>。</w:t>
            </w:r>
          </w:p>
          <w:p w14:paraId="0BCFEC33">
            <w:pPr>
              <w:adjustRightInd w:val="0"/>
              <w:snapToGrid w:val="0"/>
              <w:spacing w:line="360" w:lineRule="auto"/>
              <w:ind w:firstLine="480" w:firstLineChars="200"/>
              <w:rPr>
                <w:rFonts w:eastAsia="仿宋"/>
                <w:bCs/>
                <w:snapToGrid w:val="0"/>
                <w:kern w:val="0"/>
                <w:sz w:val="24"/>
              </w:rPr>
            </w:pPr>
            <w:r>
              <w:rPr>
                <w:rFonts w:hint="eastAsia" w:ascii="宋体" w:hAnsi="宋体" w:cs="宋体"/>
                <w:bCs/>
                <w:snapToGrid w:val="0"/>
                <w:kern w:val="0"/>
                <w:sz w:val="24"/>
              </w:rPr>
              <w:t>⑹</w:t>
            </w:r>
            <w:r>
              <w:rPr>
                <w:rFonts w:eastAsia="仿宋"/>
                <w:bCs/>
                <w:snapToGrid w:val="0"/>
                <w:kern w:val="0"/>
                <w:sz w:val="24"/>
              </w:rPr>
              <w:t>风险防范措施</w:t>
            </w:r>
          </w:p>
          <w:p w14:paraId="6C9C24DF">
            <w:pPr>
              <w:pStyle w:val="20"/>
              <w:shd w:val="clear" w:color="auto" w:fill="FFFFFF"/>
              <w:adjustRightInd w:val="0"/>
              <w:snapToGrid w:val="0"/>
              <w:spacing w:before="0" w:beforeAutospacing="0" w:after="0" w:afterAutospacing="0" w:line="360" w:lineRule="auto"/>
              <w:ind w:firstLine="480" w:firstLineChars="200"/>
              <w:rPr>
                <w:rFonts w:ascii="Times New Roman" w:hAnsi="Times New Roman" w:eastAsia="仿宋"/>
                <w:bCs/>
                <w:snapToGrid w:val="0"/>
              </w:rPr>
            </w:pPr>
            <w:r>
              <w:rPr>
                <w:rFonts w:ascii="Times New Roman" w:hAnsi="Times New Roman" w:eastAsia="仿宋"/>
                <w:bCs/>
                <w:snapToGrid w:val="0"/>
              </w:rPr>
              <w:t>为防止油品发生泄漏，要求在</w:t>
            </w:r>
            <w:r>
              <w:rPr>
                <w:rFonts w:hint="eastAsia" w:ascii="Times New Roman" w:hAnsi="Times New Roman" w:eastAsia="仿宋"/>
                <w:bCs/>
                <w:snapToGrid w:val="0"/>
              </w:rPr>
              <w:t>危废</w:t>
            </w:r>
            <w:r>
              <w:rPr>
                <w:rFonts w:hint="eastAsia" w:ascii="Times New Roman" w:hAnsi="Times New Roman" w:eastAsia="仿宋"/>
                <w:bCs/>
                <w:snapToGrid w:val="0"/>
                <w:lang w:val="en-US" w:eastAsia="zh-CN"/>
              </w:rPr>
              <w:t>贮存点和库房</w:t>
            </w:r>
            <w:r>
              <w:rPr>
                <w:rFonts w:ascii="Times New Roman" w:hAnsi="Times New Roman" w:eastAsia="仿宋"/>
                <w:bCs/>
                <w:snapToGrid w:val="0"/>
              </w:rPr>
              <w:t>进行防渗处理。</w:t>
            </w:r>
          </w:p>
          <w:p w14:paraId="7A8A31AF">
            <w:pPr>
              <w:adjustRightInd w:val="0"/>
              <w:snapToGrid w:val="0"/>
              <w:spacing w:line="360" w:lineRule="auto"/>
              <w:ind w:firstLine="480" w:firstLineChars="200"/>
              <w:jc w:val="left"/>
              <w:rPr>
                <w:rFonts w:hint="default" w:ascii="Times New Roman" w:hAnsi="Times New Roman" w:eastAsia="仿宋" w:cs="Times New Roman"/>
                <w:snapToGrid w:val="0"/>
                <w:kern w:val="0"/>
                <w:sz w:val="24"/>
              </w:rPr>
            </w:pPr>
            <w:r>
              <w:rPr>
                <w:rFonts w:hint="default" w:ascii="Times New Roman" w:hAnsi="Times New Roman" w:eastAsia="微软雅黑" w:cs="Times New Roman"/>
                <w:snapToGrid w:val="0"/>
                <w:kern w:val="0"/>
                <w:sz w:val="24"/>
              </w:rPr>
              <w:t>⑺</w:t>
            </w:r>
            <w:r>
              <w:rPr>
                <w:rFonts w:hint="default" w:ascii="Times New Roman" w:hAnsi="Times New Roman" w:eastAsia="仿宋" w:cs="Times New Roman"/>
                <w:snapToGrid w:val="0"/>
                <w:kern w:val="0"/>
                <w:sz w:val="24"/>
              </w:rPr>
              <w:t>环境风险评价结论</w:t>
            </w:r>
          </w:p>
          <w:p w14:paraId="0F9F6C8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eastAsia="仿宋"/>
                <w:snapToGrid w:val="0"/>
                <w:kern w:val="0"/>
                <w:sz w:val="24"/>
                <w:lang w:val="ru-RU"/>
              </w:rPr>
            </w:pPr>
            <w:r>
              <w:rPr>
                <w:rFonts w:eastAsia="仿宋"/>
                <w:snapToGrid w:val="0"/>
                <w:kern w:val="0"/>
                <w:sz w:val="24"/>
                <w:lang w:val="ru-RU"/>
              </w:rPr>
              <w:t>本项目涉及的主要危险物质为</w:t>
            </w:r>
            <w:r>
              <w:rPr>
                <w:rFonts w:hint="eastAsia" w:eastAsia="仿宋"/>
                <w:bCs/>
                <w:spacing w:val="-10"/>
                <w:sz w:val="24"/>
                <w:lang w:val="en-US" w:eastAsia="zh-CN"/>
              </w:rPr>
              <w:t>润滑油、</w:t>
            </w:r>
            <w:r>
              <w:rPr>
                <w:rFonts w:hint="eastAsia" w:eastAsia="仿宋"/>
                <w:snapToGrid w:val="0"/>
                <w:kern w:val="0"/>
                <w:sz w:val="24"/>
              </w:rPr>
              <w:t>废</w:t>
            </w:r>
            <w:r>
              <w:rPr>
                <w:rFonts w:hint="eastAsia" w:eastAsia="仿宋"/>
                <w:snapToGrid w:val="0"/>
                <w:kern w:val="0"/>
                <w:sz w:val="24"/>
                <w:lang w:val="en-US" w:eastAsia="zh-CN"/>
              </w:rPr>
              <w:t>矿物油</w:t>
            </w:r>
            <w:r>
              <w:rPr>
                <w:rFonts w:eastAsia="仿宋"/>
                <w:snapToGrid w:val="0"/>
                <w:kern w:val="0"/>
                <w:sz w:val="24"/>
                <w:lang w:val="ru-RU"/>
              </w:rPr>
              <w:t>。通过辨识，</w:t>
            </w:r>
            <w:r>
              <w:rPr>
                <w:rFonts w:hint="eastAsia" w:eastAsia="仿宋"/>
                <w:snapToGrid w:val="0"/>
                <w:kern w:val="0"/>
                <w:sz w:val="24"/>
                <w:lang w:val="en-US" w:eastAsia="zh-CN"/>
              </w:rPr>
              <w:t>本</w:t>
            </w:r>
            <w:r>
              <w:rPr>
                <w:rFonts w:eastAsia="仿宋"/>
                <w:snapToGrid w:val="0"/>
                <w:kern w:val="0"/>
                <w:sz w:val="24"/>
                <w:lang w:val="ru-RU"/>
              </w:rPr>
              <w:t>项目不属于重大危险源，</w:t>
            </w:r>
            <w:r>
              <w:rPr>
                <w:rFonts w:hint="eastAsia" w:eastAsia="仿宋"/>
                <w:snapToGrid w:val="0"/>
                <w:kern w:val="0"/>
                <w:sz w:val="24"/>
                <w:lang w:val="ru-RU"/>
              </w:rPr>
              <w:t>通过采取措施后，风险在可控范围内</w:t>
            </w:r>
            <w:r>
              <w:rPr>
                <w:rFonts w:eastAsia="仿宋"/>
                <w:snapToGrid w:val="0"/>
                <w:kern w:val="0"/>
                <w:sz w:val="24"/>
                <w:lang w:val="ru-RU"/>
              </w:rPr>
              <w:t>。</w:t>
            </w:r>
          </w:p>
          <w:p w14:paraId="4578B3B7">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b/>
                <w:bCs/>
                <w:color w:val="auto"/>
                <w:spacing w:val="0"/>
                <w:kern w:val="0"/>
                <w:position w:val="0"/>
                <w:sz w:val="24"/>
                <w:szCs w:val="24"/>
                <w:highlight w:val="none"/>
                <w:lang w:val="en-US" w:eastAsia="zh-CN" w:bidi="ar"/>
              </w:rPr>
            </w:pPr>
            <w:r>
              <w:rPr>
                <w:rFonts w:hint="default" w:ascii="Times New Roman" w:hAnsi="Times New Roman" w:eastAsia="仿宋" w:cs="Times New Roman"/>
                <w:b/>
                <w:bCs/>
                <w:color w:val="auto"/>
                <w:spacing w:val="0"/>
                <w:kern w:val="0"/>
                <w:position w:val="0"/>
                <w:sz w:val="24"/>
                <w:szCs w:val="24"/>
                <w:highlight w:val="none"/>
                <w:lang w:val="en-US" w:eastAsia="zh-CN" w:bidi="ar"/>
              </w:rPr>
              <w:t>2.</w:t>
            </w:r>
            <w:r>
              <w:rPr>
                <w:rFonts w:hint="eastAsia" w:eastAsia="仿宋" w:cs="Times New Roman"/>
                <w:b/>
                <w:bCs/>
                <w:color w:val="auto"/>
                <w:spacing w:val="0"/>
                <w:kern w:val="0"/>
                <w:position w:val="0"/>
                <w:sz w:val="24"/>
                <w:szCs w:val="24"/>
                <w:highlight w:val="none"/>
                <w:lang w:val="en-US" w:eastAsia="zh-CN" w:bidi="ar"/>
              </w:rPr>
              <w:t>6</w:t>
            </w:r>
            <w:r>
              <w:rPr>
                <w:rFonts w:hint="default" w:ascii="Times New Roman" w:hAnsi="Times New Roman" w:eastAsia="仿宋" w:cs="Times New Roman"/>
                <w:b/>
                <w:bCs/>
                <w:color w:val="auto"/>
                <w:spacing w:val="0"/>
                <w:kern w:val="0"/>
                <w:position w:val="0"/>
                <w:sz w:val="24"/>
                <w:szCs w:val="24"/>
                <w:highlight w:val="none"/>
                <w:lang w:val="en-US" w:eastAsia="zh-CN" w:bidi="ar"/>
              </w:rPr>
              <w:t>闭矿期环境影响分析</w:t>
            </w:r>
          </w:p>
          <w:p w14:paraId="00AA5A5C">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kern w:val="0"/>
                <w:sz w:val="24"/>
                <w:szCs w:val="24"/>
                <w:lang w:val="en-US" w:eastAsia="zh-CN" w:bidi="ar"/>
              </w:rPr>
            </w:pPr>
            <w:r>
              <w:rPr>
                <w:rFonts w:hint="default" w:ascii="Times New Roman" w:hAnsi="Times New Roman" w:eastAsia="仿宋" w:cs="Times New Roman"/>
                <w:color w:val="000000"/>
                <w:kern w:val="0"/>
                <w:sz w:val="24"/>
                <w:szCs w:val="24"/>
                <w:lang w:val="en-US" w:eastAsia="zh-CN" w:bidi="ar"/>
              </w:rPr>
              <w:t>本项目矿石开采结束后将对各工业场地及辅助设施拆除清理，工业迹地逐渐恢复，生态环境影响小。</w:t>
            </w:r>
          </w:p>
          <w:p w14:paraId="6FDF947D">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kern w:val="0"/>
                <w:sz w:val="24"/>
                <w:szCs w:val="24"/>
                <w:lang w:val="en-US" w:eastAsia="zh-CN" w:bidi="ar"/>
              </w:rPr>
            </w:pPr>
            <w:r>
              <w:rPr>
                <w:rFonts w:hint="default" w:ascii="Times New Roman" w:hAnsi="Times New Roman" w:eastAsia="仿宋" w:cs="Times New Roman"/>
                <w:color w:val="000000"/>
                <w:kern w:val="0"/>
                <w:sz w:val="24"/>
                <w:szCs w:val="24"/>
                <w:lang w:val="en-US" w:eastAsia="zh-CN" w:bidi="ar"/>
              </w:rPr>
              <w:t>闭矿期各工业场地的清理、设备的拆除、转移，同时实施防止水土流失措施</w:t>
            </w:r>
            <w:r>
              <w:rPr>
                <w:rFonts w:hint="eastAsia" w:eastAsia="仿宋" w:cs="Times New Roman"/>
                <w:color w:val="000000"/>
                <w:kern w:val="0"/>
                <w:sz w:val="24"/>
                <w:szCs w:val="24"/>
                <w:lang w:val="en-US" w:eastAsia="zh-CN" w:bidi="ar"/>
              </w:rPr>
              <w:t>，对</w:t>
            </w:r>
            <w:r>
              <w:rPr>
                <w:rFonts w:hint="default" w:ascii="Times New Roman" w:hAnsi="Times New Roman" w:eastAsia="仿宋" w:cs="Times New Roman"/>
                <w:color w:val="000000"/>
                <w:kern w:val="0"/>
                <w:sz w:val="24"/>
                <w:szCs w:val="24"/>
                <w:lang w:val="en-US" w:eastAsia="zh-CN" w:bidi="ar"/>
              </w:rPr>
              <w:t>地面表层进行平整，恢复植被。矿山对周围生态环境的影响不再持续，</w:t>
            </w:r>
            <w:r>
              <w:rPr>
                <w:rFonts w:hint="eastAsia" w:eastAsia="仿宋" w:cs="Times New Roman"/>
                <w:color w:val="000000"/>
                <w:kern w:val="0"/>
                <w:sz w:val="24"/>
                <w:szCs w:val="24"/>
                <w:lang w:val="en-US" w:eastAsia="zh-CN" w:bidi="ar"/>
              </w:rPr>
              <w:t>而是</w:t>
            </w:r>
            <w:r>
              <w:rPr>
                <w:rFonts w:hint="default" w:ascii="Times New Roman" w:hAnsi="Times New Roman" w:eastAsia="仿宋" w:cs="Times New Roman"/>
                <w:color w:val="000000"/>
                <w:kern w:val="0"/>
                <w:sz w:val="24"/>
                <w:szCs w:val="24"/>
                <w:lang w:val="en-US" w:eastAsia="zh-CN" w:bidi="ar"/>
              </w:rPr>
              <w:t>在已形成的扰动与破坏基础上逐步走向生态环境的恢复过程。</w:t>
            </w:r>
          </w:p>
          <w:p w14:paraId="7E95C48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kern w:val="0"/>
                <w:sz w:val="24"/>
                <w:szCs w:val="24"/>
                <w:lang w:val="en-US" w:eastAsia="zh-CN" w:bidi="ar"/>
              </w:rPr>
            </w:pPr>
            <w:r>
              <w:rPr>
                <w:rFonts w:hint="default" w:ascii="Times New Roman" w:hAnsi="Times New Roman" w:eastAsia="仿宋" w:cs="Times New Roman"/>
                <w:color w:val="000000"/>
                <w:kern w:val="0"/>
                <w:sz w:val="24"/>
                <w:szCs w:val="24"/>
                <w:lang w:val="en-US" w:eastAsia="zh-CN" w:bidi="ar"/>
              </w:rPr>
              <w:t xml:space="preserve">⑴土地利用类型 </w:t>
            </w:r>
          </w:p>
          <w:p w14:paraId="02F9464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000000"/>
                <w:kern w:val="0"/>
                <w:sz w:val="24"/>
                <w:szCs w:val="24"/>
                <w:lang w:val="en-US" w:eastAsia="zh-CN" w:bidi="ar"/>
              </w:rPr>
              <w:t>闭矿后，随着建设单位采取的生态保护与恢复、水土保持措施以及矿山土地复垦恢复措施效益的逐年显现。采矿区闭矿后，按照“宜农则农、宜林则林、宜草则草” 的原则，按照开采前现状土地利用方式进行恢复治理。闭矿后，在人工生态恢复措施的干预下，矿区生态保护、恢复区域逐渐形成原有裸岩石砾地，进行自然演替恢复。</w:t>
            </w:r>
          </w:p>
          <w:p w14:paraId="191D0B2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sz w:val="24"/>
                <w:szCs w:val="24"/>
              </w:rPr>
            </w:pPr>
            <w:r>
              <w:rPr>
                <w:rFonts w:hint="default" w:ascii="Times New Roman" w:hAnsi="Times New Roman" w:eastAsia="微软雅黑" w:cs="Times New Roman"/>
                <w:color w:val="000000"/>
                <w:kern w:val="0"/>
                <w:sz w:val="24"/>
                <w:szCs w:val="24"/>
                <w:lang w:val="en-US" w:eastAsia="zh-CN" w:bidi="ar"/>
              </w:rPr>
              <w:t>⑵</w:t>
            </w:r>
            <w:r>
              <w:rPr>
                <w:rFonts w:hint="default" w:ascii="Times New Roman" w:hAnsi="Times New Roman" w:eastAsia="仿宋" w:cs="Times New Roman"/>
                <w:color w:val="000000"/>
                <w:kern w:val="0"/>
                <w:sz w:val="24"/>
                <w:szCs w:val="24"/>
                <w:lang w:val="en-US" w:eastAsia="zh-CN" w:bidi="ar"/>
              </w:rPr>
              <w:t xml:space="preserve">植被覆盖度 </w:t>
            </w:r>
          </w:p>
          <w:p w14:paraId="1037BB1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000000"/>
                <w:kern w:val="0"/>
                <w:sz w:val="24"/>
                <w:szCs w:val="24"/>
                <w:lang w:val="en-US" w:eastAsia="zh-CN" w:bidi="ar"/>
              </w:rPr>
              <w:t xml:space="preserve">闭矿后，因矿山建设造成的植被破坏，地表裸露区域，采取的生态恢复措施全部恢复为裸岩石砾地，随着自然演替，逐渐恢复到接近建设前的植被覆盖度。 </w:t>
            </w:r>
          </w:p>
          <w:p w14:paraId="645B897D">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sz w:val="24"/>
                <w:szCs w:val="24"/>
              </w:rPr>
            </w:pPr>
            <w:r>
              <w:rPr>
                <w:rFonts w:hint="default" w:ascii="Times New Roman" w:hAnsi="Times New Roman" w:eastAsia="微软雅黑" w:cs="Times New Roman"/>
                <w:color w:val="000000"/>
                <w:kern w:val="0"/>
                <w:sz w:val="24"/>
                <w:szCs w:val="24"/>
                <w:lang w:val="en-US" w:eastAsia="zh-CN" w:bidi="ar"/>
              </w:rPr>
              <w:t>⑶</w:t>
            </w:r>
            <w:r>
              <w:rPr>
                <w:rFonts w:hint="default" w:ascii="Times New Roman" w:hAnsi="Times New Roman" w:eastAsia="仿宋" w:cs="Times New Roman"/>
                <w:color w:val="000000"/>
                <w:kern w:val="0"/>
                <w:sz w:val="24"/>
                <w:szCs w:val="24"/>
                <w:lang w:val="en-US" w:eastAsia="zh-CN" w:bidi="ar"/>
              </w:rPr>
              <w:t xml:space="preserve">植被生物量 </w:t>
            </w:r>
          </w:p>
          <w:p w14:paraId="5A79D653">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000000"/>
                <w:kern w:val="0"/>
                <w:sz w:val="24"/>
                <w:szCs w:val="24"/>
                <w:lang w:val="en-US" w:eastAsia="zh-CN" w:bidi="ar"/>
              </w:rPr>
              <w:t xml:space="preserve">闭矿后，随着生态恢复措施的实施以及自然演替的推移，矿区形成与周边生态景观协调的生态系统类型，生物量逐年累积，最终将恢复到接近建设前的植被生物量。 </w:t>
            </w:r>
          </w:p>
          <w:p w14:paraId="77479010">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sz w:val="24"/>
                <w:szCs w:val="24"/>
              </w:rPr>
            </w:pPr>
            <w:r>
              <w:rPr>
                <w:rFonts w:hint="default" w:ascii="Times New Roman" w:hAnsi="Times New Roman" w:eastAsia="微软雅黑" w:cs="Times New Roman"/>
                <w:color w:val="000000"/>
                <w:kern w:val="0"/>
                <w:sz w:val="24"/>
                <w:szCs w:val="24"/>
                <w:lang w:val="en-US" w:eastAsia="zh-CN" w:bidi="ar"/>
              </w:rPr>
              <w:t>⑷</w:t>
            </w:r>
            <w:r>
              <w:rPr>
                <w:rFonts w:hint="default" w:ascii="Times New Roman" w:hAnsi="Times New Roman" w:eastAsia="仿宋" w:cs="Times New Roman"/>
                <w:color w:val="000000"/>
                <w:kern w:val="0"/>
                <w:sz w:val="24"/>
                <w:szCs w:val="24"/>
                <w:lang w:val="en-US" w:eastAsia="zh-CN" w:bidi="ar"/>
              </w:rPr>
              <w:t>对野生动物及其多样性</w:t>
            </w:r>
          </w:p>
          <w:p w14:paraId="7170BFD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000000"/>
                <w:kern w:val="0"/>
                <w:sz w:val="24"/>
                <w:szCs w:val="24"/>
                <w:lang w:val="en-US" w:eastAsia="zh-CN" w:bidi="ar"/>
              </w:rPr>
              <w:t>闭矿后，随着矿产资源开采活动的停止和</w:t>
            </w:r>
            <w:r>
              <w:rPr>
                <w:rFonts w:hint="eastAsia" w:eastAsia="仿宋" w:cs="Times New Roman"/>
                <w:color w:val="000000"/>
                <w:kern w:val="0"/>
                <w:sz w:val="24"/>
                <w:szCs w:val="24"/>
                <w:lang w:val="en-US" w:eastAsia="zh-CN" w:bidi="ar"/>
              </w:rPr>
              <w:t>矿山生态修复</w:t>
            </w:r>
            <w:r>
              <w:rPr>
                <w:rFonts w:hint="default" w:ascii="Times New Roman" w:hAnsi="Times New Roman" w:eastAsia="仿宋" w:cs="Times New Roman"/>
                <w:color w:val="000000"/>
                <w:kern w:val="0"/>
                <w:sz w:val="24"/>
                <w:szCs w:val="24"/>
                <w:lang w:val="en-US" w:eastAsia="zh-CN" w:bidi="ar"/>
              </w:rPr>
              <w:t>措施的实施，因矿山开采机械设备噪声和人为活动对野生动物的惊扰和影响</w:t>
            </w:r>
            <w:r>
              <w:rPr>
                <w:rFonts w:hint="eastAsia" w:eastAsia="仿宋" w:cs="Times New Roman"/>
                <w:color w:val="000000"/>
                <w:kern w:val="0"/>
                <w:sz w:val="24"/>
                <w:szCs w:val="24"/>
                <w:lang w:val="en-US" w:eastAsia="zh-CN" w:bidi="ar"/>
              </w:rPr>
              <w:t>随即</w:t>
            </w:r>
            <w:r>
              <w:rPr>
                <w:rFonts w:hint="default" w:ascii="Times New Roman" w:hAnsi="Times New Roman" w:eastAsia="仿宋" w:cs="Times New Roman"/>
                <w:color w:val="000000"/>
                <w:kern w:val="0"/>
                <w:sz w:val="24"/>
                <w:szCs w:val="24"/>
                <w:lang w:val="en-US" w:eastAsia="zh-CN" w:bidi="ar"/>
              </w:rPr>
              <w:t>消失；随着</w:t>
            </w:r>
            <w:r>
              <w:rPr>
                <w:rFonts w:hint="eastAsia" w:eastAsia="仿宋" w:cs="Times New Roman"/>
                <w:color w:val="000000"/>
                <w:kern w:val="0"/>
                <w:sz w:val="24"/>
                <w:szCs w:val="24"/>
                <w:lang w:val="en-US" w:eastAsia="zh-CN" w:bidi="ar"/>
              </w:rPr>
              <w:t>矿山生态修复</w:t>
            </w:r>
            <w:r>
              <w:rPr>
                <w:rFonts w:hint="default" w:ascii="Times New Roman" w:hAnsi="Times New Roman" w:eastAsia="仿宋" w:cs="Times New Roman"/>
                <w:color w:val="000000"/>
                <w:kern w:val="0"/>
                <w:sz w:val="24"/>
                <w:szCs w:val="24"/>
                <w:lang w:val="en-US" w:eastAsia="zh-CN" w:bidi="ar"/>
              </w:rPr>
              <w:t xml:space="preserve">措施生态效益的发挥，矿区破坏区域植被覆盖度逐年提高，营造良好的野生动物栖息环境，因矿山开采活动影响而离开的野生动物也逐渐在矿区活动，构建新的栖息地。因此，闭矿后，野生动物及其多样性将朝着有利方向逐渐演变。 </w:t>
            </w:r>
          </w:p>
          <w:p w14:paraId="601AB775">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sz w:val="24"/>
                <w:szCs w:val="24"/>
              </w:rPr>
            </w:pPr>
            <w:r>
              <w:rPr>
                <w:rFonts w:hint="default" w:ascii="Times New Roman" w:hAnsi="Times New Roman" w:eastAsia="微软雅黑" w:cs="Times New Roman"/>
                <w:color w:val="000000"/>
                <w:kern w:val="0"/>
                <w:sz w:val="24"/>
                <w:szCs w:val="24"/>
                <w:lang w:val="en-US" w:eastAsia="zh-CN" w:bidi="ar"/>
              </w:rPr>
              <w:t>⑸</w:t>
            </w:r>
            <w:r>
              <w:rPr>
                <w:rFonts w:hint="default" w:ascii="Times New Roman" w:hAnsi="Times New Roman" w:eastAsia="仿宋" w:cs="Times New Roman"/>
                <w:color w:val="000000"/>
                <w:kern w:val="0"/>
                <w:sz w:val="24"/>
                <w:szCs w:val="24"/>
                <w:lang w:val="en-US" w:eastAsia="zh-CN" w:bidi="ar"/>
              </w:rPr>
              <w:t xml:space="preserve">土壤侵蚀 </w:t>
            </w:r>
          </w:p>
          <w:p w14:paraId="3DEA8672">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000000"/>
                <w:kern w:val="0"/>
                <w:sz w:val="24"/>
                <w:szCs w:val="24"/>
                <w:lang w:val="en-US" w:eastAsia="zh-CN" w:bidi="ar"/>
              </w:rPr>
              <w:t>一是通过对历史探矿活动遗留迹地进行平整治理，二是通过对现有施工迹地进行恢复治理，进行土地平整，通过自然演替，增加植被覆盖度，减弱原始矿区土壤侵蚀强度。</w:t>
            </w:r>
          </w:p>
          <w:p w14:paraId="63AEEC3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sz w:val="24"/>
                <w:szCs w:val="24"/>
              </w:rPr>
            </w:pPr>
            <w:r>
              <w:rPr>
                <w:rFonts w:hint="eastAsia" w:ascii="Times New Roman" w:hAnsi="Times New Roman" w:eastAsia="仿宋" w:cs="Times New Roman"/>
                <w:color w:val="000000"/>
                <w:kern w:val="0"/>
                <w:sz w:val="24"/>
                <w:szCs w:val="24"/>
                <w:lang w:val="en-US" w:eastAsia="zh-CN" w:bidi="ar"/>
              </w:rPr>
              <w:t>综上所述，</w:t>
            </w:r>
            <w:r>
              <w:rPr>
                <w:rFonts w:hint="default" w:ascii="Times New Roman" w:hAnsi="Times New Roman" w:eastAsia="仿宋" w:cs="Times New Roman"/>
                <w:color w:val="000000"/>
                <w:kern w:val="0"/>
                <w:sz w:val="24"/>
                <w:szCs w:val="24"/>
                <w:lang w:val="en-US" w:eastAsia="zh-CN" w:bidi="ar"/>
              </w:rPr>
              <w:t xml:space="preserve">矿山服务期满后，不再产生新的生态环境影响，但建设单位需对形成的废弃地采取土地复垦恢复措施，以逐步重建矿区土地利用结构和矿区生态系统。 </w:t>
            </w:r>
          </w:p>
          <w:p w14:paraId="74447443">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kern w:val="0"/>
                <w:sz w:val="24"/>
                <w:szCs w:val="24"/>
                <w:lang w:val="en-US" w:eastAsia="zh-CN" w:bidi="ar"/>
              </w:rPr>
            </w:pPr>
            <w:r>
              <w:rPr>
                <w:rFonts w:hint="default" w:ascii="Times New Roman" w:hAnsi="Times New Roman" w:eastAsia="仿宋" w:cs="Times New Roman"/>
                <w:color w:val="000000"/>
                <w:kern w:val="0"/>
                <w:sz w:val="24"/>
                <w:szCs w:val="24"/>
                <w:lang w:val="en-US" w:eastAsia="zh-CN" w:bidi="ar"/>
              </w:rPr>
              <w:t>本环评要求矿山服务期满后及时开展土地复垦工作，恢复地表植被。采取土地复垦措施后，服务期满后本项目对评价区的生态影响很小。</w:t>
            </w:r>
          </w:p>
          <w:p w14:paraId="5BABD46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kern w:val="0"/>
                <w:sz w:val="24"/>
                <w:szCs w:val="24"/>
                <w:lang w:val="en-US" w:eastAsia="zh-CN" w:bidi="ar"/>
              </w:rPr>
            </w:pPr>
          </w:p>
        </w:tc>
      </w:tr>
      <w:tr w14:paraId="41C7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9" w:type="dxa"/>
            <w:vAlign w:val="center"/>
          </w:tcPr>
          <w:p w14:paraId="7D4F1F06">
            <w:pPr>
              <w:bidi w:val="0"/>
              <w:spacing w:line="240" w:lineRule="auto"/>
              <w:jc w:val="center"/>
              <w:rPr>
                <w:rFonts w:hint="default" w:ascii="Times New Roman" w:hAnsi="Times New Roman" w:eastAsia="仿宋" w:cs="Times New Roman"/>
                <w:color w:val="auto"/>
                <w:spacing w:val="0"/>
                <w:sz w:val="24"/>
                <w:highlight w:val="none"/>
                <w:lang w:val="en-US" w:eastAsia="zh-CN"/>
              </w:rPr>
            </w:pPr>
            <w:r>
              <w:rPr>
                <w:rFonts w:hint="default" w:ascii="Times New Roman" w:hAnsi="Times New Roman" w:eastAsia="仿宋" w:cs="Times New Roman"/>
                <w:color w:val="auto"/>
                <w:spacing w:val="0"/>
                <w:sz w:val="24"/>
                <w:highlight w:val="none"/>
                <w:lang w:val="en-US" w:eastAsia="zh-CN"/>
              </w:rPr>
              <w:t>选址选线环境合理性分析</w:t>
            </w:r>
          </w:p>
        </w:tc>
        <w:tc>
          <w:tcPr>
            <w:tcW w:w="7483" w:type="dxa"/>
          </w:tcPr>
          <w:p w14:paraId="0B2B2FD1">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kern w:val="0"/>
                <w:sz w:val="24"/>
                <w:szCs w:val="24"/>
                <w:lang w:val="en-US" w:eastAsia="zh-CN" w:bidi="ar"/>
              </w:rPr>
            </w:pPr>
            <w:r>
              <w:rPr>
                <w:rFonts w:hint="eastAsia" w:eastAsia="仿宋" w:cs="Times New Roman"/>
                <w:color w:val="FF0000"/>
                <w:kern w:val="0"/>
                <w:sz w:val="24"/>
                <w:szCs w:val="24"/>
                <w:lang w:val="en-US" w:eastAsia="zh-CN" w:bidi="ar"/>
              </w:rPr>
              <w:t>本</w:t>
            </w:r>
            <w:r>
              <w:rPr>
                <w:rFonts w:hint="eastAsia" w:ascii="Times New Roman" w:hAnsi="Times New Roman" w:eastAsia="仿宋" w:cs="Times New Roman"/>
                <w:color w:val="FF0000"/>
                <w:kern w:val="0"/>
                <w:sz w:val="24"/>
                <w:szCs w:val="24"/>
                <w:lang w:val="en-US" w:eastAsia="zh-CN" w:bidi="ar"/>
              </w:rPr>
              <w:t>项目设置2处排土场，1#排土场位于矿区内中部偏南侧，占地面积为25000m</w:t>
            </w:r>
            <w:r>
              <w:rPr>
                <w:rFonts w:hint="eastAsia" w:ascii="Times New Roman" w:hAnsi="Times New Roman" w:eastAsia="仿宋" w:cs="Times New Roman"/>
                <w:color w:val="FF0000"/>
                <w:kern w:val="0"/>
                <w:sz w:val="24"/>
                <w:szCs w:val="24"/>
                <w:vertAlign w:val="superscript"/>
                <w:lang w:val="en-US" w:eastAsia="zh-CN" w:bidi="ar"/>
              </w:rPr>
              <w:t>2</w:t>
            </w:r>
            <w:r>
              <w:rPr>
                <w:rFonts w:hint="eastAsia" w:ascii="Times New Roman" w:hAnsi="Times New Roman" w:eastAsia="仿宋" w:cs="Times New Roman"/>
                <w:color w:val="FF0000"/>
                <w:kern w:val="0"/>
                <w:sz w:val="24"/>
                <w:szCs w:val="24"/>
                <w:lang w:val="en-US" w:eastAsia="zh-CN" w:bidi="ar"/>
              </w:rPr>
              <w:t>，排土场容积为100×10</w:t>
            </w:r>
            <w:r>
              <w:rPr>
                <w:rFonts w:hint="eastAsia" w:ascii="Times New Roman" w:hAnsi="Times New Roman" w:eastAsia="仿宋" w:cs="Times New Roman"/>
                <w:color w:val="FF0000"/>
                <w:kern w:val="0"/>
                <w:sz w:val="24"/>
                <w:szCs w:val="24"/>
                <w:vertAlign w:val="superscript"/>
                <w:lang w:val="en-US" w:eastAsia="zh-CN" w:bidi="ar"/>
              </w:rPr>
              <w:t>4</w:t>
            </w:r>
            <w:r>
              <w:rPr>
                <w:rFonts w:hint="eastAsia" w:ascii="Times New Roman" w:hAnsi="Times New Roman" w:eastAsia="仿宋" w:cs="Times New Roman"/>
                <w:color w:val="FF0000"/>
                <w:kern w:val="0"/>
                <w:sz w:val="24"/>
                <w:szCs w:val="24"/>
                <w:lang w:val="en-US" w:eastAsia="zh-CN" w:bidi="ar"/>
              </w:rPr>
              <w:t>m</w:t>
            </w:r>
            <w:r>
              <w:rPr>
                <w:rFonts w:hint="eastAsia" w:ascii="Times New Roman" w:hAnsi="Times New Roman" w:eastAsia="仿宋" w:cs="Times New Roman"/>
                <w:color w:val="FF0000"/>
                <w:kern w:val="0"/>
                <w:sz w:val="24"/>
                <w:szCs w:val="24"/>
                <w:vertAlign w:val="superscript"/>
                <w:lang w:val="en-US" w:eastAsia="zh-CN" w:bidi="ar"/>
              </w:rPr>
              <w:t>3</w:t>
            </w:r>
            <w:r>
              <w:rPr>
                <w:rFonts w:hint="eastAsia" w:ascii="Times New Roman" w:hAnsi="Times New Roman" w:eastAsia="仿宋" w:cs="Times New Roman"/>
                <w:color w:val="FF0000"/>
                <w:kern w:val="0"/>
                <w:sz w:val="24"/>
                <w:szCs w:val="24"/>
                <w:lang w:val="en-US" w:eastAsia="zh-CN" w:bidi="ar"/>
              </w:rPr>
              <w:t>，2#排土场位于矿区内东北侧，占地面积为30000m</w:t>
            </w:r>
            <w:r>
              <w:rPr>
                <w:rFonts w:hint="eastAsia" w:ascii="Times New Roman" w:hAnsi="Times New Roman" w:eastAsia="仿宋" w:cs="Times New Roman"/>
                <w:color w:val="FF0000"/>
                <w:kern w:val="0"/>
                <w:sz w:val="24"/>
                <w:szCs w:val="24"/>
                <w:vertAlign w:val="superscript"/>
                <w:lang w:val="en-US" w:eastAsia="zh-CN" w:bidi="ar"/>
              </w:rPr>
              <w:t>2</w:t>
            </w:r>
            <w:r>
              <w:rPr>
                <w:rFonts w:hint="eastAsia" w:ascii="Times New Roman" w:hAnsi="Times New Roman" w:eastAsia="仿宋" w:cs="Times New Roman"/>
                <w:color w:val="FF0000"/>
                <w:kern w:val="0"/>
                <w:sz w:val="24"/>
                <w:szCs w:val="24"/>
                <w:lang w:val="en-US" w:eastAsia="zh-CN" w:bidi="ar"/>
              </w:rPr>
              <w:t>，排土场容积150×10</w:t>
            </w:r>
            <w:r>
              <w:rPr>
                <w:rFonts w:hint="eastAsia" w:ascii="Times New Roman" w:hAnsi="Times New Roman" w:eastAsia="仿宋" w:cs="Times New Roman"/>
                <w:color w:val="FF0000"/>
                <w:kern w:val="0"/>
                <w:sz w:val="24"/>
                <w:szCs w:val="24"/>
                <w:vertAlign w:val="superscript"/>
                <w:lang w:val="en-US" w:eastAsia="zh-CN" w:bidi="ar"/>
              </w:rPr>
              <w:t>4</w:t>
            </w:r>
            <w:r>
              <w:rPr>
                <w:rFonts w:hint="eastAsia" w:ascii="Times New Roman" w:hAnsi="Times New Roman" w:eastAsia="仿宋" w:cs="Times New Roman"/>
                <w:color w:val="FF0000"/>
                <w:kern w:val="0"/>
                <w:sz w:val="24"/>
                <w:szCs w:val="24"/>
                <w:lang w:val="en-US" w:eastAsia="zh-CN" w:bidi="ar"/>
              </w:rPr>
              <w:t>m</w:t>
            </w:r>
            <w:r>
              <w:rPr>
                <w:rFonts w:hint="eastAsia" w:ascii="Times New Roman" w:hAnsi="Times New Roman" w:eastAsia="仿宋" w:cs="Times New Roman"/>
                <w:color w:val="FF0000"/>
                <w:kern w:val="0"/>
                <w:sz w:val="24"/>
                <w:szCs w:val="24"/>
                <w:vertAlign w:val="superscript"/>
                <w:lang w:val="en-US" w:eastAsia="zh-CN" w:bidi="ar"/>
              </w:rPr>
              <w:t>3</w:t>
            </w:r>
            <w:r>
              <w:rPr>
                <w:rFonts w:hint="eastAsia" w:ascii="Times New Roman" w:hAnsi="Times New Roman" w:eastAsia="仿宋" w:cs="Times New Roman"/>
                <w:color w:val="FF0000"/>
                <w:kern w:val="0"/>
                <w:sz w:val="24"/>
                <w:szCs w:val="24"/>
                <w:lang w:val="en-US" w:eastAsia="zh-CN" w:bidi="ar"/>
              </w:rPr>
              <w:t>，</w:t>
            </w:r>
            <w:r>
              <w:rPr>
                <w:rFonts w:hint="eastAsia" w:eastAsia="仿宋" w:cs="Times New Roman"/>
                <w:color w:val="FF0000"/>
                <w:kern w:val="0"/>
                <w:sz w:val="24"/>
                <w:szCs w:val="24"/>
                <w:lang w:val="en-US" w:eastAsia="zh-CN" w:bidi="ar"/>
              </w:rPr>
              <w:t>均</w:t>
            </w:r>
            <w:r>
              <w:rPr>
                <w:rFonts w:hint="eastAsia" w:ascii="Times New Roman" w:hAnsi="Times New Roman" w:eastAsia="仿宋" w:cs="Times New Roman"/>
                <w:color w:val="FF0000"/>
                <w:kern w:val="0"/>
                <w:sz w:val="24"/>
                <w:szCs w:val="24"/>
                <w:lang w:val="en-US" w:eastAsia="zh-CN" w:bidi="ar"/>
              </w:rPr>
              <w:t>属于无危害的第Ⅰ类一般固废，其处置场选址参照第Ⅰ类一般性固体废物的处置场选址要求进行。</w:t>
            </w:r>
          </w:p>
          <w:p w14:paraId="790A8A9F">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仿宋"/>
                <w:b/>
                <w:bCs/>
                <w:color w:val="FF0000"/>
                <w:szCs w:val="21"/>
                <w:lang w:val="en-US" w:eastAsia="zh-CN"/>
              </w:rPr>
            </w:pPr>
            <w:r>
              <w:rPr>
                <w:rFonts w:eastAsia="仿宋"/>
                <w:b/>
                <w:bCs/>
                <w:color w:val="FF0000"/>
                <w:szCs w:val="21"/>
              </w:rPr>
              <w:t>表</w:t>
            </w:r>
            <w:r>
              <w:rPr>
                <w:rFonts w:hint="eastAsia" w:eastAsia="仿宋"/>
                <w:b/>
                <w:bCs/>
                <w:color w:val="FF0000"/>
                <w:szCs w:val="21"/>
                <w:lang w:val="en-US" w:eastAsia="zh-CN"/>
              </w:rPr>
              <w:t>53</w:t>
            </w:r>
            <w:r>
              <w:rPr>
                <w:rFonts w:eastAsia="仿宋"/>
                <w:b/>
                <w:bCs/>
                <w:color w:val="FF0000"/>
                <w:szCs w:val="21"/>
              </w:rPr>
              <w:t xml:space="preserve">  </w:t>
            </w:r>
            <w:r>
              <w:rPr>
                <w:rFonts w:hint="eastAsia" w:eastAsia="仿宋"/>
                <w:b/>
                <w:bCs/>
                <w:color w:val="FF0000"/>
                <w:szCs w:val="21"/>
                <w:lang w:val="en-US" w:eastAsia="zh-CN"/>
              </w:rPr>
              <w:t>本项目排土场选址与GB18599-2020中要求对比</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428"/>
              <w:gridCol w:w="2767"/>
              <w:gridCol w:w="1072"/>
            </w:tblGrid>
            <w:tr w14:paraId="5F44D6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2358" w:type="pct"/>
                  <w:noWrap w:val="0"/>
                  <w:vAlign w:val="center"/>
                </w:tcPr>
                <w:p w14:paraId="44BDC90C">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default" w:eastAsia="仿宋"/>
                      <w:bCs/>
                      <w:color w:val="FF0000"/>
                      <w:sz w:val="21"/>
                      <w:szCs w:val="21"/>
                      <w:lang w:val="en-US"/>
                    </w:rPr>
                  </w:pPr>
                  <w:r>
                    <w:rPr>
                      <w:rFonts w:hint="default" w:ascii="Times New Roman" w:hAnsi="Times New Roman" w:eastAsia="仿宋" w:cs="Times New Roman"/>
                      <w:color w:val="FF0000"/>
                      <w:kern w:val="0"/>
                      <w:sz w:val="21"/>
                      <w:szCs w:val="21"/>
                      <w:lang w:val="en-US" w:eastAsia="zh-CN" w:bidi="ar"/>
                    </w:rPr>
                    <w:t>GB 18599-2020</w:t>
                  </w:r>
                  <w:r>
                    <w:rPr>
                      <w:rFonts w:hint="eastAsia" w:ascii="Times New Roman" w:hAnsi="Times New Roman" w:eastAsia="仿宋" w:cs="Times New Roman"/>
                      <w:color w:val="FF0000"/>
                      <w:kern w:val="0"/>
                      <w:sz w:val="21"/>
                      <w:szCs w:val="21"/>
                      <w:lang w:val="en-US" w:eastAsia="zh-CN" w:bidi="ar"/>
                    </w:rPr>
                    <w:t>中相关要求</w:t>
                  </w:r>
                </w:p>
              </w:tc>
              <w:tc>
                <w:tcPr>
                  <w:tcW w:w="1903" w:type="pct"/>
                  <w:noWrap w:val="0"/>
                  <w:vAlign w:val="center"/>
                </w:tcPr>
                <w:p w14:paraId="378866BF">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default" w:eastAsia="仿宋"/>
                      <w:bCs/>
                      <w:color w:val="FF0000"/>
                      <w:sz w:val="21"/>
                      <w:szCs w:val="21"/>
                      <w:lang w:val="en-US" w:eastAsia="zh-CN"/>
                    </w:rPr>
                  </w:pPr>
                  <w:r>
                    <w:rPr>
                      <w:rFonts w:hint="eastAsia" w:eastAsia="仿宋"/>
                      <w:bCs/>
                      <w:color w:val="FF0000"/>
                      <w:sz w:val="21"/>
                      <w:szCs w:val="21"/>
                      <w:lang w:val="en-US" w:eastAsia="zh-CN"/>
                    </w:rPr>
                    <w:t>本项目选址</w:t>
                  </w:r>
                </w:p>
              </w:tc>
              <w:tc>
                <w:tcPr>
                  <w:tcW w:w="737" w:type="pct"/>
                  <w:noWrap w:val="0"/>
                  <w:vAlign w:val="center"/>
                </w:tcPr>
                <w:p w14:paraId="59B61748">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eastAsia" w:eastAsia="仿宋"/>
                      <w:bCs/>
                      <w:color w:val="FF0000"/>
                      <w:sz w:val="21"/>
                      <w:szCs w:val="21"/>
                      <w:lang w:val="en-US" w:eastAsia="zh-CN"/>
                    </w:rPr>
                  </w:pPr>
                  <w:r>
                    <w:rPr>
                      <w:rFonts w:hint="eastAsia" w:eastAsia="仿宋"/>
                      <w:bCs/>
                      <w:color w:val="FF0000"/>
                      <w:sz w:val="21"/>
                      <w:szCs w:val="21"/>
                      <w:lang w:val="en-US" w:eastAsia="zh-CN"/>
                    </w:rPr>
                    <w:t>符合性</w:t>
                  </w:r>
                </w:p>
              </w:tc>
            </w:tr>
            <w:tr w14:paraId="7898F2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358" w:type="pct"/>
                  <w:noWrap w:val="0"/>
                  <w:vAlign w:val="center"/>
                </w:tcPr>
                <w:p w14:paraId="023F74C1">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FF0000"/>
                      <w:sz w:val="21"/>
                      <w:szCs w:val="21"/>
                      <w:lang w:val="en-US" w:eastAsia="zh-CN"/>
                    </w:rPr>
                  </w:pPr>
                  <w:r>
                    <w:rPr>
                      <w:rFonts w:hint="eastAsia" w:ascii="Times New Roman" w:hAnsi="Times New Roman" w:eastAsia="仿宋" w:cs="Times New Roman"/>
                      <w:bCs/>
                      <w:color w:val="FF0000"/>
                      <w:sz w:val="21"/>
                      <w:szCs w:val="21"/>
                      <w:lang w:val="en-US" w:eastAsia="zh-CN"/>
                    </w:rPr>
                    <w:t>不得选在生态保护红线区域、永久基本农田集中区域和其他需要特别保护的区域内。</w:t>
                  </w:r>
                </w:p>
              </w:tc>
              <w:tc>
                <w:tcPr>
                  <w:tcW w:w="1903" w:type="pct"/>
                  <w:noWrap w:val="0"/>
                  <w:vAlign w:val="center"/>
                </w:tcPr>
                <w:p w14:paraId="2D3B38BB">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FF0000"/>
                      <w:sz w:val="21"/>
                      <w:szCs w:val="21"/>
                      <w:lang w:val="en-US" w:eastAsia="zh-CN"/>
                    </w:rPr>
                  </w:pPr>
                  <w:r>
                    <w:rPr>
                      <w:rFonts w:hint="eastAsia" w:ascii="Times New Roman" w:hAnsi="Times New Roman" w:eastAsia="仿宋" w:cs="Times New Roman"/>
                      <w:bCs/>
                      <w:color w:val="FF0000"/>
                      <w:sz w:val="21"/>
                      <w:szCs w:val="21"/>
                      <w:lang w:val="en-US" w:eastAsia="zh-CN"/>
                    </w:rPr>
                    <w:t>本项目排土场不在生态保护红线区域、永久基本农田集中区域和其他需要特别保护的</w:t>
                  </w:r>
                  <w:r>
                    <w:rPr>
                      <w:rFonts w:hint="eastAsia" w:eastAsia="仿宋" w:cs="Times New Roman"/>
                      <w:bCs/>
                      <w:color w:val="FF0000"/>
                      <w:sz w:val="21"/>
                      <w:szCs w:val="21"/>
                      <w:lang w:val="en-US" w:eastAsia="zh-CN"/>
                    </w:rPr>
                    <w:t>区域</w:t>
                  </w:r>
                  <w:r>
                    <w:rPr>
                      <w:rFonts w:hint="eastAsia" w:ascii="Times New Roman" w:hAnsi="Times New Roman" w:eastAsia="仿宋" w:cs="Times New Roman"/>
                      <w:bCs/>
                      <w:color w:val="FF0000"/>
                      <w:sz w:val="21"/>
                      <w:szCs w:val="21"/>
                      <w:lang w:val="en-US" w:eastAsia="zh-CN"/>
                    </w:rPr>
                    <w:t>。</w:t>
                  </w:r>
                </w:p>
              </w:tc>
              <w:tc>
                <w:tcPr>
                  <w:tcW w:w="737" w:type="pct"/>
                  <w:noWrap w:val="0"/>
                  <w:vAlign w:val="center"/>
                </w:tcPr>
                <w:p w14:paraId="0FABEE20">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eastAsia" w:eastAsia="仿宋"/>
                      <w:bCs/>
                      <w:color w:val="FF0000"/>
                      <w:sz w:val="21"/>
                      <w:szCs w:val="21"/>
                      <w:lang w:val="en-US" w:eastAsia="zh-CN"/>
                    </w:rPr>
                  </w:pPr>
                  <w:r>
                    <w:rPr>
                      <w:rFonts w:hint="eastAsia" w:eastAsia="仿宋"/>
                      <w:bCs/>
                      <w:color w:val="FF0000"/>
                      <w:sz w:val="21"/>
                      <w:szCs w:val="21"/>
                      <w:lang w:val="en-US" w:eastAsia="zh-CN"/>
                    </w:rPr>
                    <w:t>符合</w:t>
                  </w:r>
                </w:p>
              </w:tc>
            </w:tr>
            <w:tr w14:paraId="6CA0AF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358" w:type="pct"/>
                  <w:noWrap w:val="0"/>
                  <w:vAlign w:val="center"/>
                </w:tcPr>
                <w:p w14:paraId="52416C1D">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FF0000"/>
                      <w:sz w:val="21"/>
                      <w:szCs w:val="21"/>
                      <w:lang w:val="en-US" w:eastAsia="zh-CN"/>
                    </w:rPr>
                  </w:pPr>
                  <w:r>
                    <w:rPr>
                      <w:rFonts w:hint="eastAsia" w:ascii="Times New Roman" w:hAnsi="Times New Roman" w:eastAsia="仿宋" w:cs="Times New Roman"/>
                      <w:bCs/>
                      <w:color w:val="FF0000"/>
                      <w:sz w:val="21"/>
                      <w:szCs w:val="21"/>
                      <w:lang w:val="en-US" w:eastAsia="zh-CN"/>
                    </w:rPr>
                    <w:t>不得选在江河、湖泊、运河、渠道、水库最高水位线以下的滩地和岸坡，以及国家和地方长远规划中的水库等人工蓄水设施的淹没区和保护区之内。</w:t>
                  </w:r>
                </w:p>
              </w:tc>
              <w:tc>
                <w:tcPr>
                  <w:tcW w:w="1903" w:type="pct"/>
                  <w:noWrap w:val="0"/>
                  <w:vAlign w:val="center"/>
                </w:tcPr>
                <w:p w14:paraId="08F52512">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Cs/>
                      <w:color w:val="FF0000"/>
                      <w:sz w:val="21"/>
                      <w:szCs w:val="21"/>
                      <w:lang w:val="en-US" w:eastAsia="zh-CN"/>
                    </w:rPr>
                  </w:pPr>
                  <w:r>
                    <w:rPr>
                      <w:rFonts w:hint="eastAsia" w:ascii="Times New Roman" w:hAnsi="Times New Roman" w:eastAsia="仿宋" w:cs="Times New Roman"/>
                      <w:bCs/>
                      <w:color w:val="FF0000"/>
                      <w:sz w:val="21"/>
                      <w:szCs w:val="21"/>
                      <w:lang w:val="en-US" w:eastAsia="zh-CN"/>
                    </w:rPr>
                    <w:t>本项目选址不在江河、湖泊、运河、渠道、水库最高水位线以下的滩地和岸坡，以及国家和地方长远规划中的水库等人工蓄水设施的淹没区和保护区之内</w:t>
                  </w:r>
                  <w:r>
                    <w:rPr>
                      <w:rFonts w:hint="eastAsia" w:eastAsia="仿宋" w:cs="Times New Roman"/>
                      <w:bCs/>
                      <w:color w:val="FF0000"/>
                      <w:sz w:val="21"/>
                      <w:szCs w:val="21"/>
                      <w:lang w:val="en-US" w:eastAsia="zh-CN"/>
                    </w:rPr>
                    <w:t>。</w:t>
                  </w:r>
                </w:p>
              </w:tc>
              <w:tc>
                <w:tcPr>
                  <w:tcW w:w="737" w:type="pct"/>
                  <w:noWrap w:val="0"/>
                  <w:vAlign w:val="center"/>
                </w:tcPr>
                <w:p w14:paraId="1EAA63CB">
                  <w:pPr>
                    <w:keepNext w:val="0"/>
                    <w:keepLines w:val="0"/>
                    <w:pageBreakBefore w:val="0"/>
                    <w:widowControl w:val="0"/>
                    <w:tabs>
                      <w:tab w:val="left" w:pos="0"/>
                    </w:tabs>
                    <w:kinsoku/>
                    <w:wordWrap/>
                    <w:overflowPunct/>
                    <w:topLinePunct w:val="0"/>
                    <w:autoSpaceDE/>
                    <w:autoSpaceDN/>
                    <w:bidi w:val="0"/>
                    <w:adjustRightInd w:val="0"/>
                    <w:snapToGrid w:val="0"/>
                    <w:jc w:val="center"/>
                    <w:textAlignment w:val="auto"/>
                    <w:rPr>
                      <w:rFonts w:hint="eastAsia" w:eastAsia="仿宋"/>
                      <w:bCs/>
                      <w:color w:val="FF0000"/>
                      <w:sz w:val="21"/>
                      <w:szCs w:val="21"/>
                      <w:lang w:val="en-US" w:eastAsia="zh-CN"/>
                    </w:rPr>
                  </w:pPr>
                  <w:r>
                    <w:rPr>
                      <w:rFonts w:hint="eastAsia" w:eastAsia="仿宋"/>
                      <w:bCs/>
                      <w:color w:val="FF0000"/>
                      <w:sz w:val="21"/>
                      <w:szCs w:val="21"/>
                      <w:lang w:val="en-US" w:eastAsia="zh-CN"/>
                    </w:rPr>
                    <w:t>符合</w:t>
                  </w:r>
                </w:p>
              </w:tc>
            </w:tr>
          </w:tbl>
          <w:p w14:paraId="253814F7">
            <w:pPr>
              <w:keepNext w:val="0"/>
              <w:keepLines w:val="0"/>
              <w:pageBreakBefore w:val="0"/>
              <w:widowControl/>
              <w:suppressLineNumbers w:val="0"/>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eastAsia" w:ascii="Times New Roman" w:hAnsi="Times New Roman" w:eastAsia="仿宋" w:cs="Times New Roman"/>
                <w:color w:val="FF0000"/>
                <w:kern w:val="0"/>
                <w:sz w:val="24"/>
                <w:szCs w:val="24"/>
                <w:lang w:val="en-US" w:eastAsia="zh-CN" w:bidi="ar"/>
              </w:rPr>
            </w:pPr>
            <w:r>
              <w:rPr>
                <w:rFonts w:hint="eastAsia" w:ascii="Times New Roman" w:hAnsi="Times New Roman" w:eastAsia="仿宋" w:cs="Times New Roman"/>
                <w:color w:val="FF0000"/>
                <w:kern w:val="0"/>
                <w:sz w:val="24"/>
                <w:szCs w:val="24"/>
                <w:lang w:val="en-US" w:eastAsia="zh-CN" w:bidi="ar"/>
              </w:rPr>
              <w:t>由以上分析可知，本项目排土场选址符合《一般工业固体废物贮存和填埋污染控制标准》（</w:t>
            </w:r>
            <w:r>
              <w:rPr>
                <w:rFonts w:hint="default" w:ascii="Times New Roman" w:hAnsi="Times New Roman" w:eastAsia="仿宋" w:cs="Times New Roman"/>
                <w:color w:val="FF0000"/>
                <w:kern w:val="0"/>
                <w:sz w:val="24"/>
                <w:szCs w:val="24"/>
                <w:lang w:val="en-US" w:eastAsia="zh-CN" w:bidi="ar"/>
              </w:rPr>
              <w:t>GB 18599-2020</w:t>
            </w:r>
            <w:r>
              <w:rPr>
                <w:rFonts w:hint="eastAsia" w:ascii="Times New Roman" w:hAnsi="Times New Roman" w:eastAsia="仿宋" w:cs="Times New Roman"/>
                <w:color w:val="FF0000"/>
                <w:kern w:val="0"/>
                <w:sz w:val="24"/>
                <w:szCs w:val="24"/>
                <w:lang w:val="en-US" w:eastAsia="zh-CN" w:bidi="ar"/>
              </w:rPr>
              <w:t>）中相关选址要求。</w:t>
            </w:r>
          </w:p>
          <w:p w14:paraId="65AACDF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kern w:val="0"/>
                <w:sz w:val="24"/>
                <w:szCs w:val="24"/>
                <w:lang w:val="en-US" w:eastAsia="zh-CN" w:bidi="ar"/>
              </w:rPr>
            </w:pPr>
            <w:r>
              <w:rPr>
                <w:rFonts w:hint="eastAsia" w:ascii="Times New Roman" w:hAnsi="Times New Roman" w:eastAsia="仿宋" w:cs="Times New Roman"/>
                <w:color w:val="FF0000"/>
                <w:kern w:val="0"/>
                <w:sz w:val="24"/>
                <w:szCs w:val="24"/>
                <w:lang w:val="en-US" w:eastAsia="zh-CN" w:bidi="ar"/>
              </w:rPr>
              <w:t>根据现场调查，本项目设置排土场</w:t>
            </w:r>
            <w:r>
              <w:rPr>
                <w:rFonts w:hint="eastAsia" w:eastAsia="仿宋" w:cs="Times New Roman"/>
                <w:color w:val="FF0000"/>
                <w:kern w:val="0"/>
                <w:sz w:val="24"/>
                <w:szCs w:val="24"/>
                <w:lang w:val="en-US" w:eastAsia="zh-CN" w:bidi="ar"/>
              </w:rPr>
              <w:t>2</w:t>
            </w:r>
            <w:r>
              <w:rPr>
                <w:rFonts w:hint="eastAsia" w:ascii="Times New Roman" w:hAnsi="Times New Roman" w:eastAsia="仿宋" w:cs="Times New Roman"/>
                <w:color w:val="FF0000"/>
                <w:kern w:val="0"/>
                <w:sz w:val="24"/>
                <w:szCs w:val="24"/>
                <w:lang w:val="en-US" w:eastAsia="zh-CN" w:bidi="ar"/>
              </w:rPr>
              <w:t>处，</w:t>
            </w:r>
            <w:r>
              <w:rPr>
                <w:rFonts w:hint="eastAsia" w:eastAsia="仿宋" w:cs="Times New Roman"/>
                <w:color w:val="FF0000"/>
                <w:kern w:val="0"/>
                <w:sz w:val="24"/>
                <w:szCs w:val="24"/>
                <w:lang w:val="en-US" w:eastAsia="zh-CN" w:bidi="ar"/>
              </w:rPr>
              <w:t>位于</w:t>
            </w:r>
            <w:r>
              <w:rPr>
                <w:rFonts w:hint="eastAsia" w:ascii="Times New Roman" w:hAnsi="Times New Roman" w:eastAsia="仿宋" w:cs="Times New Roman"/>
                <w:color w:val="FF0000"/>
                <w:kern w:val="0"/>
                <w:sz w:val="24"/>
                <w:szCs w:val="24"/>
                <w:lang w:val="en-US" w:eastAsia="zh-CN" w:bidi="ar"/>
              </w:rPr>
              <w:t>矿区内中部偏南侧</w:t>
            </w:r>
            <w:r>
              <w:rPr>
                <w:rFonts w:hint="eastAsia" w:eastAsia="仿宋" w:cs="Times New Roman"/>
                <w:color w:val="FF0000"/>
                <w:kern w:val="0"/>
                <w:sz w:val="24"/>
                <w:szCs w:val="24"/>
                <w:lang w:val="en-US" w:eastAsia="zh-CN" w:bidi="ar"/>
              </w:rPr>
              <w:t>和矿区内东北侧</w:t>
            </w:r>
            <w:r>
              <w:rPr>
                <w:rFonts w:hint="eastAsia" w:ascii="Times New Roman" w:hAnsi="Times New Roman" w:eastAsia="仿宋" w:cs="Times New Roman"/>
                <w:color w:val="FF0000"/>
                <w:kern w:val="0"/>
                <w:sz w:val="24"/>
                <w:szCs w:val="24"/>
                <w:lang w:val="en-US" w:eastAsia="zh-CN" w:bidi="ar"/>
              </w:rPr>
              <w:t>，</w:t>
            </w:r>
            <w:r>
              <w:rPr>
                <w:rFonts w:hint="eastAsia" w:eastAsia="仿宋" w:cs="Times New Roman"/>
                <w:color w:val="FF0000"/>
                <w:kern w:val="0"/>
                <w:sz w:val="24"/>
                <w:szCs w:val="24"/>
                <w:lang w:val="en-US" w:eastAsia="zh-CN" w:bidi="ar"/>
              </w:rPr>
              <w:t>占地性质为采矿用地，</w:t>
            </w:r>
            <w:r>
              <w:rPr>
                <w:rFonts w:hint="eastAsia" w:ascii="Times New Roman" w:hAnsi="Times New Roman" w:eastAsia="仿宋" w:cs="Times New Roman"/>
                <w:color w:val="FF0000"/>
                <w:kern w:val="0"/>
                <w:sz w:val="24"/>
                <w:szCs w:val="24"/>
                <w:lang w:val="en-US" w:eastAsia="zh-CN" w:bidi="ar"/>
              </w:rPr>
              <w:t>排土场</w:t>
            </w:r>
            <w:r>
              <w:rPr>
                <w:rFonts w:hint="eastAsia" w:eastAsia="仿宋" w:cs="Times New Roman"/>
                <w:color w:val="FF0000"/>
                <w:kern w:val="0"/>
                <w:sz w:val="24"/>
                <w:szCs w:val="24"/>
                <w:lang w:val="en-US" w:eastAsia="zh-CN" w:bidi="ar"/>
              </w:rPr>
              <w:t>2500m范围内无敏感点，因此，排土场粉尘对周围环境影响较小</w:t>
            </w:r>
            <w:r>
              <w:rPr>
                <w:rFonts w:hint="eastAsia" w:ascii="Times New Roman" w:hAnsi="Times New Roman" w:eastAsia="仿宋" w:cs="Times New Roman"/>
                <w:color w:val="FF0000"/>
                <w:kern w:val="0"/>
                <w:sz w:val="24"/>
                <w:szCs w:val="24"/>
                <w:lang w:val="en-US" w:eastAsia="zh-CN" w:bidi="ar"/>
              </w:rPr>
              <w:t>。</w:t>
            </w:r>
          </w:p>
          <w:p w14:paraId="036559D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FF0000"/>
                <w:kern w:val="0"/>
                <w:sz w:val="24"/>
                <w:szCs w:val="24"/>
                <w:vertAlign w:val="baseline"/>
                <w:lang w:val="en-US" w:eastAsia="zh-CN" w:bidi="ar"/>
              </w:rPr>
            </w:pPr>
            <w:r>
              <w:rPr>
                <w:rFonts w:hint="eastAsia" w:ascii="Times New Roman" w:hAnsi="Times New Roman" w:eastAsia="仿宋" w:cs="Times New Roman"/>
                <w:color w:val="FF0000"/>
                <w:sz w:val="24"/>
                <w:highlight w:val="none"/>
                <w:lang w:val="en-US" w:eastAsia="zh-CN"/>
              </w:rPr>
              <w:t>本项目表土剥离量</w:t>
            </w:r>
            <w:r>
              <w:rPr>
                <w:rFonts w:hint="eastAsia" w:eastAsia="仿宋" w:cs="Times New Roman"/>
                <w:color w:val="FF0000"/>
                <w:sz w:val="24"/>
                <w:highlight w:val="none"/>
                <w:lang w:val="en-US" w:eastAsia="zh-CN"/>
              </w:rPr>
              <w:t>15</w:t>
            </w:r>
            <w:r>
              <w:rPr>
                <w:rFonts w:hint="eastAsia" w:eastAsia="仿宋" w:cs="Times New Roman"/>
                <w:color w:val="FF0000"/>
                <w:kern w:val="0"/>
                <w:sz w:val="24"/>
                <w:szCs w:val="24"/>
                <w:lang w:val="en-US" w:eastAsia="zh-CN" w:bidi="ar"/>
              </w:rPr>
              <w:t>×10</w:t>
            </w:r>
            <w:r>
              <w:rPr>
                <w:rFonts w:hint="eastAsia" w:eastAsia="仿宋" w:cs="Times New Roman"/>
                <w:color w:val="FF0000"/>
                <w:kern w:val="0"/>
                <w:sz w:val="24"/>
                <w:szCs w:val="24"/>
                <w:vertAlign w:val="superscript"/>
                <w:lang w:val="en-US" w:eastAsia="zh-CN" w:bidi="ar"/>
              </w:rPr>
              <w:t>4</w:t>
            </w:r>
            <w:r>
              <w:rPr>
                <w:rFonts w:hint="default" w:ascii="Times New Roman" w:hAnsi="Times New Roman" w:eastAsia="仿宋" w:cs="Times New Roman"/>
                <w:color w:val="FF0000"/>
                <w:sz w:val="24"/>
                <w:highlight w:val="none"/>
                <w:lang w:val="en-US" w:eastAsia="zh-CN"/>
              </w:rPr>
              <w:t>m</w:t>
            </w:r>
            <w:r>
              <w:rPr>
                <w:rFonts w:hint="default" w:ascii="Times New Roman" w:hAnsi="Times New Roman" w:eastAsia="仿宋" w:cs="Times New Roman"/>
                <w:color w:val="FF0000"/>
                <w:sz w:val="24"/>
                <w:highlight w:val="none"/>
                <w:vertAlign w:val="superscript"/>
                <w:lang w:val="en-US" w:eastAsia="zh-CN"/>
              </w:rPr>
              <w:t>3</w:t>
            </w:r>
            <w:r>
              <w:rPr>
                <w:rFonts w:hint="eastAsia" w:ascii="Times New Roman" w:hAnsi="Times New Roman" w:eastAsia="仿宋" w:cs="Times New Roman"/>
                <w:color w:val="FF0000"/>
                <w:sz w:val="24"/>
                <w:highlight w:val="none"/>
                <w:lang w:val="en-US" w:eastAsia="zh-CN"/>
              </w:rPr>
              <w:t>，</w:t>
            </w:r>
            <w:r>
              <w:rPr>
                <w:rFonts w:hint="eastAsia" w:eastAsia="仿宋" w:cs="Times New Roman"/>
                <w:color w:val="FF0000"/>
                <w:sz w:val="24"/>
                <w:highlight w:val="none"/>
                <w:lang w:val="en-US" w:eastAsia="zh-CN"/>
              </w:rPr>
              <w:t>废石剥离量为218.46万m</w:t>
            </w:r>
            <w:r>
              <w:rPr>
                <w:rFonts w:hint="eastAsia" w:eastAsia="仿宋" w:cs="Times New Roman"/>
                <w:color w:val="FF0000"/>
                <w:sz w:val="24"/>
                <w:highlight w:val="none"/>
                <w:vertAlign w:val="superscript"/>
                <w:lang w:val="en-US" w:eastAsia="zh-CN"/>
              </w:rPr>
              <w:t>3</w:t>
            </w:r>
            <w:r>
              <w:rPr>
                <w:rFonts w:hint="eastAsia" w:eastAsia="仿宋" w:cs="Times New Roman"/>
                <w:color w:val="FF0000"/>
                <w:sz w:val="24"/>
                <w:highlight w:val="none"/>
                <w:lang w:val="en-US" w:eastAsia="zh-CN"/>
              </w:rPr>
              <w:t>，1#</w:t>
            </w:r>
            <w:r>
              <w:rPr>
                <w:rFonts w:hint="eastAsia" w:ascii="Times New Roman" w:hAnsi="Times New Roman" w:eastAsia="仿宋" w:cs="Times New Roman"/>
                <w:color w:val="FF0000"/>
                <w:kern w:val="0"/>
                <w:sz w:val="24"/>
                <w:szCs w:val="24"/>
                <w:lang w:val="en-US" w:eastAsia="zh-CN" w:bidi="ar"/>
              </w:rPr>
              <w:t>排土场容积为</w:t>
            </w:r>
            <w:r>
              <w:rPr>
                <w:rFonts w:hint="eastAsia" w:eastAsia="仿宋" w:cs="Times New Roman"/>
                <w:color w:val="FF0000"/>
                <w:kern w:val="0"/>
                <w:sz w:val="24"/>
                <w:szCs w:val="24"/>
                <w:lang w:val="en-US" w:eastAsia="zh-CN" w:bidi="ar"/>
              </w:rPr>
              <w:t>100×10</w:t>
            </w:r>
            <w:r>
              <w:rPr>
                <w:rFonts w:hint="eastAsia" w:eastAsia="仿宋" w:cs="Times New Roman"/>
                <w:color w:val="FF0000"/>
                <w:kern w:val="0"/>
                <w:sz w:val="24"/>
                <w:szCs w:val="24"/>
                <w:vertAlign w:val="superscript"/>
                <w:lang w:val="en-US" w:eastAsia="zh-CN" w:bidi="ar"/>
              </w:rPr>
              <w:t>4</w:t>
            </w:r>
            <w:r>
              <w:rPr>
                <w:rFonts w:hint="eastAsia" w:eastAsia="仿宋" w:cs="Times New Roman"/>
                <w:color w:val="FF0000"/>
                <w:kern w:val="0"/>
                <w:sz w:val="24"/>
                <w:szCs w:val="24"/>
                <w:lang w:val="en-US" w:eastAsia="zh-CN" w:bidi="ar"/>
              </w:rPr>
              <w:t>m</w:t>
            </w:r>
            <w:r>
              <w:rPr>
                <w:rFonts w:hint="eastAsia" w:eastAsia="仿宋" w:cs="Times New Roman"/>
                <w:color w:val="FF0000"/>
                <w:kern w:val="0"/>
                <w:sz w:val="24"/>
                <w:szCs w:val="24"/>
                <w:vertAlign w:val="superscript"/>
                <w:lang w:val="en-US" w:eastAsia="zh-CN" w:bidi="ar"/>
              </w:rPr>
              <w:t>3</w:t>
            </w:r>
            <w:r>
              <w:rPr>
                <w:rFonts w:hint="eastAsia" w:eastAsia="仿宋" w:cs="Times New Roman"/>
                <w:color w:val="FF0000"/>
                <w:kern w:val="0"/>
                <w:sz w:val="24"/>
                <w:szCs w:val="24"/>
                <w:vertAlign w:val="baseline"/>
                <w:lang w:val="en-US" w:eastAsia="zh-CN" w:bidi="ar"/>
              </w:rPr>
              <w:t>，2#排土场容积为150</w:t>
            </w:r>
            <w:r>
              <w:rPr>
                <w:rFonts w:hint="eastAsia" w:eastAsia="仿宋" w:cs="Times New Roman"/>
                <w:color w:val="FF0000"/>
                <w:kern w:val="0"/>
                <w:sz w:val="24"/>
                <w:szCs w:val="24"/>
                <w:lang w:val="en-US" w:eastAsia="zh-CN" w:bidi="ar"/>
              </w:rPr>
              <w:t>×10</w:t>
            </w:r>
            <w:r>
              <w:rPr>
                <w:rFonts w:hint="eastAsia" w:eastAsia="仿宋" w:cs="Times New Roman"/>
                <w:color w:val="FF0000"/>
                <w:kern w:val="0"/>
                <w:sz w:val="24"/>
                <w:szCs w:val="24"/>
                <w:vertAlign w:val="superscript"/>
                <w:lang w:val="en-US" w:eastAsia="zh-CN" w:bidi="ar"/>
              </w:rPr>
              <w:t>4</w:t>
            </w:r>
            <w:r>
              <w:rPr>
                <w:rFonts w:hint="eastAsia" w:eastAsia="仿宋" w:cs="Times New Roman"/>
                <w:color w:val="FF0000"/>
                <w:kern w:val="0"/>
                <w:sz w:val="24"/>
                <w:szCs w:val="24"/>
                <w:lang w:val="en-US" w:eastAsia="zh-CN" w:bidi="ar"/>
              </w:rPr>
              <w:t>m</w:t>
            </w:r>
            <w:r>
              <w:rPr>
                <w:rFonts w:hint="eastAsia" w:eastAsia="仿宋" w:cs="Times New Roman"/>
                <w:color w:val="FF0000"/>
                <w:kern w:val="0"/>
                <w:sz w:val="24"/>
                <w:szCs w:val="24"/>
                <w:vertAlign w:val="superscript"/>
                <w:lang w:val="en-US" w:eastAsia="zh-CN" w:bidi="ar"/>
              </w:rPr>
              <w:t>3</w:t>
            </w:r>
            <w:r>
              <w:rPr>
                <w:rFonts w:hint="eastAsia" w:eastAsia="仿宋" w:cs="Times New Roman"/>
                <w:color w:val="FF0000"/>
                <w:kern w:val="0"/>
                <w:sz w:val="24"/>
                <w:szCs w:val="24"/>
                <w:vertAlign w:val="baseline"/>
                <w:lang w:val="en-US" w:eastAsia="zh-CN" w:bidi="ar"/>
              </w:rPr>
              <w:t>，可以容纳本项目产生的表土和废石。</w:t>
            </w:r>
          </w:p>
          <w:p w14:paraId="2B497AC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kern w:val="0"/>
                <w:sz w:val="24"/>
                <w:szCs w:val="24"/>
                <w:lang w:val="en-US" w:eastAsia="zh-CN" w:bidi="ar"/>
              </w:rPr>
            </w:pPr>
            <w:r>
              <w:rPr>
                <w:rFonts w:hint="eastAsia" w:eastAsia="仿宋" w:cs="Times New Roman"/>
                <w:color w:val="FF0000"/>
                <w:sz w:val="24"/>
                <w:highlight w:val="none"/>
                <w:lang w:val="en-US" w:eastAsia="zh-CN"/>
              </w:rPr>
              <w:t>根据《</w:t>
            </w:r>
            <w:r>
              <w:rPr>
                <w:rFonts w:hint="default" w:ascii="Times New Roman" w:hAnsi="Times New Roman" w:eastAsia="仿宋" w:cs="Times New Roman"/>
                <w:color w:val="FF0000"/>
                <w:spacing w:val="0"/>
                <w:kern w:val="0"/>
                <w:position w:val="0"/>
                <w:sz w:val="24"/>
                <w:szCs w:val="24"/>
                <w:highlight w:val="none"/>
                <w:lang w:val="en-US" w:eastAsia="zh-CN" w:bidi="ar"/>
              </w:rPr>
              <w:t>临泽县金源矿业有限责任公司平川镇羊圈湾冶金用石英岩矿</w:t>
            </w:r>
            <w:r>
              <w:rPr>
                <w:rFonts w:hint="eastAsia" w:ascii="Times New Roman" w:hAnsi="Times New Roman" w:eastAsia="仿宋" w:cs="Times New Roman"/>
                <w:color w:val="FF0000"/>
                <w:spacing w:val="0"/>
                <w:kern w:val="0"/>
                <w:position w:val="0"/>
                <w:sz w:val="24"/>
                <w:szCs w:val="24"/>
                <w:highlight w:val="none"/>
                <w:lang w:val="en-US" w:eastAsia="zh-CN" w:bidi="ar"/>
              </w:rPr>
              <w:t>开采方案</w:t>
            </w:r>
            <w:r>
              <w:rPr>
                <w:rFonts w:hint="default" w:ascii="Times New Roman" w:hAnsi="Times New Roman" w:eastAsia="仿宋" w:cs="Times New Roman"/>
                <w:color w:val="FF0000"/>
                <w:spacing w:val="0"/>
                <w:kern w:val="0"/>
                <w:position w:val="0"/>
                <w:sz w:val="24"/>
                <w:szCs w:val="24"/>
                <w:highlight w:val="none"/>
                <w:lang w:val="en-US" w:eastAsia="zh-CN" w:bidi="ar"/>
              </w:rPr>
              <w:t>与</w:t>
            </w:r>
            <w:r>
              <w:rPr>
                <w:rFonts w:hint="eastAsia" w:ascii="Times New Roman" w:hAnsi="Times New Roman" w:eastAsia="仿宋" w:cs="Times New Roman"/>
                <w:color w:val="FF0000"/>
                <w:spacing w:val="0"/>
                <w:kern w:val="0"/>
                <w:position w:val="0"/>
                <w:sz w:val="24"/>
                <w:szCs w:val="24"/>
                <w:highlight w:val="none"/>
                <w:lang w:val="en-US" w:eastAsia="zh-CN" w:bidi="ar"/>
              </w:rPr>
              <w:t>矿区生态修复</w:t>
            </w:r>
            <w:r>
              <w:rPr>
                <w:rFonts w:hint="default" w:ascii="Times New Roman" w:hAnsi="Times New Roman" w:eastAsia="仿宋" w:cs="Times New Roman"/>
                <w:color w:val="FF0000"/>
                <w:spacing w:val="0"/>
                <w:kern w:val="0"/>
                <w:position w:val="0"/>
                <w:sz w:val="24"/>
                <w:szCs w:val="24"/>
                <w:highlight w:val="none"/>
                <w:lang w:val="en-US" w:eastAsia="zh-CN" w:bidi="ar"/>
              </w:rPr>
              <w:t>方案</w:t>
            </w:r>
            <w:r>
              <w:rPr>
                <w:rFonts w:hint="eastAsia" w:eastAsia="仿宋" w:cs="Times New Roman"/>
                <w:color w:val="FF0000"/>
                <w:sz w:val="24"/>
                <w:highlight w:val="none"/>
                <w:lang w:val="en-US" w:eastAsia="zh-CN"/>
              </w:rPr>
              <w:t>》，本项目采用边开采、边恢复的生态治理措施，剥离表土和剥离废石定期及时用于矿山生态修复</w:t>
            </w:r>
            <w:r>
              <w:rPr>
                <w:rFonts w:hint="eastAsia" w:eastAsia="仿宋" w:cs="Times New Roman"/>
                <w:color w:val="FF0000"/>
                <w:kern w:val="0"/>
                <w:sz w:val="24"/>
                <w:szCs w:val="24"/>
                <w:vertAlign w:val="baseline"/>
                <w:lang w:val="en-US" w:eastAsia="zh-CN" w:bidi="ar"/>
              </w:rPr>
              <w:t>。</w:t>
            </w:r>
          </w:p>
          <w:p w14:paraId="16019E92">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仿宋" w:cs="Times New Roman"/>
                <w:color w:val="000000"/>
                <w:kern w:val="0"/>
                <w:sz w:val="24"/>
                <w:szCs w:val="24"/>
                <w:lang w:val="en-US" w:eastAsia="zh-CN" w:bidi="ar"/>
              </w:rPr>
            </w:pPr>
          </w:p>
          <w:p w14:paraId="05E38C60">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仿宋" w:cs="Times New Roman"/>
                <w:color w:val="000000"/>
                <w:kern w:val="0"/>
                <w:sz w:val="24"/>
                <w:szCs w:val="24"/>
                <w:lang w:val="en-US" w:eastAsia="zh-CN" w:bidi="ar"/>
              </w:rPr>
            </w:pPr>
          </w:p>
          <w:p w14:paraId="772293B0">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仿宋" w:cs="Times New Roman"/>
                <w:color w:val="000000"/>
                <w:kern w:val="0"/>
                <w:sz w:val="24"/>
                <w:szCs w:val="24"/>
                <w:lang w:val="en-US" w:eastAsia="zh-CN" w:bidi="ar"/>
              </w:rPr>
            </w:pPr>
          </w:p>
          <w:p w14:paraId="72C763D2">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仿宋" w:cs="Times New Roman"/>
                <w:color w:val="000000"/>
                <w:kern w:val="0"/>
                <w:sz w:val="24"/>
                <w:szCs w:val="24"/>
                <w:lang w:val="en-US" w:eastAsia="zh-CN" w:bidi="ar"/>
              </w:rPr>
            </w:pPr>
          </w:p>
          <w:p w14:paraId="541C1083">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仿宋" w:cs="Times New Roman"/>
                <w:color w:val="000000"/>
                <w:kern w:val="0"/>
                <w:sz w:val="24"/>
                <w:szCs w:val="24"/>
                <w:lang w:val="en-US" w:eastAsia="zh-CN" w:bidi="ar"/>
              </w:rPr>
            </w:pPr>
          </w:p>
          <w:p w14:paraId="2769AD6C">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仿宋" w:cs="Times New Roman"/>
                <w:color w:val="000000"/>
                <w:kern w:val="0"/>
                <w:sz w:val="24"/>
                <w:szCs w:val="24"/>
                <w:lang w:val="en-US" w:eastAsia="zh-CN" w:bidi="ar"/>
              </w:rPr>
            </w:pPr>
          </w:p>
          <w:p w14:paraId="48C9DCB2">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仿宋" w:cs="Times New Roman"/>
                <w:color w:val="000000"/>
                <w:kern w:val="0"/>
                <w:sz w:val="24"/>
                <w:szCs w:val="24"/>
                <w:lang w:val="en-US" w:eastAsia="zh-CN" w:bidi="ar"/>
              </w:rPr>
            </w:pPr>
          </w:p>
        </w:tc>
      </w:tr>
    </w:tbl>
    <w:p w14:paraId="3EF09E0F">
      <w:pPr>
        <w:pStyle w:val="20"/>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default" w:ascii="Times New Roman" w:hAnsi="Times New Roman" w:eastAsia="仿宋" w:cs="Times New Roman"/>
          <w:snapToGrid w:val="0"/>
          <w:color w:val="auto"/>
          <w:sz w:val="30"/>
          <w:szCs w:val="30"/>
          <w:highlight w:val="none"/>
          <w:lang w:val="en-US" w:eastAsia="zh-CN"/>
        </w:rPr>
      </w:pPr>
      <w:r>
        <w:rPr>
          <w:rFonts w:hint="default" w:ascii="Times New Roman" w:hAnsi="Times New Roman" w:eastAsia="仿宋" w:cs="Times New Roman"/>
          <w:snapToGrid w:val="0"/>
          <w:color w:val="auto"/>
          <w:sz w:val="30"/>
          <w:szCs w:val="30"/>
          <w:highlight w:val="none"/>
          <w:lang w:val="en-US" w:eastAsia="zh-CN"/>
        </w:rPr>
        <w:t>五、主要生态环境保护措施</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1ACD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711" w:type="dxa"/>
            <w:vAlign w:val="center"/>
          </w:tcPr>
          <w:p w14:paraId="560F07D5">
            <w:pPr>
              <w:bidi w:val="0"/>
              <w:jc w:val="center"/>
              <w:rPr>
                <w:rFonts w:hint="default" w:ascii="Times New Roman" w:hAnsi="Times New Roman" w:eastAsia="仿宋" w:cs="Times New Roman"/>
                <w:color w:val="auto"/>
                <w:highlight w:val="none"/>
                <w:vertAlign w:val="baseline"/>
                <w:lang w:val="en-US" w:eastAsia="zh-CN"/>
              </w:rPr>
            </w:pPr>
            <w:r>
              <w:rPr>
                <w:rFonts w:hint="default" w:ascii="Times New Roman" w:hAnsi="Times New Roman" w:eastAsia="仿宋" w:cs="Times New Roman"/>
                <w:color w:val="auto"/>
                <w:spacing w:val="0"/>
                <w:sz w:val="24"/>
                <w:highlight w:val="none"/>
                <w:lang w:val="en-US" w:eastAsia="zh-CN"/>
              </w:rPr>
              <w:t>施工期生态环境保护措施</w:t>
            </w:r>
          </w:p>
        </w:tc>
        <w:tc>
          <w:tcPr>
            <w:tcW w:w="7811" w:type="dxa"/>
            <w:vAlign w:val="center"/>
          </w:tcPr>
          <w:p w14:paraId="3D1BCA49">
            <w:pPr>
              <w:adjustRightInd w:val="0"/>
              <w:snapToGrid w:val="0"/>
              <w:spacing w:line="360" w:lineRule="auto"/>
              <w:ind w:firstLine="482" w:firstLineChars="200"/>
              <w:rPr>
                <w:rFonts w:hint="default" w:ascii="Times New Roman" w:hAnsi="Times New Roman" w:eastAsia="仿宋" w:cs="Times New Roman"/>
                <w:bCs/>
                <w:color w:val="000000"/>
                <w:sz w:val="24"/>
              </w:rPr>
            </w:pPr>
            <w:bookmarkStart w:id="41" w:name="_Hlk114240513"/>
            <w:r>
              <w:rPr>
                <w:rFonts w:hint="eastAsia" w:eastAsia="仿宋" w:cs="Times New Roman"/>
                <w:b/>
                <w:color w:val="000000"/>
                <w:sz w:val="24"/>
                <w:lang w:eastAsia="zh-CN"/>
              </w:rPr>
              <w:t>1.</w:t>
            </w:r>
            <w:r>
              <w:rPr>
                <w:rFonts w:hint="default" w:ascii="Times New Roman" w:hAnsi="Times New Roman" w:eastAsia="仿宋" w:cs="Times New Roman"/>
                <w:b/>
                <w:color w:val="000000"/>
                <w:sz w:val="24"/>
              </w:rPr>
              <w:t>施工期生态环境保护措施</w:t>
            </w:r>
          </w:p>
          <w:p w14:paraId="73DC6764">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 xml:space="preserve">针对评价区特殊的环境条件以及植被类型特征，尽量减少人为扰动，避免二次干扰的生态保护经验，降低工程施工期对周围生态环境的影响，本次环评提出以下生态保护措施： </w:t>
            </w:r>
          </w:p>
          <w:p w14:paraId="4BF86590">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⑴加强施工管理，严格划定施工范围，与保护植物留出一定的缓冲区，尽量缩小施工扰动范围，确保施工活动不占用植物生长地。各种施工活动应严格控制在施工区域内，减少临时占地</w:t>
            </w:r>
            <w:r>
              <w:rPr>
                <w:rFonts w:hint="eastAsia" w:ascii="Times New Roman" w:hAnsi="Times New Roman" w:eastAsia="仿宋" w:cs="Times New Roman"/>
                <w:color w:val="000000"/>
                <w:sz w:val="24"/>
                <w:lang w:val="en-US" w:eastAsia="zh-CN"/>
              </w:rPr>
              <w:t>。</w:t>
            </w:r>
            <w:r>
              <w:rPr>
                <w:rFonts w:hint="default" w:ascii="Times New Roman" w:hAnsi="Times New Roman" w:eastAsia="仿宋" w:cs="Times New Roman"/>
                <w:color w:val="000000"/>
                <w:sz w:val="24"/>
                <w:lang w:val="en-US" w:eastAsia="zh-CN"/>
              </w:rPr>
              <w:t xml:space="preserve"> </w:t>
            </w:r>
          </w:p>
          <w:p w14:paraId="00BB56E4">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 xml:space="preserve">⑵施工现场设专人进行管理，设警示牌，警示或者提示施工人员和工作人员在施工过程中发现野生植物，要自觉保护，提醒施工人员依法保护自然资源。 </w:t>
            </w:r>
          </w:p>
          <w:p w14:paraId="3785854F">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 xml:space="preserve">⑶合理计划，加快施工进度，减少破土面积及扰动时间，以降低水土流失量；施工中弃土弃渣、废弃的泥浆应及时清理，防止沟渠堵塞；施工中泥土洒落或运输车辆行驶造成沟渠淤塞或水利排灌设施破坏时，应及时清除或恢复。 </w:t>
            </w:r>
          </w:p>
          <w:p w14:paraId="13EB3080">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⑷合理规划，采取永临结合的施工方式</w:t>
            </w:r>
            <w:r>
              <w:rPr>
                <w:rFonts w:hint="eastAsia" w:ascii="Times New Roman" w:hAnsi="Times New Roman" w:eastAsia="仿宋" w:cs="Times New Roman"/>
                <w:color w:val="000000"/>
                <w:sz w:val="24"/>
                <w:lang w:val="en-US" w:eastAsia="zh-CN"/>
              </w:rPr>
              <w:t>。</w:t>
            </w:r>
            <w:r>
              <w:rPr>
                <w:rFonts w:hint="default" w:ascii="Times New Roman" w:hAnsi="Times New Roman" w:eastAsia="仿宋" w:cs="Times New Roman"/>
                <w:color w:val="000000"/>
                <w:sz w:val="24"/>
                <w:lang w:val="en-US" w:eastAsia="zh-CN"/>
              </w:rPr>
              <w:t xml:space="preserve"> </w:t>
            </w:r>
          </w:p>
          <w:p w14:paraId="4A6BCB1C">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⑸对施工人员进行环境保护教育、生物多样性保护教育及有关</w:t>
            </w:r>
            <w:r>
              <w:rPr>
                <w:rFonts w:hint="eastAsia" w:ascii="Times New Roman" w:hAnsi="Times New Roman" w:eastAsia="仿宋" w:cs="Times New Roman"/>
                <w:color w:val="000000"/>
                <w:sz w:val="24"/>
                <w:lang w:val="en-US" w:eastAsia="zh-CN"/>
              </w:rPr>
              <w:t>法律法规</w:t>
            </w:r>
            <w:r>
              <w:rPr>
                <w:rFonts w:hint="default" w:ascii="Times New Roman" w:hAnsi="Times New Roman" w:eastAsia="仿宋" w:cs="Times New Roman"/>
                <w:color w:val="000000"/>
                <w:sz w:val="24"/>
                <w:lang w:val="en-US" w:eastAsia="zh-CN"/>
              </w:rPr>
              <w:t xml:space="preserve">的宣传教育。严禁施工人员随意破坏施工区周边土地。应加强对施工人员的宣传教育，不得随意进入周边保护区惊扰或捕杀野生动物。 </w:t>
            </w:r>
          </w:p>
          <w:p w14:paraId="64B8BAE9">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 xml:space="preserve">⑹对临时占地在施工完成后立即恢复。 </w:t>
            </w:r>
          </w:p>
          <w:p w14:paraId="6C79C2ED">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 xml:space="preserve">⑺结合施工要求及工业场地平面布置，确保短期内完成工业场地平整、美化工程。 </w:t>
            </w:r>
          </w:p>
          <w:p w14:paraId="78C588FD">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通过采取以上措施，建设期对生态环境的影响较小。</w:t>
            </w:r>
          </w:p>
          <w:p w14:paraId="0D86955F">
            <w:pPr>
              <w:adjustRightInd w:val="0"/>
              <w:snapToGrid w:val="0"/>
              <w:spacing w:line="360" w:lineRule="auto"/>
              <w:ind w:firstLine="482" w:firstLineChars="200"/>
              <w:rPr>
                <w:rFonts w:eastAsia="仿宋"/>
                <w:b/>
                <w:color w:val="000000"/>
                <w:sz w:val="24"/>
              </w:rPr>
            </w:pPr>
            <w:r>
              <w:rPr>
                <w:rFonts w:hint="eastAsia" w:eastAsia="仿宋"/>
                <w:b/>
                <w:color w:val="000000"/>
                <w:sz w:val="24"/>
                <w:lang w:eastAsia="zh-CN"/>
              </w:rPr>
              <w:t>2.</w:t>
            </w:r>
            <w:r>
              <w:rPr>
                <w:rFonts w:eastAsia="仿宋"/>
                <w:b/>
                <w:color w:val="000000"/>
                <w:sz w:val="24"/>
              </w:rPr>
              <w:t>施工期大气环境保护措施</w:t>
            </w:r>
          </w:p>
          <w:p w14:paraId="7EE96EA2">
            <w:pPr>
              <w:adjustRightInd w:val="0"/>
              <w:snapToGrid w:val="0"/>
              <w:spacing w:line="360" w:lineRule="auto"/>
              <w:ind w:firstLine="480" w:firstLineChars="200"/>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本项目在施工过程中，各种施工机械和运输车辆排放的废气、施工活动产生扬尘等都会对施工现场及周围产生一定的不利影响。施工活动产生扬尘污染与具体施工活动、施工区作业面积、施工方式、气候气象等因素密切相关，而且施工管理水平和相应的扬尘污染控制措施是否得当，对施工期扬尘污染的产生源强具有决定作用。施工运输车辆产生的交通扬尘发生于</w:t>
            </w:r>
            <w:r>
              <w:rPr>
                <w:rFonts w:hint="eastAsia" w:eastAsia="仿宋" w:cs="Times New Roman"/>
                <w:color w:val="000000"/>
                <w:sz w:val="24"/>
                <w:lang w:val="en-US" w:eastAsia="zh-CN"/>
              </w:rPr>
              <w:t>整条</w:t>
            </w:r>
            <w:r>
              <w:rPr>
                <w:rFonts w:hint="eastAsia" w:ascii="Times New Roman" w:hAnsi="Times New Roman" w:eastAsia="仿宋" w:cs="Times New Roman"/>
                <w:color w:val="000000"/>
                <w:sz w:val="24"/>
                <w:lang w:val="en-US" w:eastAsia="zh-CN"/>
              </w:rPr>
              <w:t xml:space="preserve">运输线，不但包括运输车辆造成扬尘，同时沿途散落的水泥、砂石也会加重扬尘的产生。 </w:t>
            </w:r>
          </w:p>
          <w:p w14:paraId="27A84D0E">
            <w:pPr>
              <w:adjustRightInd w:val="0"/>
              <w:snapToGrid w:val="0"/>
              <w:spacing w:line="360" w:lineRule="auto"/>
              <w:ind w:firstLine="480" w:firstLineChars="200"/>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 xml:space="preserve">为减少施工扬尘对环境空气质量的影响，本环评要求采取以下防治措施： </w:t>
            </w:r>
          </w:p>
          <w:p w14:paraId="4481E08F">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 xml:space="preserve">⑴施工场地 </w:t>
            </w:r>
          </w:p>
          <w:p w14:paraId="6049A25C">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①应合理安排施工现场，所有的砂石料等建筑材料应统一堆放、保存，尽可能减少堆场数量，并加</w:t>
            </w:r>
            <w:r>
              <w:rPr>
                <w:rFonts w:hint="eastAsia" w:eastAsia="仿宋" w:cs="Times New Roman"/>
                <w:color w:val="000000"/>
                <w:sz w:val="24"/>
                <w:lang w:val="en-US" w:eastAsia="zh-CN"/>
              </w:rPr>
              <w:t>篷布</w:t>
            </w:r>
            <w:r>
              <w:rPr>
                <w:rFonts w:hint="default" w:ascii="Times New Roman" w:hAnsi="Times New Roman" w:eastAsia="仿宋" w:cs="Times New Roman"/>
                <w:color w:val="000000"/>
                <w:sz w:val="24"/>
                <w:lang w:val="en-US" w:eastAsia="zh-CN"/>
              </w:rPr>
              <w:t>等覆盖；水泥等粉状材料运输应袋装或罐装，禁止散装</w:t>
            </w:r>
            <w:r>
              <w:rPr>
                <w:rFonts w:hint="eastAsia" w:ascii="Times New Roman" w:hAnsi="Times New Roman" w:eastAsia="仿宋" w:cs="Times New Roman"/>
                <w:color w:val="000000"/>
                <w:sz w:val="24"/>
                <w:lang w:val="en-US" w:eastAsia="zh-CN"/>
              </w:rPr>
              <w:t>，</w:t>
            </w:r>
            <w:r>
              <w:rPr>
                <w:rFonts w:hint="default" w:ascii="Times New Roman" w:hAnsi="Times New Roman" w:eastAsia="仿宋" w:cs="Times New Roman"/>
                <w:color w:val="000000"/>
                <w:sz w:val="24"/>
                <w:lang w:val="en-US" w:eastAsia="zh-CN"/>
              </w:rPr>
              <w:t xml:space="preserve">应设专门的库房堆放，并具备可靠的防扬尘措施，尽量减少搬运环节，搬运时要做到轻举轻放。 </w:t>
            </w:r>
          </w:p>
          <w:p w14:paraId="0BFBD12B">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 xml:space="preserve">②开挖的土方及建筑垃圾作为场地的抬高土要及时进行利用，以防因长期堆放表面干燥而起尘，对作业面和材料、建筑垃圾等堆放场地定期洒水，使其保持一定的湿度，以减少扬尘量。 </w:t>
            </w:r>
          </w:p>
          <w:p w14:paraId="0951F2DC">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③晴天干燥季节对存土、铲土运输，要采取洒水措施，以保持表面湿润，以减少扬尘产生量。施工作业应尽量避开大风天气，对施工场地和运输车辆行驶路面定期洒水，防止浮尘产生，如在大风日则加大洒水量及洒水次数；当风力</w:t>
            </w:r>
            <w:r>
              <w:rPr>
                <w:rFonts w:hint="eastAsia" w:ascii="Times New Roman" w:hAnsi="Times New Roman" w:eastAsia="仿宋" w:cs="Times New Roman"/>
                <w:color w:val="000000"/>
                <w:sz w:val="24"/>
                <w:lang w:val="en-US" w:eastAsia="zh-CN"/>
              </w:rPr>
              <w:t>超过4级</w:t>
            </w:r>
            <w:r>
              <w:rPr>
                <w:rFonts w:hint="default" w:ascii="Times New Roman" w:hAnsi="Times New Roman" w:eastAsia="仿宋" w:cs="Times New Roman"/>
                <w:color w:val="000000"/>
                <w:sz w:val="24"/>
                <w:lang w:val="en-US" w:eastAsia="zh-CN"/>
              </w:rPr>
              <w:t xml:space="preserve">的天气，停止易产生扬尘的施工作业。喷雾洒水是抑制二次扬尘的一项有效措施，抑制二次扬尘率为85%。 </w:t>
            </w:r>
          </w:p>
          <w:p w14:paraId="4B14A723">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 xml:space="preserve">④合理安排工期，尽可能地加快施工速度，减少施工时间。 </w:t>
            </w:r>
          </w:p>
          <w:p w14:paraId="625B912A">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⑵运输道路</w:t>
            </w:r>
          </w:p>
          <w:p w14:paraId="41319CE1">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①建筑物料如水泥、</w:t>
            </w:r>
            <w:r>
              <w:rPr>
                <w:rFonts w:hint="eastAsia" w:ascii="Times New Roman" w:hAnsi="Times New Roman" w:eastAsia="仿宋" w:cs="Times New Roman"/>
                <w:color w:val="000000"/>
                <w:sz w:val="24"/>
                <w:lang w:val="en-US" w:eastAsia="zh-CN"/>
              </w:rPr>
              <w:t>砂石</w:t>
            </w:r>
            <w:r>
              <w:rPr>
                <w:rFonts w:hint="default" w:ascii="Times New Roman" w:hAnsi="Times New Roman" w:eastAsia="仿宋" w:cs="Times New Roman"/>
                <w:color w:val="000000"/>
                <w:sz w:val="24"/>
                <w:lang w:val="en-US" w:eastAsia="zh-CN"/>
              </w:rPr>
              <w:t>等粉状材料在运输存放中采取加盖</w:t>
            </w:r>
            <w:r>
              <w:rPr>
                <w:rFonts w:hint="eastAsia" w:ascii="Times New Roman" w:hAnsi="Times New Roman" w:eastAsia="仿宋" w:cs="Times New Roman"/>
                <w:color w:val="000000"/>
                <w:sz w:val="24"/>
                <w:lang w:val="en-US" w:eastAsia="zh-CN"/>
              </w:rPr>
              <w:t>篷</w:t>
            </w:r>
            <w:r>
              <w:rPr>
                <w:rFonts w:hint="default" w:ascii="Times New Roman" w:hAnsi="Times New Roman" w:eastAsia="仿宋" w:cs="Times New Roman"/>
                <w:color w:val="000000"/>
                <w:sz w:val="24"/>
                <w:lang w:val="en-US" w:eastAsia="zh-CN"/>
              </w:rPr>
              <w:t xml:space="preserve">布等防风措施，严格限制运输车辆装载货物的数量； </w:t>
            </w:r>
          </w:p>
          <w:p w14:paraId="253580B4">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②加强施工活动的管理，尤其是加强汽车维护和运输管理，同时对物料运输</w:t>
            </w:r>
            <w:r>
              <w:rPr>
                <w:rFonts w:hint="eastAsia" w:ascii="Times New Roman" w:hAnsi="Times New Roman" w:eastAsia="仿宋" w:cs="Times New Roman"/>
                <w:color w:val="000000"/>
                <w:sz w:val="24"/>
                <w:lang w:val="en-US" w:eastAsia="zh-CN"/>
              </w:rPr>
              <w:t>过程</w:t>
            </w:r>
            <w:r>
              <w:rPr>
                <w:rFonts w:hint="default" w:ascii="Times New Roman" w:hAnsi="Times New Roman" w:eastAsia="仿宋" w:cs="Times New Roman"/>
                <w:color w:val="000000"/>
                <w:sz w:val="24"/>
                <w:lang w:val="en-US" w:eastAsia="zh-CN"/>
              </w:rPr>
              <w:t xml:space="preserve">制定管理措施，指定专人对附近的运输道路定期喷水，使其保持一定的湿度，防止道路扬尘。 </w:t>
            </w:r>
          </w:p>
          <w:p w14:paraId="05533091">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default" w:ascii="Times New Roman" w:hAnsi="Times New Roman" w:eastAsia="仿宋" w:cs="Times New Roman"/>
                <w:color w:val="000000"/>
                <w:sz w:val="24"/>
                <w:lang w:val="en-US" w:eastAsia="zh-CN"/>
              </w:rPr>
              <w:t>③谨防运输车辆装载过满，不得超出车厢板高度，并采取遮盖措施减少沿途</w:t>
            </w:r>
            <w:r>
              <w:rPr>
                <w:rFonts w:hint="eastAsia" w:eastAsia="仿宋" w:cs="Times New Roman"/>
                <w:color w:val="000000"/>
                <w:sz w:val="24"/>
                <w:lang w:val="en-US" w:eastAsia="zh-CN"/>
              </w:rPr>
              <w:t>抛撒</w:t>
            </w:r>
            <w:r>
              <w:rPr>
                <w:rFonts w:hint="default" w:ascii="Times New Roman" w:hAnsi="Times New Roman" w:eastAsia="仿宋" w:cs="Times New Roman"/>
                <w:color w:val="000000"/>
                <w:sz w:val="24"/>
                <w:lang w:val="en-US" w:eastAsia="zh-CN"/>
              </w:rPr>
              <w:t>、散落；及时清扫散落在路面上的泥土和建筑材料，定期冲洗轮胎，车辆不得带</w:t>
            </w:r>
            <w:r>
              <w:rPr>
                <w:rFonts w:hint="eastAsia" w:ascii="Times New Roman" w:hAnsi="Times New Roman" w:eastAsia="仿宋" w:cs="Times New Roman"/>
                <w:color w:val="000000"/>
                <w:sz w:val="24"/>
                <w:lang w:val="en-US" w:eastAsia="zh-CN"/>
              </w:rPr>
              <w:t>泥沙</w:t>
            </w:r>
            <w:r>
              <w:rPr>
                <w:rFonts w:hint="default" w:ascii="Times New Roman" w:hAnsi="Times New Roman" w:eastAsia="仿宋" w:cs="Times New Roman"/>
                <w:color w:val="000000"/>
                <w:sz w:val="24"/>
                <w:lang w:val="en-US" w:eastAsia="zh-CN"/>
              </w:rPr>
              <w:t xml:space="preserve">出现场。 </w:t>
            </w:r>
          </w:p>
          <w:p w14:paraId="4DF44F6D">
            <w:pPr>
              <w:adjustRightInd w:val="0"/>
              <w:snapToGrid w:val="0"/>
              <w:spacing w:line="360" w:lineRule="auto"/>
              <w:ind w:firstLine="482" w:firstLineChars="200"/>
              <w:jc w:val="left"/>
              <w:rPr>
                <w:rFonts w:eastAsia="仿宋"/>
                <w:b/>
                <w:color w:val="000000"/>
                <w:sz w:val="24"/>
              </w:rPr>
            </w:pPr>
            <w:r>
              <w:rPr>
                <w:rFonts w:hint="eastAsia" w:eastAsia="仿宋"/>
                <w:b/>
                <w:color w:val="000000"/>
                <w:sz w:val="24"/>
                <w:lang w:eastAsia="zh-CN"/>
              </w:rPr>
              <w:t>3.</w:t>
            </w:r>
            <w:r>
              <w:rPr>
                <w:rFonts w:eastAsia="仿宋"/>
                <w:b/>
                <w:color w:val="000000"/>
                <w:sz w:val="24"/>
              </w:rPr>
              <w:t>施工期水环境保护措施</w:t>
            </w:r>
          </w:p>
          <w:p w14:paraId="2F5D106F">
            <w:pPr>
              <w:keepNext w:val="0"/>
              <w:keepLines w:val="0"/>
              <w:pageBreakBefore w:val="0"/>
              <w:widowControl w:val="0"/>
              <w:tabs>
                <w:tab w:val="center" w:pos="4060"/>
                <w:tab w:val="right" w:pos="8261"/>
              </w:tabs>
              <w:suppressAutoHyphens/>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sz w:val="24"/>
                <w:lang w:val="en-US" w:eastAsia="zh-CN"/>
              </w:rPr>
            </w:pPr>
            <w:r>
              <w:rPr>
                <w:rFonts w:eastAsia="仿宋"/>
                <w:color w:val="000000"/>
                <w:kern w:val="0"/>
                <w:sz w:val="24"/>
              </w:rPr>
              <w:t>本项目施工期废水主要是施工人员的生活污水</w:t>
            </w:r>
            <w:r>
              <w:rPr>
                <w:rFonts w:hint="eastAsia" w:eastAsia="仿宋"/>
                <w:color w:val="000000"/>
                <w:kern w:val="0"/>
                <w:sz w:val="24"/>
              </w:rPr>
              <w:t>和施工废水，洗漱废水用于厂区泼洒降尘</w:t>
            </w:r>
            <w:r>
              <w:rPr>
                <w:rFonts w:eastAsia="仿宋"/>
                <w:color w:val="000000"/>
                <w:kern w:val="0"/>
                <w:sz w:val="24"/>
              </w:rPr>
              <w:t>，</w:t>
            </w:r>
            <w:r>
              <w:rPr>
                <w:rFonts w:hint="eastAsia" w:eastAsia="仿宋"/>
                <w:color w:val="000000"/>
                <w:kern w:val="0"/>
                <w:sz w:val="24"/>
                <w:lang w:val="en-US" w:eastAsia="zh-CN"/>
              </w:rPr>
              <w:t>设置环保型厕所一座</w:t>
            </w:r>
            <w:r>
              <w:rPr>
                <w:rFonts w:hint="eastAsia" w:eastAsia="仿宋"/>
                <w:color w:val="000000"/>
                <w:sz w:val="24"/>
              </w:rPr>
              <w:t>。</w:t>
            </w:r>
            <w:r>
              <w:rPr>
                <w:rFonts w:hint="eastAsia" w:ascii="Times New Roman" w:hAnsi="Times New Roman" w:eastAsia="仿宋" w:cs="Times New Roman"/>
                <w:color w:val="000000"/>
                <w:sz w:val="24"/>
                <w:lang w:val="en-US" w:eastAsia="zh-CN"/>
              </w:rPr>
              <w:t xml:space="preserve"> </w:t>
            </w:r>
          </w:p>
          <w:p w14:paraId="3FA9D56F">
            <w:pPr>
              <w:adjustRightInd w:val="0"/>
              <w:snapToGrid w:val="0"/>
              <w:spacing w:line="360" w:lineRule="auto"/>
              <w:ind w:firstLine="480" w:firstLineChars="200"/>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 xml:space="preserve">本项目建设区不设置机械维修站，生产废水集中收集于防渗沉淀池沉淀后回用于抑尘洒水，不外排。 </w:t>
            </w:r>
          </w:p>
          <w:p w14:paraId="42B49AA4">
            <w:pPr>
              <w:adjustRightInd w:val="0"/>
              <w:snapToGrid w:val="0"/>
              <w:spacing w:line="360" w:lineRule="auto"/>
              <w:ind w:firstLine="482" w:firstLineChars="200"/>
              <w:rPr>
                <w:rFonts w:eastAsia="仿宋"/>
                <w:b/>
                <w:color w:val="000000"/>
                <w:sz w:val="24"/>
              </w:rPr>
            </w:pPr>
            <w:r>
              <w:rPr>
                <w:rFonts w:hint="eastAsia" w:eastAsia="仿宋"/>
                <w:b/>
                <w:color w:val="000000"/>
                <w:sz w:val="24"/>
                <w:lang w:eastAsia="zh-CN"/>
              </w:rPr>
              <w:t>4.</w:t>
            </w:r>
            <w:r>
              <w:rPr>
                <w:rFonts w:eastAsia="仿宋"/>
                <w:b/>
                <w:color w:val="000000"/>
                <w:sz w:val="24"/>
              </w:rPr>
              <w:t>施工期声环境保护措施</w:t>
            </w:r>
          </w:p>
          <w:p w14:paraId="2526DD5E">
            <w:pPr>
              <w:adjustRightInd w:val="0"/>
              <w:snapToGrid w:val="0"/>
              <w:spacing w:line="360" w:lineRule="auto"/>
              <w:ind w:firstLine="480" w:firstLineChars="200"/>
              <w:rPr>
                <w:rFonts w:eastAsia="仿宋"/>
                <w:color w:val="000000"/>
                <w:sz w:val="24"/>
              </w:rPr>
            </w:pPr>
            <w:r>
              <w:rPr>
                <w:rFonts w:eastAsia="仿宋"/>
                <w:color w:val="000000"/>
                <w:sz w:val="24"/>
              </w:rPr>
              <w:t>针对项目施工期噪声来源及排放特点，可采取以下污染防治措施：</w:t>
            </w:r>
          </w:p>
          <w:p w14:paraId="454579F7">
            <w:pPr>
              <w:adjustRightInd w:val="0"/>
              <w:snapToGrid w:val="0"/>
              <w:spacing w:line="360" w:lineRule="auto"/>
              <w:ind w:firstLine="480" w:firstLineChars="200"/>
              <w:rPr>
                <w:rFonts w:eastAsia="仿宋"/>
                <w:color w:val="000000"/>
                <w:sz w:val="24"/>
              </w:rPr>
            </w:pPr>
            <w:r>
              <w:rPr>
                <w:rFonts w:hint="eastAsia" w:ascii="宋体" w:hAnsi="宋体" w:cs="宋体"/>
                <w:color w:val="000000"/>
                <w:sz w:val="24"/>
              </w:rPr>
              <w:t>①</w:t>
            </w:r>
            <w:r>
              <w:rPr>
                <w:rFonts w:eastAsia="仿宋"/>
                <w:color w:val="000000"/>
                <w:sz w:val="24"/>
              </w:rPr>
              <w:t>在居民区附近施工作业时应严格控制施工作业时间，夜间22:00~6:00及午休时间禁止高噪声的施工作业。</w:t>
            </w:r>
          </w:p>
          <w:p w14:paraId="091F1139">
            <w:pPr>
              <w:adjustRightInd w:val="0"/>
              <w:snapToGrid w:val="0"/>
              <w:spacing w:line="360" w:lineRule="auto"/>
              <w:ind w:firstLine="480" w:firstLineChars="200"/>
              <w:rPr>
                <w:rFonts w:eastAsia="仿宋"/>
                <w:color w:val="000000"/>
                <w:sz w:val="24"/>
              </w:rPr>
            </w:pPr>
            <w:r>
              <w:rPr>
                <w:rFonts w:hint="eastAsia" w:ascii="宋体" w:hAnsi="宋体" w:cs="宋体"/>
                <w:color w:val="000000"/>
                <w:sz w:val="24"/>
              </w:rPr>
              <w:t>②</w:t>
            </w:r>
            <w:r>
              <w:rPr>
                <w:rFonts w:eastAsia="仿宋"/>
                <w:color w:val="000000"/>
                <w:sz w:val="24"/>
              </w:rPr>
              <w:t>设备选型上尽量采用低噪声机械设备，如以液压机械取代燃油机械等</w:t>
            </w:r>
            <w:r>
              <w:rPr>
                <w:rFonts w:hint="eastAsia" w:eastAsia="仿宋"/>
                <w:color w:val="000000"/>
                <w:sz w:val="24"/>
                <w:lang w:eastAsia="zh-CN"/>
              </w:rPr>
              <w:t>；在</w:t>
            </w:r>
            <w:r>
              <w:rPr>
                <w:rFonts w:eastAsia="仿宋"/>
                <w:color w:val="000000"/>
                <w:sz w:val="24"/>
              </w:rPr>
              <w:t xml:space="preserve">施工过程中加强施工机械和运输车辆的运行管理，当施工机械闲置不用时应立即关闭。   </w:t>
            </w:r>
          </w:p>
          <w:p w14:paraId="683CCD2A">
            <w:pPr>
              <w:adjustRightInd w:val="0"/>
              <w:snapToGrid w:val="0"/>
              <w:spacing w:line="360" w:lineRule="auto"/>
              <w:ind w:firstLine="480" w:firstLineChars="200"/>
              <w:rPr>
                <w:rFonts w:eastAsia="仿宋"/>
                <w:color w:val="000000"/>
                <w:sz w:val="24"/>
              </w:rPr>
            </w:pPr>
            <w:r>
              <w:rPr>
                <w:rFonts w:hint="eastAsia" w:ascii="宋体" w:hAnsi="宋体" w:cs="宋体"/>
                <w:color w:val="000000"/>
                <w:sz w:val="24"/>
              </w:rPr>
              <w:t>③</w:t>
            </w:r>
            <w:r>
              <w:rPr>
                <w:rFonts w:eastAsia="仿宋"/>
                <w:color w:val="000000"/>
                <w:sz w:val="24"/>
              </w:rPr>
              <w:t>运输车辆应根据核定的载重量装载，不得超载运输而造成发动机产生较大噪声；施工机械和运输车辆经过居民区及出入现场时应低速、禁鸣。</w:t>
            </w:r>
          </w:p>
          <w:p w14:paraId="6F6A1832">
            <w:pPr>
              <w:adjustRightInd w:val="0"/>
              <w:snapToGrid w:val="0"/>
              <w:spacing w:line="360" w:lineRule="auto"/>
              <w:ind w:firstLine="480" w:firstLineChars="200"/>
              <w:rPr>
                <w:rFonts w:eastAsia="仿宋"/>
                <w:color w:val="000000"/>
                <w:sz w:val="24"/>
              </w:rPr>
            </w:pPr>
            <w:r>
              <w:rPr>
                <w:rFonts w:hint="eastAsia" w:ascii="宋体" w:hAnsi="宋体" w:cs="宋体"/>
                <w:color w:val="000000"/>
                <w:sz w:val="24"/>
              </w:rPr>
              <w:t>④</w:t>
            </w:r>
            <w:r>
              <w:rPr>
                <w:rFonts w:eastAsia="仿宋"/>
                <w:color w:val="000000"/>
                <w:sz w:val="24"/>
              </w:rPr>
              <w:t>为防止物料运输过程中交通噪声对道路沿线居民造成不利影响，要求其合理安排运输路线和运输时间，尽量避开居民集中居住区，避开夜间和午间休息时间。</w:t>
            </w:r>
          </w:p>
          <w:p w14:paraId="354D87DB">
            <w:pPr>
              <w:adjustRightInd w:val="0"/>
              <w:snapToGrid w:val="0"/>
              <w:spacing w:line="360" w:lineRule="auto"/>
              <w:ind w:firstLine="480" w:firstLineChars="200"/>
              <w:rPr>
                <w:rFonts w:eastAsia="仿宋"/>
                <w:color w:val="000000"/>
                <w:sz w:val="24"/>
              </w:rPr>
            </w:pPr>
            <w:r>
              <w:rPr>
                <w:rFonts w:hint="eastAsia" w:ascii="宋体" w:hAnsi="宋体" w:cs="宋体"/>
                <w:color w:val="000000"/>
                <w:sz w:val="24"/>
              </w:rPr>
              <w:t>⑤</w:t>
            </w:r>
            <w:r>
              <w:rPr>
                <w:rFonts w:eastAsia="仿宋"/>
                <w:color w:val="000000"/>
                <w:sz w:val="24"/>
              </w:rPr>
              <w:t>加强施工机械和运输车辆的保养、维护，确保施工</w:t>
            </w:r>
            <w:r>
              <w:rPr>
                <w:rFonts w:hint="eastAsia" w:eastAsia="仿宋"/>
                <w:color w:val="000000"/>
                <w:sz w:val="24"/>
                <w:lang w:eastAsia="zh-CN"/>
              </w:rPr>
              <w:t>机械</w:t>
            </w:r>
            <w:r>
              <w:rPr>
                <w:rFonts w:eastAsia="仿宋"/>
                <w:color w:val="000000"/>
                <w:sz w:val="24"/>
              </w:rPr>
              <w:t>处于</w:t>
            </w:r>
            <w:r>
              <w:rPr>
                <w:rFonts w:hint="eastAsia" w:eastAsia="仿宋"/>
                <w:color w:val="000000"/>
                <w:sz w:val="24"/>
                <w:lang w:eastAsia="zh-CN"/>
              </w:rPr>
              <w:t>良好</w:t>
            </w:r>
            <w:r>
              <w:rPr>
                <w:rFonts w:eastAsia="仿宋"/>
                <w:color w:val="000000"/>
                <w:sz w:val="24"/>
              </w:rPr>
              <w:t>运转状态；对于施工过程中噪声排放较大的机械设备，应视情况予以维修或更换新设备。</w:t>
            </w:r>
          </w:p>
          <w:p w14:paraId="381836EC">
            <w:pPr>
              <w:adjustRightInd w:val="0"/>
              <w:snapToGrid w:val="0"/>
              <w:spacing w:line="360" w:lineRule="auto"/>
              <w:ind w:firstLine="480" w:firstLineChars="200"/>
              <w:rPr>
                <w:rFonts w:eastAsia="仿宋"/>
                <w:color w:val="000000"/>
                <w:sz w:val="24"/>
              </w:rPr>
            </w:pPr>
            <w:r>
              <w:rPr>
                <w:rFonts w:hint="eastAsia" w:ascii="宋体" w:hAnsi="宋体" w:cs="宋体"/>
                <w:color w:val="000000"/>
                <w:sz w:val="24"/>
              </w:rPr>
              <w:t>⑥</w:t>
            </w:r>
            <w:r>
              <w:rPr>
                <w:rFonts w:eastAsia="仿宋"/>
                <w:color w:val="000000"/>
                <w:sz w:val="24"/>
              </w:rPr>
              <w:t>优化施工总平面布置，将施工营地布设在距居民区较远的空旷地带，减轻施工营地生产作业噪声对居民造成不利影响。</w:t>
            </w:r>
          </w:p>
          <w:p w14:paraId="7A87A980">
            <w:pPr>
              <w:adjustRightInd w:val="0"/>
              <w:snapToGrid w:val="0"/>
              <w:spacing w:line="360" w:lineRule="auto"/>
              <w:ind w:firstLine="480" w:firstLineChars="200"/>
              <w:rPr>
                <w:rFonts w:eastAsia="仿宋"/>
                <w:color w:val="000000"/>
                <w:sz w:val="24"/>
              </w:rPr>
            </w:pPr>
            <w:r>
              <w:rPr>
                <w:rFonts w:eastAsia="仿宋"/>
                <w:color w:val="000000"/>
                <w:sz w:val="24"/>
              </w:rPr>
              <w:t>通过采取以上措施，可有效减小施工过程中机械噪声、道路交通噪声等对附近声环境敏感点的不利影响。</w:t>
            </w:r>
          </w:p>
          <w:p w14:paraId="7D9C8473">
            <w:pPr>
              <w:adjustRightInd w:val="0"/>
              <w:snapToGrid w:val="0"/>
              <w:spacing w:line="360" w:lineRule="auto"/>
              <w:ind w:firstLine="482" w:firstLineChars="200"/>
              <w:jc w:val="both"/>
              <w:rPr>
                <w:rFonts w:eastAsia="仿宋"/>
                <w:b/>
                <w:color w:val="000000"/>
                <w:sz w:val="24"/>
              </w:rPr>
            </w:pPr>
            <w:r>
              <w:rPr>
                <w:rFonts w:hint="eastAsia" w:eastAsia="仿宋"/>
                <w:b/>
                <w:color w:val="000000"/>
                <w:sz w:val="24"/>
                <w:lang w:eastAsia="zh-CN"/>
              </w:rPr>
              <w:t>5.</w:t>
            </w:r>
            <w:r>
              <w:rPr>
                <w:rFonts w:eastAsia="仿宋"/>
                <w:b/>
                <w:color w:val="000000"/>
                <w:sz w:val="24"/>
              </w:rPr>
              <w:t>施工期固体废物环境保护措施</w:t>
            </w:r>
          </w:p>
          <w:p w14:paraId="5A99ED76">
            <w:pPr>
              <w:adjustRightInd w:val="0"/>
              <w:snapToGrid w:val="0"/>
              <w:spacing w:line="360" w:lineRule="auto"/>
              <w:ind w:firstLine="480" w:firstLineChars="200"/>
              <w:jc w:val="both"/>
              <w:rPr>
                <w:rFonts w:eastAsia="仿宋"/>
                <w:color w:val="000000"/>
                <w:sz w:val="24"/>
              </w:rPr>
            </w:pPr>
            <w:r>
              <w:rPr>
                <w:rFonts w:hint="eastAsia" w:ascii="宋体" w:hAnsi="宋体" w:cs="宋体"/>
                <w:color w:val="000000"/>
                <w:sz w:val="24"/>
              </w:rPr>
              <w:t>⑴</w:t>
            </w:r>
            <w:r>
              <w:rPr>
                <w:rFonts w:eastAsia="仿宋"/>
                <w:color w:val="000000"/>
                <w:sz w:val="24"/>
              </w:rPr>
              <w:t>土石方</w:t>
            </w:r>
          </w:p>
          <w:p w14:paraId="0619E1E3">
            <w:pPr>
              <w:adjustRightInd w:val="0"/>
              <w:snapToGrid w:val="0"/>
              <w:spacing w:line="360" w:lineRule="auto"/>
              <w:ind w:firstLine="480" w:firstLineChars="200"/>
              <w:jc w:val="both"/>
              <w:rPr>
                <w:rFonts w:hint="eastAsia" w:eastAsia="仿宋_GB2312"/>
                <w:color w:val="000000"/>
                <w:kern w:val="0"/>
                <w:sz w:val="24"/>
                <w:lang w:val="en-US" w:eastAsia="zh-CN"/>
              </w:rPr>
            </w:pPr>
            <w:r>
              <w:rPr>
                <w:rFonts w:hint="eastAsia" w:eastAsia="仿宋_GB2312"/>
                <w:color w:val="000000"/>
                <w:kern w:val="0"/>
                <w:sz w:val="24"/>
                <w:lang w:val="en-US" w:eastAsia="zh-CN"/>
              </w:rPr>
              <w:t>根据土石方平衡可知，本项目不产生弃方。</w:t>
            </w:r>
          </w:p>
          <w:p w14:paraId="5D687421">
            <w:pPr>
              <w:adjustRightInd w:val="0"/>
              <w:snapToGrid w:val="0"/>
              <w:spacing w:line="360" w:lineRule="auto"/>
              <w:ind w:firstLine="480" w:firstLineChars="200"/>
              <w:jc w:val="both"/>
              <w:rPr>
                <w:rFonts w:eastAsia="仿宋"/>
                <w:color w:val="000000"/>
                <w:sz w:val="24"/>
              </w:rPr>
            </w:pPr>
            <w:r>
              <w:rPr>
                <w:rFonts w:hint="eastAsia" w:ascii="宋体" w:hAnsi="宋体" w:cs="宋体"/>
                <w:color w:val="000000"/>
                <w:sz w:val="24"/>
              </w:rPr>
              <w:t>⑵</w:t>
            </w:r>
            <w:r>
              <w:rPr>
                <w:rFonts w:eastAsia="仿宋"/>
                <w:color w:val="000000"/>
                <w:sz w:val="24"/>
              </w:rPr>
              <w:t>建筑垃圾</w:t>
            </w:r>
          </w:p>
          <w:p w14:paraId="7CEB87C9">
            <w:pPr>
              <w:adjustRightInd w:val="0"/>
              <w:snapToGrid w:val="0"/>
              <w:spacing w:line="360" w:lineRule="auto"/>
              <w:ind w:firstLine="480" w:firstLineChars="200"/>
              <w:jc w:val="both"/>
              <w:rPr>
                <w:rFonts w:eastAsia="仿宋"/>
                <w:color w:val="000000"/>
                <w:sz w:val="24"/>
              </w:rPr>
            </w:pPr>
            <w:r>
              <w:rPr>
                <w:rFonts w:eastAsia="仿宋"/>
                <w:color w:val="000000"/>
                <w:sz w:val="24"/>
              </w:rPr>
              <w:t>本项目施工过程中产生碎砖、废钢筋</w:t>
            </w:r>
            <w:r>
              <w:rPr>
                <w:rFonts w:hint="eastAsia" w:eastAsia="仿宋"/>
                <w:color w:val="000000"/>
                <w:sz w:val="24"/>
                <w:lang w:val="en-US" w:eastAsia="zh-CN"/>
              </w:rPr>
              <w:t>及拆除建筑物产生的建筑垃圾</w:t>
            </w:r>
            <w:r>
              <w:rPr>
                <w:rFonts w:eastAsia="仿宋"/>
                <w:color w:val="000000"/>
                <w:sz w:val="24"/>
              </w:rPr>
              <w:t>等，建筑垃圾经集中收集后运至当地建筑垃圾收集点进行处理。</w:t>
            </w:r>
          </w:p>
          <w:p w14:paraId="28BB8BBA">
            <w:pPr>
              <w:adjustRightInd w:val="0"/>
              <w:snapToGrid w:val="0"/>
              <w:spacing w:line="360" w:lineRule="auto"/>
              <w:ind w:firstLine="480" w:firstLineChars="200"/>
              <w:jc w:val="both"/>
              <w:rPr>
                <w:rFonts w:eastAsia="仿宋"/>
                <w:color w:val="000000"/>
                <w:sz w:val="24"/>
              </w:rPr>
            </w:pPr>
            <w:r>
              <w:rPr>
                <w:rFonts w:hint="eastAsia" w:ascii="宋体" w:hAnsi="宋体" w:cs="宋体"/>
                <w:color w:val="000000"/>
                <w:sz w:val="24"/>
              </w:rPr>
              <w:t>⑶</w:t>
            </w:r>
            <w:r>
              <w:rPr>
                <w:rFonts w:eastAsia="仿宋"/>
                <w:color w:val="000000"/>
                <w:sz w:val="24"/>
              </w:rPr>
              <w:t>生活垃圾</w:t>
            </w:r>
          </w:p>
          <w:p w14:paraId="2E4B541F">
            <w:pPr>
              <w:adjustRightInd w:val="0"/>
              <w:snapToGrid w:val="0"/>
              <w:spacing w:line="360" w:lineRule="auto"/>
              <w:ind w:firstLine="480" w:firstLineChars="200"/>
              <w:jc w:val="both"/>
              <w:rPr>
                <w:rFonts w:eastAsia="仿宋"/>
                <w:color w:val="000000"/>
                <w:sz w:val="24"/>
              </w:rPr>
            </w:pPr>
            <w:r>
              <w:rPr>
                <w:rFonts w:eastAsia="仿宋"/>
                <w:color w:val="000000"/>
                <w:sz w:val="24"/>
              </w:rPr>
              <w:t>施工人员生活垃圾</w:t>
            </w:r>
            <w:r>
              <w:rPr>
                <w:rFonts w:hint="eastAsia" w:eastAsia="仿宋"/>
                <w:color w:val="000000"/>
                <w:sz w:val="24"/>
                <w:lang w:val="en-US" w:eastAsia="zh-CN"/>
              </w:rPr>
              <w:t>经</w:t>
            </w:r>
            <w:r>
              <w:rPr>
                <w:rFonts w:eastAsia="仿宋"/>
                <w:color w:val="000000"/>
                <w:sz w:val="24"/>
              </w:rPr>
              <w:t>垃圾桶收集后定期运至当地垃圾收集点进行处理。</w:t>
            </w:r>
          </w:p>
          <w:p w14:paraId="3822C0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pacing w:val="0"/>
                <w:sz w:val="24"/>
                <w:szCs w:val="24"/>
                <w:highlight w:val="none"/>
                <w:lang w:val="en-US" w:eastAsia="zh-CN" w:bidi="ar"/>
              </w:rPr>
            </w:pPr>
            <w:r>
              <w:rPr>
                <w:rFonts w:eastAsia="仿宋"/>
                <w:color w:val="000000"/>
                <w:sz w:val="24"/>
              </w:rPr>
              <w:t>综上，</w:t>
            </w:r>
            <w:r>
              <w:rPr>
                <w:rFonts w:hint="eastAsia" w:eastAsia="仿宋"/>
                <w:color w:val="000000"/>
                <w:sz w:val="24"/>
                <w:lang w:val="en-US" w:eastAsia="zh-CN"/>
              </w:rPr>
              <w:t>本</w:t>
            </w:r>
            <w:r>
              <w:rPr>
                <w:rFonts w:eastAsia="仿宋"/>
                <w:color w:val="000000"/>
                <w:sz w:val="24"/>
              </w:rPr>
              <w:t>项目施工期固体废物处置情况对周边环境影响较小。</w:t>
            </w:r>
            <w:bookmarkEnd w:id="41"/>
          </w:p>
        </w:tc>
      </w:tr>
      <w:tr w14:paraId="3B5C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315203A2">
            <w:pPr>
              <w:bidi w:val="0"/>
              <w:jc w:val="center"/>
              <w:rPr>
                <w:rFonts w:hint="default" w:ascii="Times New Roman" w:hAnsi="Times New Roman" w:eastAsia="仿宋" w:cs="Times New Roman"/>
                <w:color w:val="auto"/>
                <w:highlight w:val="none"/>
                <w:vertAlign w:val="baseline"/>
                <w:lang w:val="en-US" w:eastAsia="zh-CN"/>
              </w:rPr>
            </w:pPr>
            <w:r>
              <w:rPr>
                <w:rFonts w:hint="default" w:ascii="Times New Roman" w:hAnsi="Times New Roman" w:eastAsia="仿宋" w:cs="Times New Roman"/>
                <w:color w:val="auto"/>
                <w:spacing w:val="0"/>
                <w:sz w:val="24"/>
                <w:highlight w:val="none"/>
              </w:rPr>
              <w:t>运营期生态环境保护措施</w:t>
            </w:r>
          </w:p>
        </w:tc>
        <w:tc>
          <w:tcPr>
            <w:tcW w:w="7811" w:type="dxa"/>
          </w:tcPr>
          <w:p w14:paraId="6D7C8D3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b/>
                <w:bCs/>
                <w:color w:val="FF0000"/>
                <w:spacing w:val="0"/>
                <w:sz w:val="24"/>
                <w:szCs w:val="24"/>
                <w:highlight w:val="none"/>
                <w:lang w:val="en-US" w:eastAsia="zh-CN" w:bidi="ar"/>
              </w:rPr>
            </w:pPr>
            <w:r>
              <w:rPr>
                <w:rFonts w:hint="eastAsia" w:eastAsia="仿宋" w:cs="Times New Roman"/>
                <w:b/>
                <w:bCs/>
                <w:color w:val="FF0000"/>
                <w:spacing w:val="0"/>
                <w:sz w:val="24"/>
                <w:szCs w:val="24"/>
                <w:highlight w:val="none"/>
                <w:lang w:val="en-US" w:eastAsia="zh-CN" w:bidi="ar"/>
              </w:rPr>
              <w:t>一、运营期生态环境保护措施</w:t>
            </w:r>
          </w:p>
          <w:p w14:paraId="6A9AE73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b/>
                <w:bCs/>
                <w:color w:val="FF0000"/>
                <w:spacing w:val="0"/>
                <w:sz w:val="24"/>
                <w:szCs w:val="24"/>
                <w:highlight w:val="none"/>
                <w:lang w:val="en-US" w:eastAsia="zh-CN" w:bidi="ar"/>
              </w:rPr>
            </w:pPr>
            <w:r>
              <w:rPr>
                <w:rFonts w:hint="eastAsia" w:eastAsia="仿宋" w:cs="Times New Roman"/>
                <w:b/>
                <w:bCs/>
                <w:color w:val="FF0000"/>
                <w:spacing w:val="0"/>
                <w:sz w:val="24"/>
                <w:szCs w:val="24"/>
                <w:highlight w:val="none"/>
                <w:lang w:val="en-US" w:eastAsia="zh-CN" w:bidi="ar"/>
              </w:rPr>
              <w:t>1.对土地利用生态保护措施</w:t>
            </w:r>
          </w:p>
          <w:p w14:paraId="2827F493">
            <w:pPr>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FF0000"/>
                <w:spacing w:val="0"/>
                <w:kern w:val="0"/>
                <w:position w:val="0"/>
                <w:sz w:val="24"/>
                <w:szCs w:val="24"/>
                <w:highlight w:val="none"/>
                <w:lang w:val="en-US" w:eastAsia="zh-CN" w:bidi="ar"/>
              </w:rPr>
            </w:pPr>
            <w:r>
              <w:rPr>
                <w:rFonts w:hint="eastAsia" w:eastAsia="仿宋" w:cs="Times New Roman"/>
                <w:color w:val="FF0000"/>
                <w:spacing w:val="0"/>
                <w:kern w:val="0"/>
                <w:position w:val="0"/>
                <w:sz w:val="24"/>
                <w:szCs w:val="24"/>
                <w:highlight w:val="none"/>
                <w:lang w:val="en-US" w:eastAsia="zh-CN" w:bidi="ar"/>
              </w:rPr>
              <w:t>本项目占地类型主要为采矿用地和裸岩石砾地，不占用耕地、林地等，</w:t>
            </w:r>
            <w:r>
              <w:rPr>
                <w:rFonts w:hint="default" w:ascii="Times New Roman" w:hAnsi="Times New Roman" w:eastAsia="仿宋" w:cs="Times New Roman"/>
                <w:color w:val="FF0000"/>
                <w:spacing w:val="0"/>
                <w:kern w:val="0"/>
                <w:position w:val="0"/>
                <w:sz w:val="24"/>
                <w:szCs w:val="24"/>
                <w:highlight w:val="none"/>
                <w:lang w:val="en-US" w:eastAsia="zh-CN" w:bidi="ar"/>
              </w:rPr>
              <w:t>本项目实施后对土地利用有一定的影响</w:t>
            </w:r>
            <w:r>
              <w:rPr>
                <w:rFonts w:hint="eastAsia" w:eastAsia="仿宋" w:cs="Times New Roman"/>
                <w:color w:val="FF0000"/>
                <w:spacing w:val="0"/>
                <w:kern w:val="0"/>
                <w:position w:val="0"/>
                <w:sz w:val="24"/>
                <w:szCs w:val="24"/>
                <w:highlight w:val="none"/>
                <w:lang w:val="en-US" w:eastAsia="zh-CN" w:bidi="ar"/>
              </w:rPr>
              <w:t>，本次环评要求建设单位严禁越界开采，</w:t>
            </w:r>
            <w:r>
              <w:rPr>
                <w:rFonts w:hint="default" w:ascii="Times New Roman" w:hAnsi="Times New Roman" w:eastAsia="仿宋" w:cs="Times New Roman"/>
                <w:color w:val="FF0000"/>
                <w:spacing w:val="0"/>
                <w:sz w:val="24"/>
                <w:highlight w:val="none"/>
              </w:rPr>
              <w:t>建立严格保护的规章制度，建设单位必须在相关部门划定的占地范围内进行生产活动，不得在临时占用的土地上修建永久性建筑物</w:t>
            </w:r>
            <w:r>
              <w:rPr>
                <w:rFonts w:hint="eastAsia" w:eastAsia="仿宋" w:cs="Times New Roman"/>
                <w:color w:val="FF0000"/>
                <w:spacing w:val="0"/>
                <w:kern w:val="0"/>
                <w:position w:val="0"/>
                <w:sz w:val="24"/>
                <w:szCs w:val="24"/>
                <w:highlight w:val="none"/>
                <w:lang w:val="en-US" w:eastAsia="zh-CN" w:bidi="ar"/>
              </w:rPr>
              <w:t>。开采结束后</w:t>
            </w:r>
            <w:r>
              <w:rPr>
                <w:rFonts w:hint="default" w:ascii="Times New Roman" w:hAnsi="Times New Roman" w:eastAsia="仿宋" w:cs="Times New Roman"/>
                <w:color w:val="FF0000"/>
                <w:spacing w:val="0"/>
                <w:kern w:val="0"/>
                <w:position w:val="0"/>
                <w:sz w:val="24"/>
                <w:szCs w:val="24"/>
                <w:highlight w:val="none"/>
                <w:lang w:val="en-US" w:eastAsia="zh-CN" w:bidi="ar"/>
              </w:rPr>
              <w:t>按照《临泽县金源矿业有限责任公司平川镇羊圈湾冶金用石英岩矿</w:t>
            </w:r>
            <w:r>
              <w:rPr>
                <w:rFonts w:hint="eastAsia" w:ascii="Times New Roman" w:hAnsi="Times New Roman" w:eastAsia="仿宋" w:cs="Times New Roman"/>
                <w:color w:val="FF0000"/>
                <w:spacing w:val="0"/>
                <w:kern w:val="0"/>
                <w:position w:val="0"/>
                <w:sz w:val="24"/>
                <w:szCs w:val="24"/>
                <w:highlight w:val="none"/>
                <w:lang w:val="en-US" w:eastAsia="zh-CN" w:bidi="ar"/>
              </w:rPr>
              <w:t>开采方案</w:t>
            </w:r>
            <w:r>
              <w:rPr>
                <w:rFonts w:hint="default" w:ascii="Times New Roman" w:hAnsi="Times New Roman" w:eastAsia="仿宋" w:cs="Times New Roman"/>
                <w:color w:val="FF0000"/>
                <w:spacing w:val="0"/>
                <w:kern w:val="0"/>
                <w:position w:val="0"/>
                <w:sz w:val="24"/>
                <w:szCs w:val="24"/>
                <w:highlight w:val="none"/>
                <w:lang w:val="en-US" w:eastAsia="zh-CN" w:bidi="ar"/>
              </w:rPr>
              <w:t>与</w:t>
            </w:r>
            <w:r>
              <w:rPr>
                <w:rFonts w:hint="eastAsia" w:ascii="Times New Roman" w:hAnsi="Times New Roman" w:eastAsia="仿宋" w:cs="Times New Roman"/>
                <w:color w:val="FF0000"/>
                <w:spacing w:val="0"/>
                <w:kern w:val="0"/>
                <w:position w:val="0"/>
                <w:sz w:val="24"/>
                <w:szCs w:val="24"/>
                <w:highlight w:val="none"/>
                <w:lang w:val="en-US" w:eastAsia="zh-CN" w:bidi="ar"/>
              </w:rPr>
              <w:t>矿区生态修复</w:t>
            </w:r>
            <w:r>
              <w:rPr>
                <w:rFonts w:hint="default" w:ascii="Times New Roman" w:hAnsi="Times New Roman" w:eastAsia="仿宋" w:cs="Times New Roman"/>
                <w:color w:val="FF0000"/>
                <w:spacing w:val="0"/>
                <w:kern w:val="0"/>
                <w:position w:val="0"/>
                <w:sz w:val="24"/>
                <w:szCs w:val="24"/>
                <w:highlight w:val="none"/>
                <w:lang w:val="en-US" w:eastAsia="zh-CN" w:bidi="ar"/>
              </w:rPr>
              <w:t>方案》要求进行环境保护及生态恢复治理，通过土地整治等措施对破坏土地进行生态恢复。</w:t>
            </w:r>
          </w:p>
          <w:p w14:paraId="256B479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b/>
                <w:bCs/>
                <w:color w:val="FF0000"/>
                <w:spacing w:val="0"/>
                <w:sz w:val="24"/>
                <w:szCs w:val="24"/>
                <w:highlight w:val="none"/>
                <w:lang w:val="en-US" w:eastAsia="zh-CN" w:bidi="ar"/>
              </w:rPr>
            </w:pPr>
            <w:r>
              <w:rPr>
                <w:rFonts w:hint="eastAsia" w:eastAsia="仿宋" w:cs="Times New Roman"/>
                <w:b/>
                <w:bCs/>
                <w:color w:val="FF0000"/>
                <w:spacing w:val="0"/>
                <w:sz w:val="24"/>
                <w:szCs w:val="24"/>
                <w:highlight w:val="none"/>
                <w:lang w:val="en-US" w:eastAsia="zh-CN" w:bidi="ar"/>
              </w:rPr>
              <w:t>2.对地表植被生态保护措施</w:t>
            </w:r>
          </w:p>
          <w:p w14:paraId="5C727BC3">
            <w:pPr>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FF0000"/>
                <w:spacing w:val="0"/>
                <w:kern w:val="0"/>
                <w:position w:val="0"/>
                <w:sz w:val="24"/>
                <w:szCs w:val="24"/>
                <w:highlight w:val="none"/>
                <w:lang w:val="en-US" w:eastAsia="zh-CN" w:bidi="ar"/>
              </w:rPr>
            </w:pPr>
            <w:r>
              <w:rPr>
                <w:rFonts w:hint="default" w:ascii="Times New Roman" w:hAnsi="Times New Roman" w:eastAsia="仿宋" w:cs="Times New Roman"/>
                <w:color w:val="FF0000"/>
                <w:spacing w:val="0"/>
                <w:kern w:val="0"/>
                <w:position w:val="0"/>
                <w:sz w:val="24"/>
                <w:szCs w:val="24"/>
                <w:highlight w:val="none"/>
                <w:lang w:val="en-US" w:eastAsia="zh-CN" w:bidi="ar"/>
              </w:rPr>
              <w:t>矿山开采过程中主要植被破坏因素有露天开采及道路占压等人为活动。破坏区域主要集中在矿山范围</w:t>
            </w:r>
            <w:r>
              <w:rPr>
                <w:rFonts w:hint="eastAsia" w:eastAsia="仿宋" w:cs="Times New Roman"/>
                <w:color w:val="FF0000"/>
                <w:spacing w:val="0"/>
                <w:kern w:val="0"/>
                <w:position w:val="0"/>
                <w:sz w:val="24"/>
                <w:szCs w:val="24"/>
                <w:highlight w:val="none"/>
                <w:lang w:val="en-US" w:eastAsia="zh-CN" w:bidi="ar"/>
              </w:rPr>
              <w:t>内</w:t>
            </w:r>
            <w:r>
              <w:rPr>
                <w:rFonts w:hint="default" w:ascii="Times New Roman" w:hAnsi="Times New Roman" w:eastAsia="仿宋" w:cs="Times New Roman"/>
                <w:color w:val="FF0000"/>
                <w:spacing w:val="0"/>
                <w:kern w:val="0"/>
                <w:position w:val="0"/>
                <w:sz w:val="24"/>
                <w:szCs w:val="24"/>
                <w:highlight w:val="none"/>
                <w:lang w:val="en-US" w:eastAsia="zh-CN" w:bidi="ar"/>
              </w:rPr>
              <w:t>，</w:t>
            </w:r>
            <w:r>
              <w:rPr>
                <w:rFonts w:hint="eastAsia" w:eastAsia="仿宋" w:cs="Times New Roman"/>
                <w:color w:val="FF0000"/>
                <w:spacing w:val="0"/>
                <w:kern w:val="0"/>
                <w:position w:val="0"/>
                <w:sz w:val="24"/>
                <w:szCs w:val="24"/>
                <w:highlight w:val="none"/>
                <w:lang w:val="en-US" w:eastAsia="zh-CN" w:bidi="ar"/>
              </w:rPr>
              <w:t>本次环评要求建设单位严禁越界开采，并增强员工的生态环境保护意识，破坏地表植被。同时要求</w:t>
            </w:r>
            <w:r>
              <w:rPr>
                <w:rFonts w:hint="default" w:ascii="Times New Roman" w:hAnsi="Times New Roman" w:eastAsia="仿宋" w:cs="Times New Roman"/>
                <w:color w:val="FF0000"/>
                <w:spacing w:val="0"/>
                <w:kern w:val="0"/>
                <w:position w:val="0"/>
                <w:sz w:val="24"/>
                <w:szCs w:val="24"/>
                <w:highlight w:val="none"/>
                <w:lang w:val="en-US" w:eastAsia="zh-CN" w:bidi="ar"/>
              </w:rPr>
              <w:t>按照《临泽县金源矿业有限责任公司平川镇羊圈湾冶金用石英岩矿</w:t>
            </w:r>
            <w:r>
              <w:rPr>
                <w:rFonts w:hint="eastAsia" w:ascii="Times New Roman" w:hAnsi="Times New Roman" w:eastAsia="仿宋" w:cs="Times New Roman"/>
                <w:color w:val="FF0000"/>
                <w:spacing w:val="0"/>
                <w:kern w:val="0"/>
                <w:position w:val="0"/>
                <w:sz w:val="24"/>
                <w:szCs w:val="24"/>
                <w:highlight w:val="none"/>
                <w:lang w:val="en-US" w:eastAsia="zh-CN" w:bidi="ar"/>
              </w:rPr>
              <w:t>开采方案</w:t>
            </w:r>
            <w:r>
              <w:rPr>
                <w:rFonts w:hint="default" w:ascii="Times New Roman" w:hAnsi="Times New Roman" w:eastAsia="仿宋" w:cs="Times New Roman"/>
                <w:color w:val="FF0000"/>
                <w:spacing w:val="0"/>
                <w:kern w:val="0"/>
                <w:position w:val="0"/>
                <w:sz w:val="24"/>
                <w:szCs w:val="24"/>
                <w:highlight w:val="none"/>
                <w:lang w:val="en-US" w:eastAsia="zh-CN" w:bidi="ar"/>
              </w:rPr>
              <w:t>与</w:t>
            </w:r>
            <w:r>
              <w:rPr>
                <w:rFonts w:hint="eastAsia" w:ascii="Times New Roman" w:hAnsi="Times New Roman" w:eastAsia="仿宋" w:cs="Times New Roman"/>
                <w:color w:val="FF0000"/>
                <w:spacing w:val="0"/>
                <w:kern w:val="0"/>
                <w:position w:val="0"/>
                <w:sz w:val="24"/>
                <w:szCs w:val="24"/>
                <w:highlight w:val="none"/>
                <w:lang w:val="en-US" w:eastAsia="zh-CN" w:bidi="ar"/>
              </w:rPr>
              <w:t>矿区生态修复</w:t>
            </w:r>
            <w:r>
              <w:rPr>
                <w:rFonts w:hint="default" w:ascii="Times New Roman" w:hAnsi="Times New Roman" w:eastAsia="仿宋" w:cs="Times New Roman"/>
                <w:color w:val="FF0000"/>
                <w:spacing w:val="0"/>
                <w:kern w:val="0"/>
                <w:position w:val="0"/>
                <w:sz w:val="24"/>
                <w:szCs w:val="24"/>
                <w:highlight w:val="none"/>
                <w:lang w:val="en-US" w:eastAsia="zh-CN" w:bidi="ar"/>
              </w:rPr>
              <w:t>方案》</w:t>
            </w:r>
            <w:r>
              <w:rPr>
                <w:rFonts w:hint="eastAsia" w:eastAsia="仿宋" w:cs="Times New Roman"/>
                <w:color w:val="FF0000"/>
                <w:spacing w:val="0"/>
                <w:kern w:val="0"/>
                <w:position w:val="0"/>
                <w:sz w:val="24"/>
                <w:szCs w:val="24"/>
                <w:highlight w:val="none"/>
                <w:lang w:val="en-US" w:eastAsia="zh-CN" w:bidi="ar"/>
              </w:rPr>
              <w:t>实施“边开采、边恢复”的生态恢复措施，</w:t>
            </w:r>
            <w:r>
              <w:rPr>
                <w:rFonts w:hint="default" w:ascii="Times New Roman" w:hAnsi="Times New Roman" w:eastAsia="仿宋" w:cs="Times New Roman"/>
                <w:color w:val="FF0000"/>
                <w:spacing w:val="0"/>
                <w:sz w:val="24"/>
                <w:highlight w:val="none"/>
              </w:rPr>
              <w:t>各种活动应严格控制在采区范围内，尽可能减少对原有的地表植被和土壤的破坏，以免造成土壤与植被的大面积破坏，作业结束后，及时</w:t>
            </w:r>
            <w:r>
              <w:rPr>
                <w:rFonts w:hint="eastAsia" w:ascii="Times New Roman" w:hAnsi="Times New Roman" w:eastAsia="仿宋" w:cs="Times New Roman"/>
                <w:color w:val="FF0000"/>
                <w:spacing w:val="0"/>
                <w:sz w:val="24"/>
                <w:highlight w:val="none"/>
                <w:lang w:eastAsia="zh-CN"/>
              </w:rPr>
              <w:t>做好</w:t>
            </w:r>
            <w:r>
              <w:rPr>
                <w:rFonts w:hint="default" w:ascii="Times New Roman" w:hAnsi="Times New Roman" w:eastAsia="仿宋" w:cs="Times New Roman"/>
                <w:color w:val="FF0000"/>
                <w:spacing w:val="0"/>
                <w:sz w:val="24"/>
                <w:highlight w:val="none"/>
              </w:rPr>
              <w:t>现场清理、恢复工作</w:t>
            </w:r>
            <w:r>
              <w:rPr>
                <w:rFonts w:hint="eastAsia" w:eastAsia="仿宋" w:cs="Times New Roman"/>
                <w:color w:val="FF0000"/>
                <w:spacing w:val="0"/>
                <w:sz w:val="24"/>
                <w:highlight w:val="none"/>
                <w:lang w:eastAsia="zh-CN"/>
              </w:rPr>
              <w:t>，</w:t>
            </w:r>
            <w:r>
              <w:rPr>
                <w:rFonts w:hint="default" w:ascii="Times New Roman" w:hAnsi="Times New Roman" w:eastAsia="仿宋" w:cs="Times New Roman"/>
                <w:color w:val="FF0000"/>
                <w:spacing w:val="0"/>
                <w:kern w:val="0"/>
                <w:position w:val="0"/>
                <w:sz w:val="24"/>
                <w:szCs w:val="24"/>
                <w:highlight w:val="none"/>
                <w:lang w:val="en-US" w:eastAsia="zh-CN" w:bidi="ar"/>
              </w:rPr>
              <w:t>随着本项目生态恢复工程的实施，扰动范围内被破坏的植被将得到逐步恢复，使区域内植被状况向着良好方向发展。</w:t>
            </w:r>
          </w:p>
          <w:p w14:paraId="1DD51DB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b/>
                <w:bCs/>
                <w:color w:val="FF0000"/>
                <w:spacing w:val="0"/>
                <w:sz w:val="24"/>
                <w:szCs w:val="24"/>
                <w:highlight w:val="none"/>
                <w:lang w:val="en-US" w:eastAsia="zh-CN" w:bidi="ar"/>
              </w:rPr>
            </w:pPr>
            <w:r>
              <w:rPr>
                <w:rFonts w:hint="eastAsia" w:eastAsia="仿宋" w:cs="Times New Roman"/>
                <w:b/>
                <w:bCs/>
                <w:color w:val="FF0000"/>
                <w:spacing w:val="0"/>
                <w:sz w:val="24"/>
                <w:szCs w:val="24"/>
                <w:highlight w:val="none"/>
                <w:lang w:val="en-US" w:eastAsia="zh-CN" w:bidi="ar"/>
              </w:rPr>
              <w:t>3.对野生动物生态保护措施</w:t>
            </w:r>
          </w:p>
          <w:p w14:paraId="12ABF4A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仿宋" w:cs="Times New Roman"/>
                <w:color w:val="FF0000"/>
                <w:spacing w:val="0"/>
                <w:kern w:val="0"/>
                <w:position w:val="0"/>
                <w:sz w:val="24"/>
                <w:szCs w:val="24"/>
                <w:highlight w:val="none"/>
                <w:lang w:val="en-US" w:eastAsia="zh-CN" w:bidi="ar"/>
              </w:rPr>
            </w:pPr>
            <w:r>
              <w:rPr>
                <w:rFonts w:hint="default" w:ascii="Times New Roman" w:hAnsi="Times New Roman" w:eastAsia="仿宋" w:cs="Times New Roman"/>
                <w:color w:val="FF0000"/>
                <w:spacing w:val="0"/>
                <w:kern w:val="0"/>
                <w:position w:val="0"/>
                <w:sz w:val="24"/>
                <w:szCs w:val="24"/>
                <w:highlight w:val="none"/>
                <w:lang w:val="en-US" w:eastAsia="zh-CN" w:bidi="ar"/>
              </w:rPr>
              <w:t>根据现场调查，由于人为活动较为频繁，评价区无大型野生动物分布，仅有鸟雀等小型禽类活动和田鼠等小型啮齿类动物。工程实施过程中会对采矿区地表造成扰动，且设备运行过程中会产生一定的噪声，会使扰动区野生动物在一定时期内活动数量有所减少，</w:t>
            </w:r>
            <w:r>
              <w:rPr>
                <w:rFonts w:hint="eastAsia" w:eastAsia="仿宋" w:cs="Times New Roman"/>
                <w:color w:val="FF0000"/>
                <w:spacing w:val="0"/>
                <w:kern w:val="0"/>
                <w:position w:val="0"/>
                <w:sz w:val="24"/>
                <w:szCs w:val="24"/>
                <w:highlight w:val="none"/>
                <w:lang w:val="en-US" w:eastAsia="zh-CN" w:bidi="ar"/>
              </w:rPr>
              <w:t>要求建设单位在开采过程中加强管理，</w:t>
            </w:r>
            <w:r>
              <w:rPr>
                <w:rFonts w:hint="default" w:ascii="Times New Roman" w:hAnsi="Times New Roman" w:eastAsia="仿宋" w:cs="Times New Roman"/>
                <w:color w:val="FF0000"/>
                <w:spacing w:val="0"/>
                <w:sz w:val="24"/>
                <w:highlight w:val="none"/>
              </w:rPr>
              <w:t>科学规划作业时间，以减轻对矿区动物的生活、觅食、繁衍生息造成影响</w:t>
            </w:r>
            <w:r>
              <w:rPr>
                <w:rFonts w:hint="eastAsia" w:eastAsia="仿宋" w:cs="Times New Roman"/>
                <w:color w:val="FF0000"/>
                <w:spacing w:val="0"/>
                <w:kern w:val="0"/>
                <w:position w:val="0"/>
                <w:sz w:val="24"/>
                <w:szCs w:val="24"/>
                <w:highlight w:val="none"/>
                <w:lang w:val="en-US" w:eastAsia="zh-CN" w:bidi="ar"/>
              </w:rPr>
              <w:t>，同时加强开采设备的维修和保养，减小对野生动物的影响。</w:t>
            </w:r>
          </w:p>
          <w:p w14:paraId="6A75BE9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b/>
                <w:bCs/>
                <w:color w:val="FF0000"/>
                <w:spacing w:val="0"/>
                <w:sz w:val="24"/>
                <w:szCs w:val="24"/>
                <w:highlight w:val="none"/>
                <w:lang w:val="en-US" w:eastAsia="zh-CN" w:bidi="ar"/>
              </w:rPr>
            </w:pPr>
            <w:r>
              <w:rPr>
                <w:rFonts w:hint="eastAsia" w:eastAsia="仿宋" w:cs="Times New Roman"/>
                <w:b/>
                <w:bCs/>
                <w:color w:val="FF0000"/>
                <w:spacing w:val="0"/>
                <w:sz w:val="24"/>
                <w:szCs w:val="24"/>
                <w:highlight w:val="none"/>
                <w:lang w:val="en-US" w:eastAsia="zh-CN" w:bidi="ar"/>
              </w:rPr>
              <w:t>4.对生态系统生态保护措施</w:t>
            </w:r>
          </w:p>
          <w:p w14:paraId="3F8803C7">
            <w:pPr>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FF0000"/>
                <w:spacing w:val="0"/>
                <w:kern w:val="0"/>
                <w:position w:val="0"/>
                <w:sz w:val="24"/>
                <w:szCs w:val="24"/>
                <w:highlight w:val="none"/>
                <w:lang w:val="en-US" w:eastAsia="zh-CN" w:bidi="ar"/>
              </w:rPr>
            </w:pPr>
            <w:r>
              <w:rPr>
                <w:rFonts w:hint="default" w:ascii="Times New Roman" w:hAnsi="Times New Roman" w:eastAsia="仿宋" w:cs="Times New Roman"/>
                <w:color w:val="FF0000"/>
                <w:spacing w:val="0"/>
                <w:kern w:val="0"/>
                <w:position w:val="0"/>
                <w:sz w:val="24"/>
                <w:szCs w:val="24"/>
                <w:highlight w:val="none"/>
                <w:lang w:val="en-US" w:eastAsia="zh-CN" w:bidi="ar"/>
              </w:rPr>
              <w:t>本项目对区域生态系统的扰动，将会使区域生态系统的结构和功能紊乱，植被及土壤受到破坏、扰动</w:t>
            </w:r>
            <w:r>
              <w:rPr>
                <w:rFonts w:hint="eastAsia" w:eastAsia="仿宋" w:cs="Times New Roman"/>
                <w:color w:val="FF0000"/>
                <w:spacing w:val="0"/>
                <w:kern w:val="0"/>
                <w:position w:val="0"/>
                <w:sz w:val="24"/>
                <w:szCs w:val="24"/>
                <w:highlight w:val="none"/>
                <w:lang w:val="en-US" w:eastAsia="zh-CN" w:bidi="ar"/>
              </w:rPr>
              <w:t>，</w:t>
            </w:r>
            <w:r>
              <w:rPr>
                <w:rFonts w:hint="default" w:ascii="Times New Roman" w:hAnsi="Times New Roman" w:eastAsia="仿宋" w:cs="Times New Roman"/>
                <w:color w:val="FF0000"/>
                <w:spacing w:val="0"/>
                <w:kern w:val="0"/>
                <w:position w:val="0"/>
                <w:sz w:val="24"/>
                <w:szCs w:val="24"/>
                <w:highlight w:val="none"/>
                <w:lang w:val="en-US" w:eastAsia="zh-CN" w:bidi="ar"/>
              </w:rPr>
              <w:t>不可避免</w:t>
            </w:r>
            <w:r>
              <w:rPr>
                <w:rFonts w:hint="eastAsia" w:ascii="Times New Roman" w:hAnsi="Times New Roman" w:eastAsia="仿宋" w:cs="Times New Roman"/>
                <w:color w:val="FF0000"/>
                <w:spacing w:val="0"/>
                <w:kern w:val="0"/>
                <w:position w:val="0"/>
                <w:sz w:val="24"/>
                <w:szCs w:val="24"/>
                <w:highlight w:val="none"/>
                <w:lang w:val="en-US" w:eastAsia="zh-CN" w:bidi="ar"/>
              </w:rPr>
              <w:t>地</w:t>
            </w:r>
            <w:r>
              <w:rPr>
                <w:rFonts w:hint="default" w:ascii="Times New Roman" w:hAnsi="Times New Roman" w:eastAsia="仿宋" w:cs="Times New Roman"/>
                <w:color w:val="FF0000"/>
                <w:spacing w:val="0"/>
                <w:kern w:val="0"/>
                <w:position w:val="0"/>
                <w:sz w:val="24"/>
                <w:szCs w:val="24"/>
                <w:highlight w:val="none"/>
                <w:lang w:val="en-US" w:eastAsia="zh-CN" w:bidi="ar"/>
              </w:rPr>
              <w:t>破坏区域生态环境，</w:t>
            </w:r>
            <w:r>
              <w:rPr>
                <w:rFonts w:hint="eastAsia" w:eastAsia="仿宋" w:cs="Times New Roman"/>
                <w:color w:val="FF0000"/>
                <w:spacing w:val="0"/>
                <w:kern w:val="0"/>
                <w:position w:val="0"/>
                <w:sz w:val="24"/>
                <w:szCs w:val="24"/>
                <w:highlight w:val="none"/>
                <w:lang w:val="en-US" w:eastAsia="zh-CN" w:bidi="ar"/>
              </w:rPr>
              <w:t>本次环评要求建设单位严禁越界开采和破坏矿区以外的地表植被。同时要求</w:t>
            </w:r>
            <w:r>
              <w:rPr>
                <w:rFonts w:hint="default" w:ascii="Times New Roman" w:hAnsi="Times New Roman" w:eastAsia="仿宋" w:cs="Times New Roman"/>
                <w:color w:val="FF0000"/>
                <w:spacing w:val="0"/>
                <w:kern w:val="0"/>
                <w:position w:val="0"/>
                <w:sz w:val="24"/>
                <w:szCs w:val="24"/>
                <w:highlight w:val="none"/>
                <w:lang w:val="en-US" w:eastAsia="zh-CN" w:bidi="ar"/>
              </w:rPr>
              <w:t>按照《临泽县金源矿业有限责任公司平川镇羊圈湾冶金用石英岩矿</w:t>
            </w:r>
            <w:r>
              <w:rPr>
                <w:rFonts w:hint="eastAsia" w:ascii="Times New Roman" w:hAnsi="Times New Roman" w:eastAsia="仿宋" w:cs="Times New Roman"/>
                <w:color w:val="FF0000"/>
                <w:spacing w:val="0"/>
                <w:kern w:val="0"/>
                <w:position w:val="0"/>
                <w:sz w:val="24"/>
                <w:szCs w:val="24"/>
                <w:highlight w:val="none"/>
                <w:lang w:val="en-US" w:eastAsia="zh-CN" w:bidi="ar"/>
              </w:rPr>
              <w:t>开采方案</w:t>
            </w:r>
            <w:r>
              <w:rPr>
                <w:rFonts w:hint="default" w:ascii="Times New Roman" w:hAnsi="Times New Roman" w:eastAsia="仿宋" w:cs="Times New Roman"/>
                <w:color w:val="FF0000"/>
                <w:spacing w:val="0"/>
                <w:kern w:val="0"/>
                <w:position w:val="0"/>
                <w:sz w:val="24"/>
                <w:szCs w:val="24"/>
                <w:highlight w:val="none"/>
                <w:lang w:val="en-US" w:eastAsia="zh-CN" w:bidi="ar"/>
              </w:rPr>
              <w:t>与</w:t>
            </w:r>
            <w:r>
              <w:rPr>
                <w:rFonts w:hint="eastAsia" w:ascii="Times New Roman" w:hAnsi="Times New Roman" w:eastAsia="仿宋" w:cs="Times New Roman"/>
                <w:color w:val="FF0000"/>
                <w:spacing w:val="0"/>
                <w:kern w:val="0"/>
                <w:position w:val="0"/>
                <w:sz w:val="24"/>
                <w:szCs w:val="24"/>
                <w:highlight w:val="none"/>
                <w:lang w:val="en-US" w:eastAsia="zh-CN" w:bidi="ar"/>
              </w:rPr>
              <w:t>矿区生态修复</w:t>
            </w:r>
            <w:r>
              <w:rPr>
                <w:rFonts w:hint="default" w:ascii="Times New Roman" w:hAnsi="Times New Roman" w:eastAsia="仿宋" w:cs="Times New Roman"/>
                <w:color w:val="FF0000"/>
                <w:spacing w:val="0"/>
                <w:kern w:val="0"/>
                <w:position w:val="0"/>
                <w:sz w:val="24"/>
                <w:szCs w:val="24"/>
                <w:highlight w:val="none"/>
                <w:lang w:val="en-US" w:eastAsia="zh-CN" w:bidi="ar"/>
              </w:rPr>
              <w:t>方案》</w:t>
            </w:r>
            <w:r>
              <w:rPr>
                <w:rFonts w:hint="eastAsia" w:eastAsia="仿宋" w:cs="Times New Roman"/>
                <w:color w:val="FF0000"/>
                <w:spacing w:val="0"/>
                <w:kern w:val="0"/>
                <w:position w:val="0"/>
                <w:sz w:val="24"/>
                <w:szCs w:val="24"/>
                <w:highlight w:val="none"/>
                <w:lang w:val="en-US" w:eastAsia="zh-CN" w:bidi="ar"/>
              </w:rPr>
              <w:t>实施“边开采、边恢复”的生态恢复措施，</w:t>
            </w:r>
            <w:r>
              <w:rPr>
                <w:rFonts w:hint="default" w:ascii="Times New Roman" w:hAnsi="Times New Roman" w:eastAsia="仿宋" w:cs="Times New Roman"/>
                <w:color w:val="FF0000"/>
                <w:spacing w:val="0"/>
                <w:kern w:val="0"/>
                <w:position w:val="0"/>
                <w:sz w:val="24"/>
                <w:szCs w:val="24"/>
                <w:highlight w:val="none"/>
                <w:lang w:val="en-US" w:eastAsia="zh-CN" w:bidi="ar"/>
              </w:rPr>
              <w:t>随着本项目生态恢复工程的实施，扰动范围内</w:t>
            </w:r>
            <w:r>
              <w:rPr>
                <w:rFonts w:hint="eastAsia" w:eastAsia="仿宋" w:cs="Times New Roman"/>
                <w:color w:val="FF0000"/>
                <w:spacing w:val="0"/>
                <w:kern w:val="0"/>
                <w:position w:val="0"/>
                <w:sz w:val="24"/>
                <w:szCs w:val="24"/>
                <w:highlight w:val="none"/>
                <w:lang w:val="en-US" w:eastAsia="zh-CN" w:bidi="ar"/>
              </w:rPr>
              <w:t>的生态系统</w:t>
            </w:r>
            <w:r>
              <w:rPr>
                <w:rFonts w:hint="default" w:ascii="Times New Roman" w:hAnsi="Times New Roman" w:eastAsia="仿宋" w:cs="Times New Roman"/>
                <w:color w:val="FF0000"/>
                <w:spacing w:val="0"/>
                <w:kern w:val="0"/>
                <w:position w:val="0"/>
                <w:sz w:val="24"/>
                <w:szCs w:val="24"/>
                <w:highlight w:val="none"/>
                <w:lang w:val="en-US" w:eastAsia="zh-CN" w:bidi="ar"/>
              </w:rPr>
              <w:t>将得到逐步恢复。</w:t>
            </w:r>
          </w:p>
          <w:p w14:paraId="08655B0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b/>
                <w:bCs/>
                <w:color w:val="FF0000"/>
                <w:spacing w:val="0"/>
                <w:sz w:val="24"/>
                <w:szCs w:val="24"/>
                <w:highlight w:val="none"/>
                <w:lang w:val="en-US" w:eastAsia="zh-CN" w:bidi="ar"/>
              </w:rPr>
            </w:pPr>
            <w:r>
              <w:rPr>
                <w:rFonts w:hint="eastAsia" w:eastAsia="仿宋" w:cs="Times New Roman"/>
                <w:b/>
                <w:bCs/>
                <w:color w:val="FF0000"/>
                <w:spacing w:val="0"/>
                <w:sz w:val="24"/>
                <w:szCs w:val="24"/>
                <w:highlight w:val="none"/>
                <w:lang w:val="en-US" w:eastAsia="zh-CN" w:bidi="ar"/>
              </w:rPr>
              <w:t>5.其他生态保护措施</w:t>
            </w:r>
          </w:p>
          <w:p w14:paraId="23AA1F88">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rPr>
                <w:rFonts w:hint="default" w:ascii="Times New Roman" w:hAnsi="Times New Roman" w:eastAsia="仿宋" w:cs="Times New Roman"/>
                <w:color w:val="FF0000"/>
                <w:spacing w:val="0"/>
                <w:kern w:val="2"/>
                <w:sz w:val="24"/>
                <w:szCs w:val="24"/>
                <w:highlight w:val="none"/>
                <w:lang w:val="en-US" w:eastAsia="zh-CN" w:bidi="ar"/>
              </w:rPr>
            </w:pPr>
            <w:r>
              <w:rPr>
                <w:rFonts w:hint="default" w:ascii="Times New Roman" w:hAnsi="Times New Roman" w:eastAsia="仿宋" w:cs="Times New Roman"/>
                <w:color w:val="FF0000"/>
                <w:spacing w:val="0"/>
                <w:kern w:val="2"/>
                <w:sz w:val="24"/>
                <w:szCs w:val="24"/>
                <w:highlight w:val="none"/>
                <w:lang w:val="en-US" w:eastAsia="zh-CN" w:bidi="ar"/>
              </w:rPr>
              <w:t>①由于矿山服务年限较长，生态恢复在服务期满后再执行不现实，故针对露天采坑应按照“边开采，边治理、边恢复”的原则，本矿山开采采用“分层剥离、分区开采、分区治理、分区恢复”方式，每层开采结束后对破土面进行压实、平整，对采矿形成的裸露面进行覆土，播撒草种，并采用篷布遮盖，对采矿造成的生态破坏进行及时恢复，尽可能使生态环境恢复至原有状况。</w:t>
            </w:r>
          </w:p>
          <w:p w14:paraId="54FB041C">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rPr>
                <w:rFonts w:hint="default" w:ascii="Times New Roman" w:hAnsi="Times New Roman" w:eastAsia="仿宋" w:cs="Times New Roman"/>
                <w:color w:val="FF0000"/>
                <w:spacing w:val="0"/>
                <w:kern w:val="2"/>
                <w:sz w:val="24"/>
                <w:szCs w:val="24"/>
                <w:highlight w:val="none"/>
                <w:lang w:val="en-US" w:eastAsia="zh-CN" w:bidi="ar"/>
              </w:rPr>
            </w:pPr>
            <w:r>
              <w:rPr>
                <w:rFonts w:hint="default" w:ascii="Times New Roman" w:hAnsi="Times New Roman" w:eastAsia="仿宋" w:cs="Times New Roman"/>
                <w:color w:val="FF0000"/>
                <w:spacing w:val="0"/>
                <w:kern w:val="2"/>
                <w:sz w:val="24"/>
                <w:szCs w:val="24"/>
                <w:highlight w:val="none"/>
                <w:lang w:val="en-US" w:eastAsia="zh-CN" w:bidi="ar"/>
              </w:rPr>
              <w:t>②严格限制作业范围，开工前先圈定矿权界线，在露天采场外围用白灰撒线形成警戒线范围、警示牌，严格限制在开采范围外开展任何与开采有关的活动，限制扰动作业范围，尽可能的减少对植被的破坏面积。</w:t>
            </w:r>
          </w:p>
          <w:p w14:paraId="4E7FDAA6">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rPr>
                <w:rFonts w:hint="default" w:ascii="Times New Roman" w:hAnsi="Times New Roman" w:eastAsia="仿宋" w:cs="Times New Roman"/>
                <w:color w:val="FF0000"/>
                <w:spacing w:val="0"/>
                <w:kern w:val="2"/>
                <w:sz w:val="24"/>
                <w:szCs w:val="24"/>
                <w:highlight w:val="none"/>
                <w:lang w:val="en-US" w:eastAsia="zh-CN" w:bidi="ar"/>
              </w:rPr>
            </w:pPr>
            <w:r>
              <w:rPr>
                <w:rFonts w:hint="default" w:ascii="Times New Roman" w:hAnsi="Times New Roman" w:eastAsia="仿宋" w:cs="Times New Roman"/>
                <w:color w:val="FF0000"/>
                <w:spacing w:val="0"/>
                <w:kern w:val="2"/>
                <w:sz w:val="24"/>
                <w:szCs w:val="24"/>
                <w:highlight w:val="none"/>
                <w:lang w:val="en-US" w:eastAsia="zh-CN" w:bidi="ar"/>
              </w:rPr>
              <w:t>③</w:t>
            </w:r>
            <w:r>
              <w:rPr>
                <w:rFonts w:hint="eastAsia" w:eastAsia="仿宋" w:cs="Times New Roman"/>
                <w:color w:val="FF0000"/>
                <w:spacing w:val="0"/>
                <w:kern w:val="2"/>
                <w:sz w:val="24"/>
                <w:szCs w:val="24"/>
                <w:highlight w:val="none"/>
                <w:lang w:val="en-US" w:eastAsia="zh-CN" w:bidi="ar"/>
              </w:rPr>
              <w:t>对</w:t>
            </w:r>
            <w:r>
              <w:rPr>
                <w:rFonts w:hint="default" w:ascii="Times New Roman" w:hAnsi="Times New Roman" w:eastAsia="仿宋" w:cs="Times New Roman"/>
                <w:color w:val="FF0000"/>
                <w:spacing w:val="0"/>
                <w:kern w:val="2"/>
                <w:sz w:val="24"/>
                <w:szCs w:val="24"/>
                <w:highlight w:val="none"/>
                <w:lang w:val="en-US" w:eastAsia="zh-CN" w:bidi="ar"/>
              </w:rPr>
              <w:t>工程人员加强保护植物资源的宣传教育工作，增强工程人员的环保意识，加强管理，严格按照工程方案进行，严格控制工作人员的作业范围，尽可能减少对矿区植被的破坏。</w:t>
            </w:r>
          </w:p>
          <w:p w14:paraId="21A4E632">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rPr>
                <w:rFonts w:hint="default" w:ascii="Times New Roman" w:hAnsi="Times New Roman" w:eastAsia="仿宋" w:cs="Times New Roman"/>
                <w:color w:val="FF0000"/>
                <w:spacing w:val="0"/>
                <w:kern w:val="2"/>
                <w:sz w:val="24"/>
                <w:szCs w:val="24"/>
                <w:highlight w:val="none"/>
                <w:lang w:val="en-US" w:eastAsia="zh-CN" w:bidi="ar"/>
              </w:rPr>
            </w:pPr>
            <w:r>
              <w:rPr>
                <w:rFonts w:hint="default" w:ascii="Times New Roman" w:hAnsi="Times New Roman" w:eastAsia="仿宋" w:cs="Times New Roman"/>
                <w:color w:val="FF0000"/>
                <w:spacing w:val="0"/>
                <w:kern w:val="2"/>
                <w:sz w:val="24"/>
                <w:szCs w:val="24"/>
                <w:highlight w:val="none"/>
                <w:lang w:val="en-US" w:eastAsia="zh-CN" w:bidi="ar"/>
              </w:rPr>
              <w:t>④采区开采结束后形成的采空区及时进行生态恢复。复垦前，先进行坡面清理，修整原则为坡面无浮石。覆土完成后撒播适生草种，可选择固土能力较强的本地草种，草种采用撒播的方式进行种植。撒播可选择种子和细土互掺的方法进行撒播，将种子与适量的细沙或细土混合均匀后同时播下。对于矿区复垦后土壤肥力比较低的状况，需增加土壤有机质和养分含量，改良土壤性状，提高土壤肥力。改土措施可采用土壤培肥的方法来涵养土壤，如施用农家肥等。</w:t>
            </w:r>
          </w:p>
          <w:p w14:paraId="3F35E654">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rPr>
                <w:rFonts w:hint="default" w:ascii="Times New Roman" w:hAnsi="Times New Roman" w:eastAsia="仿宋" w:cs="Times New Roman"/>
                <w:color w:val="FF0000"/>
                <w:spacing w:val="0"/>
                <w:kern w:val="2"/>
                <w:sz w:val="24"/>
                <w:szCs w:val="24"/>
                <w:highlight w:val="none"/>
                <w:lang w:val="en-US" w:eastAsia="zh-CN" w:bidi="ar"/>
              </w:rPr>
            </w:pPr>
            <w:r>
              <w:rPr>
                <w:rFonts w:hint="default" w:ascii="Times New Roman" w:hAnsi="Times New Roman" w:eastAsia="微软雅黑" w:cs="Times New Roman"/>
                <w:color w:val="FF0000"/>
                <w:spacing w:val="0"/>
                <w:kern w:val="2"/>
                <w:sz w:val="24"/>
                <w:szCs w:val="24"/>
                <w:highlight w:val="none"/>
                <w:lang w:val="en-US" w:eastAsia="zh-CN" w:bidi="ar"/>
              </w:rPr>
              <w:t>⑤</w:t>
            </w:r>
            <w:r>
              <w:rPr>
                <w:rFonts w:hint="default" w:ascii="Times New Roman" w:hAnsi="Times New Roman" w:eastAsia="仿宋" w:cs="Times New Roman"/>
                <w:color w:val="FF0000"/>
                <w:spacing w:val="0"/>
                <w:kern w:val="2"/>
                <w:sz w:val="24"/>
                <w:szCs w:val="24"/>
                <w:highlight w:val="none"/>
                <w:lang w:val="en-US" w:eastAsia="zh-CN" w:bidi="ar"/>
              </w:rPr>
              <w:t>矿区开采结束后，将形成坡面切坡，在地面形成不稳定边坡。为了防止滑坡、坍塌等地质灾害的发生，应对部分坡度较陡的</w:t>
            </w:r>
            <w:r>
              <w:rPr>
                <w:rFonts w:hint="eastAsia" w:ascii="Times New Roman" w:hAnsi="Times New Roman" w:eastAsia="仿宋" w:cs="Times New Roman"/>
                <w:color w:val="FF0000"/>
                <w:spacing w:val="0"/>
                <w:kern w:val="2"/>
                <w:sz w:val="24"/>
                <w:szCs w:val="24"/>
                <w:highlight w:val="none"/>
                <w:lang w:val="en-US" w:eastAsia="zh-CN" w:bidi="ar"/>
              </w:rPr>
              <w:t>区域</w:t>
            </w:r>
            <w:r>
              <w:rPr>
                <w:rFonts w:hint="default" w:ascii="Times New Roman" w:hAnsi="Times New Roman" w:eastAsia="仿宋" w:cs="Times New Roman"/>
                <w:color w:val="FF0000"/>
                <w:spacing w:val="0"/>
                <w:kern w:val="2"/>
                <w:sz w:val="24"/>
                <w:szCs w:val="24"/>
                <w:highlight w:val="none"/>
                <w:lang w:val="en-US" w:eastAsia="zh-CN" w:bidi="ar"/>
              </w:rPr>
              <w:t>进行削坡处理，削掉不稳定坡体，使坡面变成缓坡，消除地质灾害风险。削坡开挖土方应直接回填于边坡下部和坡脚，采用施工机械压实，以利于坡体稳定。</w:t>
            </w:r>
          </w:p>
          <w:p w14:paraId="66BC32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FF0000"/>
                <w:spacing w:val="0"/>
                <w:sz w:val="24"/>
                <w:szCs w:val="24"/>
                <w:highlight w:val="none"/>
                <w:lang w:val="en-US" w:eastAsia="zh-CN" w:bidi="ar"/>
              </w:rPr>
            </w:pPr>
            <w:r>
              <w:rPr>
                <w:rFonts w:hint="default" w:ascii="Times New Roman" w:hAnsi="Times New Roman" w:eastAsia="微软雅黑" w:cs="Times New Roman"/>
                <w:color w:val="FF0000"/>
                <w:spacing w:val="0"/>
                <w:sz w:val="24"/>
                <w:szCs w:val="24"/>
                <w:highlight w:val="none"/>
                <w:lang w:val="en-US" w:eastAsia="zh-CN" w:bidi="ar"/>
              </w:rPr>
              <w:t>⑥</w:t>
            </w:r>
            <w:r>
              <w:rPr>
                <w:rFonts w:hint="default" w:ascii="Times New Roman" w:hAnsi="Times New Roman" w:eastAsia="仿宋" w:cs="Times New Roman"/>
                <w:color w:val="FF0000"/>
                <w:spacing w:val="0"/>
                <w:sz w:val="24"/>
                <w:szCs w:val="24"/>
                <w:highlight w:val="none"/>
                <w:lang w:val="en-US" w:eastAsia="zh-CN" w:bidi="ar"/>
              </w:rPr>
              <w:t>严禁外扩</w:t>
            </w:r>
            <w:r>
              <w:rPr>
                <w:rFonts w:hint="eastAsia" w:eastAsia="仿宋" w:cs="Times New Roman"/>
                <w:color w:val="FF0000"/>
                <w:spacing w:val="0"/>
                <w:sz w:val="24"/>
                <w:szCs w:val="24"/>
                <w:highlight w:val="none"/>
                <w:lang w:val="en-US" w:eastAsia="zh-CN" w:bidi="ar"/>
              </w:rPr>
              <w:t>排土场</w:t>
            </w:r>
            <w:r>
              <w:rPr>
                <w:rFonts w:hint="default" w:ascii="Times New Roman" w:hAnsi="Times New Roman" w:eastAsia="仿宋" w:cs="Times New Roman"/>
                <w:color w:val="FF0000"/>
                <w:spacing w:val="0"/>
                <w:sz w:val="24"/>
                <w:szCs w:val="24"/>
                <w:highlight w:val="none"/>
                <w:lang w:val="en-US" w:eastAsia="zh-CN" w:bidi="ar"/>
              </w:rPr>
              <w:t>占地范围，</w:t>
            </w:r>
            <w:r>
              <w:rPr>
                <w:rFonts w:hint="eastAsia" w:eastAsia="仿宋" w:cs="Times New Roman"/>
                <w:color w:val="FF0000"/>
                <w:spacing w:val="0"/>
                <w:sz w:val="24"/>
                <w:szCs w:val="24"/>
                <w:highlight w:val="none"/>
                <w:lang w:val="en-US" w:eastAsia="zh-CN" w:bidi="ar"/>
              </w:rPr>
              <w:t>排土场</w:t>
            </w:r>
            <w:r>
              <w:rPr>
                <w:rFonts w:hint="default" w:ascii="Times New Roman" w:hAnsi="Times New Roman" w:eastAsia="仿宋" w:cs="Times New Roman"/>
                <w:color w:val="FF0000"/>
                <w:spacing w:val="0"/>
                <w:sz w:val="24"/>
                <w:szCs w:val="24"/>
                <w:highlight w:val="none"/>
                <w:lang w:val="en-US" w:eastAsia="zh-CN" w:bidi="ar"/>
              </w:rPr>
              <w:t>“先挡后弃”。</w:t>
            </w:r>
          </w:p>
          <w:p w14:paraId="28F06F3D">
            <w:pPr>
              <w:keepNext w:val="0"/>
              <w:keepLines w:val="0"/>
              <w:pageBreakBefore w:val="0"/>
              <w:widowControl w:val="0"/>
              <w:kinsoku/>
              <w:wordWrap/>
              <w:overflowPunct/>
              <w:autoSpaceDE/>
              <w:bidi w:val="0"/>
              <w:adjustRightInd w:val="0"/>
              <w:snapToGrid w:val="0"/>
              <w:spacing w:line="360" w:lineRule="auto"/>
              <w:ind w:firstLine="482" w:firstLineChars="200"/>
              <w:jc w:val="both"/>
              <w:rPr>
                <w:rFonts w:hint="default" w:ascii="Times New Roman" w:hAnsi="Times New Roman" w:eastAsia="仿宋" w:cs="Times New Roman"/>
                <w:b/>
                <w:color w:val="000000" w:themeColor="text1"/>
                <w:sz w:val="24"/>
                <w:highlight w:val="none"/>
                <w14:textFill>
                  <w14:solidFill>
                    <w14:schemeClr w14:val="tx1"/>
                  </w14:solidFill>
                </w14:textFill>
              </w:rPr>
            </w:pPr>
            <w:r>
              <w:rPr>
                <w:rFonts w:hint="eastAsia" w:eastAsia="仿宋" w:cs="Times New Roman"/>
                <w:b/>
                <w:color w:val="000000" w:themeColor="text1"/>
                <w:sz w:val="24"/>
                <w:highlight w:val="none"/>
                <w:lang w:val="en-US" w:eastAsia="zh-CN"/>
                <w14:textFill>
                  <w14:solidFill>
                    <w14:schemeClr w14:val="tx1"/>
                  </w14:solidFill>
                </w14:textFill>
              </w:rPr>
              <w:t>2.</w:t>
            </w:r>
            <w:r>
              <w:rPr>
                <w:rFonts w:hint="default" w:ascii="Times New Roman" w:hAnsi="Times New Roman" w:eastAsia="仿宋" w:cs="Times New Roman"/>
                <w:b/>
                <w:color w:val="000000" w:themeColor="text1"/>
                <w:sz w:val="24"/>
                <w:highlight w:val="none"/>
                <w14:textFill>
                  <w14:solidFill>
                    <w14:schemeClr w14:val="tx1"/>
                  </w14:solidFill>
                </w14:textFill>
              </w:rPr>
              <w:t>大气污染防治措施</w:t>
            </w:r>
          </w:p>
          <w:p w14:paraId="4C704D38">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微软雅黑"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微软雅黑" w:cs="Times New Roman"/>
                <w:b w:val="0"/>
                <w:bCs/>
                <w:color w:val="000000" w:themeColor="text1"/>
                <w:sz w:val="24"/>
                <w:highlight w:val="none"/>
                <w14:textFill>
                  <w14:solidFill>
                    <w14:schemeClr w14:val="tx1"/>
                  </w14:solidFill>
                </w14:textFill>
              </w:rPr>
              <w:t>⑴</w:t>
            </w:r>
            <w:r>
              <w:rPr>
                <w:rFonts w:hint="eastAsia" w:ascii="Times New Roman" w:hAnsi="Times New Roman" w:eastAsia="仿宋" w:cs="Times New Roman"/>
                <w:b w:val="0"/>
                <w:bCs/>
                <w:color w:val="000000" w:themeColor="text1"/>
                <w:sz w:val="24"/>
                <w:highlight w:val="none"/>
                <w:lang w:val="en-US" w:eastAsia="zh-CN"/>
                <w14:textFill>
                  <w14:solidFill>
                    <w14:schemeClr w14:val="tx1"/>
                  </w14:solidFill>
                </w14:textFill>
              </w:rPr>
              <w:t>无组织废气</w:t>
            </w:r>
          </w:p>
          <w:p w14:paraId="162BA5A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14:textFill>
                  <w14:solidFill>
                    <w14:schemeClr w14:val="tx1"/>
                  </w14:solidFill>
                </w14:textFill>
              </w:rPr>
              <w:t>①</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剥离</w:t>
            </w:r>
            <w:r>
              <w:rPr>
                <w:rFonts w:hint="eastAsia" w:eastAsia="仿宋" w:cs="Times New Roman"/>
                <w:color w:val="000000" w:themeColor="text1"/>
                <w:sz w:val="24"/>
                <w:highlight w:val="none"/>
                <w:lang w:val="en-US" w:eastAsia="zh-CN"/>
                <w14:textFill>
                  <w14:solidFill>
                    <w14:schemeClr w14:val="tx1"/>
                  </w14:solidFill>
                </w14:textFill>
              </w:rPr>
              <w:t>清表</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粉尘</w:t>
            </w:r>
          </w:p>
          <w:p w14:paraId="454ADC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本项目在表土剥离过程中会产生一定量的粉尘，采用</w:t>
            </w:r>
            <w:r>
              <w:rPr>
                <w:rFonts w:hint="eastAsia" w:eastAsia="仿宋" w:cs="Times New Roman"/>
                <w:color w:val="000000" w:themeColor="text1"/>
                <w:sz w:val="24"/>
                <w:highlight w:val="none"/>
                <w:lang w:val="en-US" w:eastAsia="zh-CN"/>
                <w14:textFill>
                  <w14:solidFill>
                    <w14:schemeClr w14:val="tx1"/>
                  </w14:solidFill>
                </w14:textFill>
              </w:rPr>
              <w:t>洒水车抑尘</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，粉尘排放量为</w:t>
            </w:r>
            <w:r>
              <w:rPr>
                <w:rFonts w:hint="eastAsia" w:eastAsia="仿宋" w:cs="Times New Roman"/>
                <w:color w:val="000000" w:themeColor="text1"/>
                <w:sz w:val="24"/>
                <w:highlight w:val="none"/>
                <w:lang w:val="en-US" w:eastAsia="zh-CN"/>
                <w14:textFill>
                  <w14:solidFill>
                    <w14:schemeClr w14:val="tx1"/>
                  </w14:solidFill>
                </w14:textFill>
              </w:rPr>
              <w:t>5.4</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w:t>
            </w:r>
          </w:p>
          <w:p w14:paraId="4D77E670">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②</w:t>
            </w:r>
            <w:r>
              <w:rPr>
                <w:rFonts w:hint="eastAsia" w:eastAsia="仿宋" w:cs="Times New Roman"/>
                <w:color w:val="000000" w:themeColor="text1"/>
                <w:sz w:val="24"/>
                <w:highlight w:val="none"/>
                <w:lang w:val="en-US" w:eastAsia="zh-CN"/>
                <w14:textFill>
                  <w14:solidFill>
                    <w14:schemeClr w14:val="tx1"/>
                  </w14:solidFill>
                </w14:textFill>
              </w:rPr>
              <w:t>穿孔</w:t>
            </w:r>
            <w:r>
              <w:rPr>
                <w:rFonts w:hint="default" w:ascii="Times New Roman" w:hAnsi="Times New Roman" w:eastAsia="仿宋" w:cs="Times New Roman"/>
                <w:color w:val="000000" w:themeColor="text1"/>
                <w:sz w:val="24"/>
                <w:highlight w:val="none"/>
                <w14:textFill>
                  <w14:solidFill>
                    <w14:schemeClr w14:val="tx1"/>
                  </w14:solidFill>
                </w14:textFill>
              </w:rPr>
              <w:t>凿岩粉尘</w:t>
            </w:r>
          </w:p>
          <w:p w14:paraId="389277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14:textFill>
                  <w14:solidFill>
                    <w14:schemeClr w14:val="tx1"/>
                  </w14:solidFill>
                </w14:textFill>
              </w:rPr>
              <w:t>凿岩钻孔时，钻头撞击岩石会产生粉尘，</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采用</w:t>
            </w:r>
            <w:r>
              <w:rPr>
                <w:rFonts w:hint="eastAsia" w:eastAsia="仿宋" w:cs="Times New Roman"/>
                <w:color w:val="000000" w:themeColor="text1"/>
                <w:sz w:val="24"/>
                <w:highlight w:val="none"/>
                <w:lang w:val="en-US" w:eastAsia="zh-CN"/>
                <w14:textFill>
                  <w14:solidFill>
                    <w14:schemeClr w14:val="tx1"/>
                  </w14:solidFill>
                </w14:textFill>
              </w:rPr>
              <w:t>洒水车抑尘</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，粉尘排放量为</w:t>
            </w:r>
            <w:r>
              <w:rPr>
                <w:rFonts w:hint="eastAsia" w:eastAsia="仿宋" w:cs="Times New Roman"/>
                <w:color w:val="000000" w:themeColor="text1"/>
                <w:sz w:val="24"/>
                <w:highlight w:val="none"/>
                <w:lang w:val="en-US" w:eastAsia="zh-CN"/>
                <w14:textFill>
                  <w14:solidFill>
                    <w14:schemeClr w14:val="tx1"/>
                  </w14:solidFill>
                </w14:textFill>
              </w:rPr>
              <w:t>0.06</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w:t>
            </w:r>
          </w:p>
          <w:p w14:paraId="7AFD7CC0">
            <w:pPr>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③</w:t>
            </w:r>
            <w:r>
              <w:rPr>
                <w:rFonts w:hint="default" w:ascii="Times New Roman" w:hAnsi="Times New Roman" w:eastAsia="仿宋" w:cs="Times New Roman"/>
                <w:color w:val="000000" w:themeColor="text1"/>
                <w:sz w:val="24"/>
                <w:highlight w:val="none"/>
                <w14:textFill>
                  <w14:solidFill>
                    <w14:schemeClr w14:val="tx1"/>
                  </w14:solidFill>
                </w14:textFill>
              </w:rPr>
              <w:t>爆破废气</w:t>
            </w:r>
          </w:p>
          <w:p w14:paraId="77DDA6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14:textFill>
                  <w14:solidFill>
                    <w14:schemeClr w14:val="tx1"/>
                  </w14:solidFill>
                </w14:textFill>
              </w:rPr>
              <w:t>炸药爆炸过程中产生的大气污染物主要有CO、NO</w:t>
            </w:r>
            <w:r>
              <w:rPr>
                <w:rFonts w:hint="default" w:ascii="Times New Roman" w:hAnsi="Times New Roman" w:eastAsia="仿宋" w:cs="Times New Roman"/>
                <w:color w:val="000000" w:themeColor="text1"/>
                <w:sz w:val="24"/>
                <w:highlight w:val="none"/>
                <w:vertAlign w:val="subscript"/>
                <w14:textFill>
                  <w14:solidFill>
                    <w14:schemeClr w14:val="tx1"/>
                  </w14:solidFill>
                </w14:textFill>
              </w:rPr>
              <w:t>x</w:t>
            </w:r>
            <w:r>
              <w:rPr>
                <w:rFonts w:hint="default" w:ascii="Times New Roman" w:hAnsi="Times New Roman" w:eastAsia="仿宋" w:cs="Times New Roman"/>
                <w:color w:val="000000" w:themeColor="text1"/>
                <w:sz w:val="24"/>
                <w:highlight w:val="none"/>
                <w14:textFill>
                  <w14:solidFill>
                    <w14:schemeClr w14:val="tx1"/>
                  </w14:solidFill>
                </w14:textFill>
              </w:rPr>
              <w:t>和粉尘。</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由于工程为露天石料矿开采，空气流动性较好，受自然风流扩散影响，可造成采场采矿下风向的大气瞬时污染，这种瞬时污染随着时间推移，以及污染物在空气中不断扩散，其浓度也会逐渐降低。</w:t>
            </w:r>
          </w:p>
          <w:p w14:paraId="2A75347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④液压锤</w:t>
            </w:r>
            <w:r>
              <w:rPr>
                <w:rFonts w:hint="eastAsia" w:eastAsia="仿宋" w:cs="Times New Roman"/>
                <w:color w:val="000000" w:themeColor="text1"/>
                <w:sz w:val="24"/>
                <w:highlight w:val="none"/>
                <w:lang w:val="en-US" w:eastAsia="zh-CN"/>
                <w14:textFill>
                  <w14:solidFill>
                    <w14:schemeClr w14:val="tx1"/>
                  </w14:solidFill>
                </w14:textFill>
              </w:rPr>
              <w:t>二次</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破碎粉尘</w:t>
            </w:r>
          </w:p>
          <w:p w14:paraId="2F196A6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pPr>
            <w:r>
              <w:rPr>
                <w:rFonts w:hint="eastAsia" w:eastAsia="仿宋" w:cs="Times New Roman"/>
                <w:color w:val="000000" w:themeColor="text1"/>
                <w:sz w:val="24"/>
                <w:highlight w:val="none"/>
                <w:lang w:val="en-US" w:eastAsia="zh-CN"/>
                <w14:textFill>
                  <w14:solidFill>
                    <w14:schemeClr w14:val="tx1"/>
                  </w14:solidFill>
                </w14:textFill>
              </w:rPr>
              <w:t>本项目</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开采爆破后难免产生个别大块矿石，这些大块矿石需要进行二次破碎处理，本项目采用</w:t>
            </w:r>
            <w:r>
              <w:rPr>
                <w:rFonts w:hint="eastAsia" w:eastAsia="仿宋" w:cs="Times New Roman"/>
                <w:color w:val="000000" w:themeColor="text1"/>
                <w:sz w:val="24"/>
                <w:highlight w:val="none"/>
                <w:lang w:val="en-US" w:eastAsia="zh-CN"/>
                <w14:textFill>
                  <w14:solidFill>
                    <w14:schemeClr w14:val="tx1"/>
                  </w14:solidFill>
                </w14:textFill>
              </w:rPr>
              <w:t>挖掘机</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液压锤对大块矿石进行二次破碎处理。破碎粉尘主要在液压锤锤破那一瞬间，粉尘产生量较小，采用雾炮机喷雾降尘，破碎粉尘排放量较小。</w:t>
            </w:r>
          </w:p>
          <w:p w14:paraId="6AAEEF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⑤铲装粉尘</w:t>
            </w:r>
          </w:p>
          <w:p w14:paraId="12537C2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eastAsia" w:eastAsia="仿宋" w:cs="Times New Roman"/>
                <w:color w:val="000000" w:themeColor="text1"/>
                <w:kern w:val="0"/>
                <w:sz w:val="24"/>
                <w:highlight w:val="none"/>
                <w:lang w:val="en-US" w:eastAsia="zh-CN"/>
                <w14:textFill>
                  <w14:solidFill>
                    <w14:schemeClr w14:val="tx1"/>
                  </w14:solidFill>
                </w14:textFill>
              </w:rPr>
              <w:t>本</w:t>
            </w:r>
            <w:r>
              <w:rPr>
                <w:rFonts w:hint="default" w:ascii="Times New Roman" w:hAnsi="Times New Roman" w:eastAsia="仿宋" w:cs="Times New Roman"/>
                <w:color w:val="000000" w:themeColor="text1"/>
                <w:kern w:val="0"/>
                <w:sz w:val="24"/>
                <w:highlight w:val="none"/>
                <w14:textFill>
                  <w14:solidFill>
                    <w14:schemeClr w14:val="tx1"/>
                  </w14:solidFill>
                </w14:textFill>
              </w:rPr>
              <w:t>项目矿山山体爆破后的石料</w:t>
            </w:r>
            <w:r>
              <w:rPr>
                <w:rFonts w:hint="eastAsia" w:eastAsia="仿宋" w:cs="Times New Roman"/>
                <w:color w:val="000000" w:themeColor="text1"/>
                <w:kern w:val="0"/>
                <w:sz w:val="24"/>
                <w:highlight w:val="none"/>
                <w:lang w:eastAsia="zh-CN"/>
                <w14:textFill>
                  <w14:solidFill>
                    <w14:schemeClr w14:val="tx1"/>
                  </w14:solidFill>
                </w14:textFill>
              </w:rPr>
              <w:t>、</w:t>
            </w:r>
            <w:r>
              <w:rPr>
                <w:rFonts w:hint="eastAsia" w:eastAsia="仿宋" w:cs="Times New Roman"/>
                <w:color w:val="000000" w:themeColor="text1"/>
                <w:kern w:val="0"/>
                <w:sz w:val="24"/>
                <w:highlight w:val="none"/>
                <w:lang w:val="en-US" w:eastAsia="zh-CN"/>
                <w14:textFill>
                  <w14:solidFill>
                    <w14:schemeClr w14:val="tx1"/>
                  </w14:solidFill>
                </w14:textFill>
              </w:rPr>
              <w:t>废石等</w:t>
            </w:r>
            <w:r>
              <w:rPr>
                <w:rFonts w:hint="default" w:ascii="Times New Roman" w:hAnsi="Times New Roman" w:eastAsia="仿宋" w:cs="Times New Roman"/>
                <w:color w:val="000000" w:themeColor="text1"/>
                <w:kern w:val="0"/>
                <w:sz w:val="24"/>
                <w:highlight w:val="none"/>
                <w14:textFill>
                  <w14:solidFill>
                    <w14:schemeClr w14:val="tx1"/>
                  </w14:solidFill>
                </w14:textFill>
              </w:rPr>
              <w:t>在装车时，需用铲车铲装</w:t>
            </w:r>
            <w:r>
              <w:rPr>
                <w:rFonts w:hint="default" w:ascii="Times New Roman" w:hAnsi="Times New Roman" w:eastAsia="仿宋" w:cs="Times New Roman"/>
                <w:color w:val="000000" w:themeColor="text1"/>
                <w:spacing w:val="0"/>
                <w:kern w:val="0"/>
                <w:position w:val="0"/>
                <w:sz w:val="24"/>
                <w:szCs w:val="24"/>
                <w:highlight w:val="none"/>
                <w:lang w:val="en-US" w:eastAsia="zh-CN" w:bidi="ar"/>
                <w14:textFill>
                  <w14:solidFill>
                    <w14:schemeClr w14:val="tx1"/>
                  </w14:solidFill>
                </w14:textFill>
              </w:rPr>
              <w:t>，铲装过程将产生粉尘，</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铲装采用</w:t>
            </w:r>
            <w:r>
              <w:rPr>
                <w:rFonts w:hint="eastAsia" w:eastAsia="仿宋" w:cs="Times New Roman"/>
                <w:color w:val="000000" w:themeColor="text1"/>
                <w:sz w:val="24"/>
                <w:highlight w:val="none"/>
                <w:lang w:val="en-US" w:eastAsia="zh-CN"/>
                <w14:textFill>
                  <w14:solidFill>
                    <w14:schemeClr w14:val="tx1"/>
                  </w14:solidFill>
                </w14:textFill>
              </w:rPr>
              <w:t>雾炮机进行降尘</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，粉尘排放量为</w:t>
            </w:r>
            <w:r>
              <w:rPr>
                <w:rFonts w:hint="eastAsia" w:eastAsia="仿宋" w:cs="Times New Roman"/>
                <w:color w:val="000000" w:themeColor="text1"/>
                <w:sz w:val="24"/>
                <w:highlight w:val="none"/>
                <w:lang w:val="en-US" w:eastAsia="zh-CN"/>
                <w14:textFill>
                  <w14:solidFill>
                    <w14:schemeClr w14:val="tx1"/>
                  </w14:solidFill>
                </w14:textFill>
              </w:rPr>
              <w:t>2.6</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w:t>
            </w:r>
          </w:p>
          <w:p w14:paraId="5719F95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⑥运输扬尘</w:t>
            </w:r>
          </w:p>
          <w:p w14:paraId="3CA4717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本项目开采出的</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石料</w:t>
            </w:r>
            <w:r>
              <w:rPr>
                <w:rFonts w:hint="eastAsia" w:eastAsia="仿宋" w:cs="Times New Roman"/>
                <w:color w:val="000000" w:themeColor="text1"/>
                <w:sz w:val="24"/>
                <w:highlight w:val="none"/>
                <w:lang w:val="en-US" w:eastAsia="zh-CN"/>
                <w14:textFill>
                  <w14:solidFill>
                    <w14:schemeClr w14:val="tx1"/>
                  </w14:solidFill>
                </w14:textFill>
              </w:rPr>
              <w:t>、废石等</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需通过矿区内部道路运输，车辆行驶产生的扬尘，</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每天对矿区运输道路采取</w:t>
            </w:r>
            <w:r>
              <w:rPr>
                <w:rFonts w:hint="eastAsia" w:eastAsia="仿宋" w:cs="Times New Roman"/>
                <w:color w:val="000000" w:themeColor="text1"/>
                <w:sz w:val="24"/>
                <w:highlight w:val="none"/>
                <w:lang w:val="en-US" w:eastAsia="zh-CN"/>
                <w14:textFill>
                  <w14:solidFill>
                    <w14:schemeClr w14:val="tx1"/>
                  </w14:solidFill>
                </w14:textFill>
              </w:rPr>
              <w:t>洒水车</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洒水降尘，粉尘排放量为</w:t>
            </w:r>
            <w:r>
              <w:rPr>
                <w:rFonts w:hint="eastAsia" w:eastAsia="仿宋" w:cs="Times New Roman"/>
                <w:color w:val="000000" w:themeColor="text1"/>
                <w:sz w:val="24"/>
                <w:highlight w:val="none"/>
                <w:lang w:val="en-US" w:eastAsia="zh-CN"/>
                <w14:textFill>
                  <w14:solidFill>
                    <w14:schemeClr w14:val="tx1"/>
                  </w14:solidFill>
                </w14:textFill>
              </w:rPr>
              <w:t>6.1</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w:t>
            </w:r>
          </w:p>
          <w:p w14:paraId="5503816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⑦排土场粉尘</w:t>
            </w:r>
          </w:p>
          <w:p w14:paraId="646E2F06">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本项目开采过程中剥离表土和废石堆放过程中会产生扬尘，</w:t>
            </w: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采取防尘网苫盖和洒水降尘（洒水车），粉尘排放量为</w:t>
            </w:r>
            <w:r>
              <w:rPr>
                <w:rFonts w:hint="eastAsia" w:eastAsia="仿宋" w:cs="Times New Roman"/>
                <w:b w:val="0"/>
                <w:bCs/>
                <w:color w:val="000000" w:themeColor="text1"/>
                <w:sz w:val="24"/>
                <w:highlight w:val="none"/>
                <w:lang w:val="en-US" w:eastAsia="zh-CN"/>
                <w14:textFill>
                  <w14:solidFill>
                    <w14:schemeClr w14:val="tx1"/>
                  </w14:solidFill>
                </w14:textFill>
              </w:rPr>
              <w:t>0.27</w:t>
            </w: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t/a。</w:t>
            </w:r>
          </w:p>
          <w:p w14:paraId="513C5F65">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⑧石料生产线投料、破碎、筛分粉尘</w:t>
            </w:r>
          </w:p>
          <w:p w14:paraId="772C6A0D">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b w:val="0"/>
                <w:bCs/>
                <w:color w:val="000000" w:themeColor="text1"/>
                <w:kern w:val="2"/>
                <w:sz w:val="24"/>
                <w:szCs w:val="24"/>
                <w:highlight w:val="none"/>
                <w:lang w:val="en-US" w:eastAsia="zh-CN" w:bidi="ar-SA"/>
                <w14:textFill>
                  <w14:solidFill>
                    <w14:schemeClr w14:val="tx1"/>
                  </w14:solidFill>
                </w14:textFill>
              </w:rPr>
              <w:t>本项目物料在</w:t>
            </w: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投料、破碎、筛分</w:t>
            </w:r>
            <w:r>
              <w:rPr>
                <w:rFonts w:hint="default" w:ascii="Times New Roman" w:hAnsi="Times New Roman" w:eastAsia="仿宋" w:cs="Times New Roman"/>
                <w:b w:val="0"/>
                <w:bCs/>
                <w:color w:val="000000" w:themeColor="text1"/>
                <w:kern w:val="2"/>
                <w:sz w:val="24"/>
                <w:szCs w:val="24"/>
                <w:highlight w:val="none"/>
                <w:lang w:val="en-US" w:eastAsia="zh-CN" w:bidi="ar-SA"/>
                <w14:textFill>
                  <w14:solidFill>
                    <w14:schemeClr w14:val="tx1"/>
                  </w14:solidFill>
                </w14:textFill>
              </w:rPr>
              <w:t>过程中会产生粉尘</w:t>
            </w:r>
            <w:r>
              <w:rPr>
                <w:rFonts w:hint="eastAsia" w:eastAsia="仿宋" w:cs="Times New Roman"/>
                <w:b w:val="0"/>
                <w:bCs/>
                <w:color w:val="000000" w:themeColor="text1"/>
                <w:kern w:val="2"/>
                <w:sz w:val="24"/>
                <w:szCs w:val="24"/>
                <w:highlight w:val="none"/>
                <w:lang w:val="en-US" w:eastAsia="zh-CN" w:bidi="ar-SA"/>
                <w14:textFill>
                  <w14:solidFill>
                    <w14:schemeClr w14:val="tx1"/>
                  </w14:solidFill>
                </w14:textFill>
              </w:rPr>
              <w:t>，生产线</w:t>
            </w:r>
            <w:r>
              <w:rPr>
                <w:rFonts w:hint="default" w:ascii="Times New Roman" w:hAnsi="Times New Roman" w:eastAsia="仿宋" w:cs="Times New Roman"/>
                <w:b w:val="0"/>
                <w:bCs/>
                <w:color w:val="000000" w:themeColor="text1"/>
                <w:kern w:val="2"/>
                <w:sz w:val="24"/>
                <w:szCs w:val="24"/>
                <w:highlight w:val="none"/>
                <w:lang w:val="en-US" w:eastAsia="zh-CN" w:bidi="ar-SA"/>
                <w14:textFill>
                  <w14:solidFill>
                    <w14:schemeClr w14:val="tx1"/>
                  </w14:solidFill>
                </w14:textFill>
              </w:rPr>
              <w:t>设置在封闭式车间内，</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粉尘排放量为</w:t>
            </w:r>
            <w:r>
              <w:rPr>
                <w:rFonts w:hint="eastAsia" w:eastAsia="仿宋" w:cs="Times New Roman"/>
                <w:color w:val="000000" w:themeColor="text1"/>
                <w:sz w:val="24"/>
                <w:highlight w:val="none"/>
                <w:lang w:val="en-US" w:eastAsia="zh-CN"/>
                <w14:textFill>
                  <w14:solidFill>
                    <w14:schemeClr w14:val="tx1"/>
                  </w14:solidFill>
                </w14:textFill>
              </w:rPr>
              <w:t>0.76</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t/a。</w:t>
            </w:r>
          </w:p>
          <w:p w14:paraId="5366BB7A">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⑨成品堆场粉尘</w:t>
            </w:r>
          </w:p>
          <w:p w14:paraId="0FB63E04">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lang w:val="en-US" w:eastAsia="zh-CN"/>
                <w14:textFill>
                  <w14:solidFill>
                    <w14:schemeClr w14:val="tx1"/>
                  </w14:solidFill>
                </w14:textFill>
              </w:rPr>
              <w:t>本项目</w:t>
            </w:r>
            <w:r>
              <w:rPr>
                <w:rFonts w:hint="eastAsia" w:eastAsia="仿宋" w:cs="Times New Roman"/>
                <w:color w:val="000000" w:themeColor="text1"/>
                <w:sz w:val="24"/>
                <w:lang w:val="en-US" w:eastAsia="zh-CN"/>
                <w14:textFill>
                  <w14:solidFill>
                    <w14:schemeClr w14:val="tx1"/>
                  </w14:solidFill>
                </w14:textFill>
              </w:rPr>
              <w:t>成品堆场</w:t>
            </w:r>
            <w:r>
              <w:rPr>
                <w:rFonts w:hint="eastAsia" w:ascii="Times New Roman" w:hAnsi="Times New Roman" w:eastAsia="仿宋" w:cs="Times New Roman"/>
                <w:color w:val="000000" w:themeColor="text1"/>
                <w:sz w:val="24"/>
                <w:lang w:val="en-US" w:eastAsia="zh-CN"/>
                <w14:textFill>
                  <w14:solidFill>
                    <w14:schemeClr w14:val="tx1"/>
                  </w14:solidFill>
                </w14:textFill>
              </w:rPr>
              <w:t>设置三面围挡（竖型防风网）+顶部苫盖，并且定期采取洒水降尘</w:t>
            </w:r>
            <w:r>
              <w:rPr>
                <w:rFonts w:hint="default" w:ascii="Times New Roman" w:hAnsi="Times New Roman" w:eastAsia="仿宋" w:cs="Times New Roman"/>
                <w:color w:val="000000" w:themeColor="text1"/>
                <w:sz w:val="24"/>
                <w:lang w:val="en-US" w:eastAsia="zh-CN"/>
                <w14:textFill>
                  <w14:solidFill>
                    <w14:schemeClr w14:val="tx1"/>
                  </w14:solidFill>
                </w14:textFill>
              </w:rPr>
              <w:t>（洒水车+水管）</w:t>
            </w:r>
            <w:r>
              <w:rPr>
                <w:rFonts w:hint="eastAsia" w:ascii="Times New Roman" w:hAnsi="Times New Roman" w:eastAsia="仿宋" w:cs="Times New Roman"/>
                <w:color w:val="000000" w:themeColor="text1"/>
                <w:sz w:val="24"/>
                <w:lang w:val="en-US" w:eastAsia="zh-CN"/>
                <w14:textFill>
                  <w14:solidFill>
                    <w14:schemeClr w14:val="tx1"/>
                  </w14:solidFill>
                </w14:textFill>
              </w:rPr>
              <w:t>措施，分成</w:t>
            </w:r>
            <w:r>
              <w:rPr>
                <w:rFonts w:hint="default" w:ascii="Times New Roman" w:hAnsi="Times New Roman" w:eastAsia="仿宋" w:cs="Times New Roman"/>
                <w:color w:val="000000" w:themeColor="text1"/>
                <w:sz w:val="24"/>
                <w14:textFill>
                  <w14:solidFill>
                    <w14:schemeClr w14:val="tx1"/>
                  </w14:solidFill>
                </w14:textFill>
              </w:rPr>
              <w:t>排放量为</w:t>
            </w:r>
            <w:r>
              <w:rPr>
                <w:rFonts w:hint="eastAsia" w:eastAsia="仿宋" w:cs="Times New Roman"/>
                <w:color w:val="000000" w:themeColor="text1"/>
                <w:sz w:val="24"/>
                <w:lang w:val="en-US" w:eastAsia="zh-CN"/>
                <w14:textFill>
                  <w14:solidFill>
                    <w14:schemeClr w14:val="tx1"/>
                  </w14:solidFill>
                </w14:textFill>
              </w:rPr>
              <w:t>1.36</w:t>
            </w:r>
            <w:r>
              <w:rPr>
                <w:rFonts w:hint="default" w:ascii="Times New Roman" w:hAnsi="Times New Roman" w:eastAsia="仿宋" w:cs="Times New Roman"/>
                <w:color w:val="000000" w:themeColor="text1"/>
                <w:sz w:val="24"/>
                <w14:textFill>
                  <w14:solidFill>
                    <w14:schemeClr w14:val="tx1"/>
                  </w14:solidFill>
                </w14:textFill>
              </w:rPr>
              <w:t>t/a。</w:t>
            </w:r>
          </w:p>
          <w:p w14:paraId="087AB7D6">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pPr>
            <w:r>
              <w:rPr>
                <w:rFonts w:hint="default" w:ascii="Times New Roman" w:hAnsi="Times New Roman" w:eastAsia="仿宋" w:cs="Times New Roman"/>
                <w:b w:val="0"/>
                <w:bCs/>
                <w:color w:val="000000" w:themeColor="text1"/>
                <w:sz w:val="24"/>
                <w:highlight w:val="none"/>
                <w:lang w:eastAsia="zh-CN"/>
                <w14:textFill>
                  <w14:solidFill>
                    <w14:schemeClr w14:val="tx1"/>
                  </w14:solidFill>
                </w14:textFill>
              </w:rPr>
              <w:t>⑩</w:t>
            </w:r>
            <w:r>
              <w:rPr>
                <w:rFonts w:hint="default" w:ascii="Times New Roman" w:hAnsi="Times New Roman" w:eastAsia="仿宋" w:cs="Times New Roman"/>
                <w:b w:val="0"/>
                <w:bCs/>
                <w:color w:val="000000" w:themeColor="text1"/>
                <w:sz w:val="24"/>
                <w:highlight w:val="none"/>
                <w:lang w:val="en-US" w:eastAsia="zh-CN"/>
                <w14:textFill>
                  <w14:solidFill>
                    <w14:schemeClr w14:val="tx1"/>
                  </w14:solidFill>
                </w14:textFill>
              </w:rPr>
              <w:t>皮带传输粉尘</w:t>
            </w:r>
          </w:p>
          <w:p w14:paraId="6BE68FD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kern w:val="0"/>
                <w:sz w:val="24"/>
                <w:szCs w:val="22"/>
                <w14:textFill>
                  <w14:solidFill>
                    <w14:schemeClr w14:val="tx1"/>
                  </w14:solidFill>
                </w14:textFill>
              </w:rPr>
            </w:pPr>
            <w:r>
              <w:rPr>
                <w:rFonts w:hint="default" w:ascii="Times New Roman" w:hAnsi="Times New Roman" w:eastAsia="仿宋" w:cs="Times New Roman"/>
                <w:color w:val="000000" w:themeColor="text1"/>
                <w:kern w:val="0"/>
                <w:sz w:val="24"/>
                <w:szCs w:val="22"/>
                <w14:textFill>
                  <w14:solidFill>
                    <w14:schemeClr w14:val="tx1"/>
                  </w14:solidFill>
                </w14:textFill>
              </w:rPr>
              <w:t>本项目石料加工过程中采用皮带输送机进行输送，在皮带传输过程中会产生一定量的</w:t>
            </w:r>
            <w:r>
              <w:rPr>
                <w:rFonts w:hint="eastAsia" w:ascii="Times New Roman" w:hAnsi="Times New Roman" w:eastAsia="仿宋" w:cs="Times New Roman"/>
                <w:color w:val="000000" w:themeColor="text1"/>
                <w:kern w:val="0"/>
                <w:sz w:val="24"/>
                <w:szCs w:val="22"/>
                <w:lang w:eastAsia="zh-CN"/>
                <w14:textFill>
                  <w14:solidFill>
                    <w14:schemeClr w14:val="tx1"/>
                  </w14:solidFill>
                </w14:textFill>
              </w:rPr>
              <w:t>颗粒物</w:t>
            </w:r>
            <w:r>
              <w:rPr>
                <w:rFonts w:hint="eastAsia" w:eastAsia="仿宋" w:cs="Times New Roman"/>
                <w:color w:val="000000" w:themeColor="text1"/>
                <w:kern w:val="0"/>
                <w:sz w:val="24"/>
                <w:szCs w:val="22"/>
                <w:lang w:eastAsia="zh-CN"/>
                <w14:textFill>
                  <w14:solidFill>
                    <w14:schemeClr w14:val="tx1"/>
                  </w14:solidFill>
                </w14:textFill>
              </w:rPr>
              <w:t>，</w:t>
            </w:r>
            <w:r>
              <w:rPr>
                <w:rFonts w:hint="eastAsia" w:eastAsia="仿宋" w:cs="Times New Roman"/>
                <w:color w:val="000000" w:themeColor="text1"/>
                <w:kern w:val="0"/>
                <w:sz w:val="24"/>
                <w:szCs w:val="22"/>
                <w:lang w:val="en-US" w:eastAsia="zh-CN"/>
                <w14:textFill>
                  <w14:solidFill>
                    <w14:schemeClr w14:val="tx1"/>
                  </w14:solidFill>
                </w14:textFill>
              </w:rPr>
              <w:t>本项目生产线位于封闭式生产车间内，</w:t>
            </w:r>
            <w:r>
              <w:rPr>
                <w:rFonts w:hint="default" w:ascii="Times New Roman" w:hAnsi="Times New Roman" w:eastAsia="仿宋" w:cs="Times New Roman"/>
                <w:color w:val="000000" w:themeColor="text1"/>
                <w:kern w:val="0"/>
                <w:sz w:val="24"/>
                <w:szCs w:val="22"/>
                <w:lang w:val="en-US" w:eastAsia="zh-CN"/>
                <w14:textFill>
                  <w14:solidFill>
                    <w14:schemeClr w14:val="tx1"/>
                  </w14:solidFill>
                </w14:textFill>
              </w:rPr>
              <w:t>皮带输送过程中颗粒物排放量较少</w:t>
            </w:r>
            <w:r>
              <w:rPr>
                <w:rFonts w:hint="default" w:ascii="Times New Roman" w:hAnsi="Times New Roman" w:eastAsia="仿宋" w:cs="Times New Roman"/>
                <w:color w:val="000000" w:themeColor="text1"/>
                <w:kern w:val="0"/>
                <w:sz w:val="24"/>
                <w:szCs w:val="22"/>
                <w14:textFill>
                  <w14:solidFill>
                    <w14:schemeClr w14:val="tx1"/>
                  </w14:solidFill>
                </w14:textFill>
              </w:rPr>
              <w:t>。</w:t>
            </w:r>
          </w:p>
          <w:p w14:paraId="387566B5">
            <w:pPr>
              <w:pStyle w:val="6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综上，</w:t>
            </w:r>
            <w:r>
              <w:rPr>
                <w:rFonts w:hint="default" w:ascii="Times New Roman" w:hAnsi="Times New Roman" w:eastAsia="仿宋" w:cs="Times New Roman"/>
                <w:color w:val="000000" w:themeColor="text1"/>
                <w:lang w:val="en-US" w:eastAsia="zh-CN"/>
                <w14:textFill>
                  <w14:solidFill>
                    <w14:schemeClr w14:val="tx1"/>
                  </w14:solidFill>
                </w14:textFill>
              </w:rPr>
              <w:t>本</w:t>
            </w:r>
            <w:r>
              <w:rPr>
                <w:rFonts w:hint="default" w:ascii="Times New Roman" w:hAnsi="Times New Roman" w:eastAsia="仿宋" w:cs="Times New Roman"/>
                <w:color w:val="000000" w:themeColor="text1"/>
                <w14:textFill>
                  <w14:solidFill>
                    <w14:schemeClr w14:val="tx1"/>
                  </w14:solidFill>
                </w14:textFill>
              </w:rPr>
              <w:t>项目通过加强生产设备及环保设施的运行维护，</w:t>
            </w:r>
            <w:r>
              <w:rPr>
                <w:rFonts w:hint="eastAsia" w:eastAsia="仿宋" w:cs="Times New Roman"/>
                <w:color w:val="000000" w:themeColor="text1"/>
                <w:sz w:val="24"/>
                <w:lang w:val="en-US" w:eastAsia="zh-CN"/>
                <w14:textFill>
                  <w14:solidFill>
                    <w14:schemeClr w14:val="tx1"/>
                  </w14:solidFill>
                </w14:textFill>
              </w:rPr>
              <w:t>成品堆场</w:t>
            </w:r>
            <w:r>
              <w:rPr>
                <w:rFonts w:hint="eastAsia" w:ascii="Times New Roman" w:hAnsi="Times New Roman" w:eastAsia="仿宋" w:cs="Times New Roman"/>
                <w:color w:val="000000" w:themeColor="text1"/>
                <w:sz w:val="24"/>
                <w:lang w:val="en-US" w:eastAsia="zh-CN"/>
                <w14:textFill>
                  <w14:solidFill>
                    <w14:schemeClr w14:val="tx1"/>
                  </w14:solidFill>
                </w14:textFill>
              </w:rPr>
              <w:t>设置三面围挡（竖型防风网）+顶部苫盖，</w:t>
            </w:r>
            <w:r>
              <w:rPr>
                <w:rFonts w:hint="eastAsia" w:eastAsia="仿宋" w:cs="Times New Roman"/>
                <w:color w:val="000000" w:themeColor="text1"/>
                <w:sz w:val="24"/>
                <w:lang w:val="en-US" w:eastAsia="zh-CN"/>
                <w14:textFill>
                  <w14:solidFill>
                    <w14:schemeClr w14:val="tx1"/>
                  </w14:solidFill>
                </w14:textFill>
              </w:rPr>
              <w:t>排土场设置防尘网苫盖，</w:t>
            </w:r>
            <w:r>
              <w:rPr>
                <w:rFonts w:hint="eastAsia" w:ascii="Times New Roman" w:hAnsi="Times New Roman" w:eastAsia="仿宋" w:cs="Times New Roman"/>
                <w:color w:val="000000" w:themeColor="text1"/>
                <w:sz w:val="24"/>
                <w:lang w:val="en-US" w:eastAsia="zh-CN"/>
                <w14:textFill>
                  <w14:solidFill>
                    <w14:schemeClr w14:val="tx1"/>
                  </w14:solidFill>
                </w14:textFill>
              </w:rPr>
              <w:t>并且定期采取洒水降尘措施</w:t>
            </w:r>
            <w:r>
              <w:rPr>
                <w:rFonts w:hint="default" w:ascii="Times New Roman" w:hAnsi="Times New Roman" w:eastAsia="仿宋" w:cs="Times New Roman"/>
                <w:color w:val="000000" w:themeColor="text1"/>
                <w:lang w:val="en-US" w:eastAsia="zh-CN"/>
                <w14:textFill>
                  <w14:solidFill>
                    <w14:schemeClr w14:val="tx1"/>
                  </w14:solidFill>
                </w14:textFill>
              </w:rPr>
              <w:t>，</w:t>
            </w:r>
            <w:r>
              <w:rPr>
                <w:rFonts w:hint="default" w:ascii="Times New Roman" w:hAnsi="Times New Roman" w:eastAsia="仿宋" w:cs="Times New Roman"/>
                <w:color w:val="000000" w:themeColor="text1"/>
                <w14:textFill>
                  <w14:solidFill>
                    <w14:schemeClr w14:val="tx1"/>
                  </w14:solidFill>
                </w14:textFill>
              </w:rPr>
              <w:t>厂界颗粒物浓度满足《大气污染物综合排放标准》</w:t>
            </w:r>
            <w:r>
              <w:rPr>
                <w:rFonts w:hint="default" w:ascii="Times New Roman" w:hAnsi="Times New Roman" w:eastAsia="仿宋" w:cs="Times New Roman"/>
                <w:color w:val="000000" w:themeColor="text1"/>
                <w:lang w:eastAsia="zh-CN"/>
                <w14:textFill>
                  <w14:solidFill>
                    <w14:schemeClr w14:val="tx1"/>
                  </w14:solidFill>
                </w14:textFill>
              </w:rPr>
              <w:t>（</w:t>
            </w:r>
            <w:r>
              <w:rPr>
                <w:rFonts w:hint="default" w:ascii="Times New Roman" w:hAnsi="Times New Roman" w:eastAsia="仿宋" w:cs="Times New Roman"/>
                <w:color w:val="000000" w:themeColor="text1"/>
                <w14:textFill>
                  <w14:solidFill>
                    <w14:schemeClr w14:val="tx1"/>
                  </w14:solidFill>
                </w14:textFill>
              </w:rPr>
              <w:t>GB16297-1996</w:t>
            </w:r>
            <w:r>
              <w:rPr>
                <w:rFonts w:hint="default" w:ascii="Times New Roman" w:hAnsi="Times New Roman" w:eastAsia="仿宋" w:cs="Times New Roman"/>
                <w:color w:val="000000" w:themeColor="text1"/>
                <w:lang w:eastAsia="zh-CN"/>
                <w14:textFill>
                  <w14:solidFill>
                    <w14:schemeClr w14:val="tx1"/>
                  </w14:solidFill>
                </w14:textFill>
              </w:rPr>
              <w:t>）</w:t>
            </w:r>
            <w:r>
              <w:rPr>
                <w:rFonts w:hint="default" w:ascii="Times New Roman" w:hAnsi="Times New Roman" w:eastAsia="仿宋" w:cs="Times New Roman"/>
                <w:color w:val="000000" w:themeColor="text1"/>
                <w14:textFill>
                  <w14:solidFill>
                    <w14:schemeClr w14:val="tx1"/>
                  </w14:solidFill>
                </w14:textFill>
              </w:rPr>
              <w:t>中无组织排放监控浓度限值，对周围大气环境影响较小。</w:t>
            </w:r>
          </w:p>
          <w:p w14:paraId="45F32149">
            <w:pPr>
              <w:keepNext w:val="0"/>
              <w:keepLines w:val="0"/>
              <w:pageBreakBefore w:val="0"/>
              <w:widowControl w:val="0"/>
              <w:kinsoku/>
              <w:wordWrap/>
              <w:overflowPunct/>
              <w:topLinePunct/>
              <w:autoSpaceDE/>
              <w:autoSpaceDN w:val="0"/>
              <w:bidi w:val="0"/>
              <w:adjustRightInd w:val="0"/>
              <w:snapToGrid w:val="0"/>
              <w:spacing w:line="360" w:lineRule="auto"/>
              <w:ind w:leftChars="0" w:firstLine="480" w:firstLineChars="200"/>
              <w:jc w:val="both"/>
              <w:textAlignment w:val="center"/>
              <w:rPr>
                <w:rFonts w:hint="default" w:ascii="Times New Roman" w:hAnsi="Times New Roman" w:eastAsia="仿宋" w:cs="Times New Roman"/>
                <w:b w:val="0"/>
                <w:bCs/>
                <w:color w:val="FF0000"/>
                <w:sz w:val="24"/>
                <w:highlight w:val="none"/>
                <w:lang w:val="en-US" w:eastAsia="zh-CN"/>
              </w:rPr>
            </w:pPr>
            <w:r>
              <w:rPr>
                <w:rFonts w:hint="default" w:ascii="Times New Roman" w:hAnsi="Times New Roman" w:eastAsia="仿宋" w:cs="Times New Roman"/>
                <w:b w:val="0"/>
                <w:bCs/>
                <w:color w:val="FF0000"/>
                <w:sz w:val="24"/>
                <w:highlight w:val="none"/>
                <w:lang w:val="en-US" w:eastAsia="zh-CN"/>
              </w:rPr>
              <w:t>⑵</w:t>
            </w:r>
            <w:r>
              <w:rPr>
                <w:rFonts w:hint="eastAsia" w:ascii="Times New Roman" w:hAnsi="Times New Roman" w:eastAsia="仿宋" w:cs="Times New Roman"/>
                <w:b w:val="0"/>
                <w:bCs/>
                <w:color w:val="FF0000"/>
                <w:sz w:val="24"/>
                <w:highlight w:val="none"/>
                <w:lang w:val="en-US" w:eastAsia="zh-CN"/>
              </w:rPr>
              <w:t>有组织废气</w:t>
            </w:r>
          </w:p>
          <w:p w14:paraId="186DC0ED">
            <w:pPr>
              <w:pStyle w:val="6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仿宋" w:cs="Times New Roman"/>
                <w:b w:val="0"/>
                <w:bCs/>
                <w:color w:val="FF0000"/>
                <w:kern w:val="2"/>
                <w:sz w:val="24"/>
                <w:szCs w:val="24"/>
                <w:highlight w:val="none"/>
                <w:lang w:val="en-US" w:eastAsia="zh-CN" w:bidi="ar-SA"/>
              </w:rPr>
            </w:pPr>
            <w:r>
              <w:rPr>
                <w:rFonts w:hint="eastAsia" w:ascii="Times New Roman" w:hAnsi="Times New Roman" w:eastAsia="仿宋" w:cs="Times New Roman"/>
                <w:b w:val="0"/>
                <w:bCs/>
                <w:color w:val="FF0000"/>
                <w:kern w:val="2"/>
                <w:sz w:val="24"/>
                <w:szCs w:val="24"/>
                <w:highlight w:val="none"/>
                <w:lang w:val="en-US" w:eastAsia="zh-CN" w:bidi="ar-SA"/>
              </w:rPr>
              <w:t>本项目石料</w:t>
            </w:r>
            <w:r>
              <w:rPr>
                <w:rFonts w:hint="eastAsia" w:eastAsia="仿宋" w:cs="Times New Roman"/>
                <w:b w:val="0"/>
                <w:bCs/>
                <w:color w:val="FF0000"/>
                <w:kern w:val="2"/>
                <w:sz w:val="24"/>
                <w:szCs w:val="24"/>
                <w:highlight w:val="none"/>
                <w:lang w:val="en-US" w:eastAsia="zh-CN" w:bidi="ar-SA"/>
              </w:rPr>
              <w:t>投料及</w:t>
            </w:r>
            <w:r>
              <w:rPr>
                <w:rFonts w:hint="eastAsia" w:ascii="Times New Roman" w:hAnsi="Times New Roman" w:eastAsia="仿宋" w:cs="Times New Roman"/>
                <w:b w:val="0"/>
                <w:bCs/>
                <w:color w:val="FF0000"/>
                <w:kern w:val="2"/>
                <w:sz w:val="24"/>
                <w:szCs w:val="24"/>
                <w:highlight w:val="none"/>
                <w:lang w:val="en-US" w:eastAsia="zh-CN" w:bidi="ar-SA"/>
              </w:rPr>
              <w:t>破碎工序易产生粉尘，</w:t>
            </w:r>
            <w:r>
              <w:rPr>
                <w:rFonts w:hint="eastAsia" w:eastAsia="仿宋" w:cs="Times New Roman"/>
                <w:b w:val="0"/>
                <w:bCs/>
                <w:color w:val="FF0000"/>
                <w:kern w:val="2"/>
                <w:sz w:val="24"/>
                <w:szCs w:val="24"/>
                <w:highlight w:val="none"/>
                <w:lang w:val="en-US" w:eastAsia="zh-CN" w:bidi="ar-SA"/>
              </w:rPr>
              <w:t>投料及破碎设备设置集气罩（收集效率为80%），粉尘经集气罩收集后通过布袋除尘器（除尘效率99%）处理然后经15m排气筒排放（DA001），</w:t>
            </w:r>
            <w:r>
              <w:rPr>
                <w:rFonts w:hint="eastAsia" w:ascii="Times New Roman" w:hAnsi="Times New Roman" w:eastAsia="仿宋" w:cs="Times New Roman"/>
                <w:b w:val="0"/>
                <w:bCs/>
                <w:color w:val="FF0000"/>
                <w:kern w:val="2"/>
                <w:sz w:val="24"/>
                <w:szCs w:val="24"/>
                <w:highlight w:val="none"/>
                <w:lang w:val="en-US" w:eastAsia="zh-CN" w:bidi="ar-SA"/>
              </w:rPr>
              <w:t>粉尘的排放量为1.</w:t>
            </w:r>
            <w:r>
              <w:rPr>
                <w:rFonts w:hint="eastAsia" w:eastAsia="仿宋" w:cs="Times New Roman"/>
                <w:b w:val="0"/>
                <w:bCs/>
                <w:color w:val="FF0000"/>
                <w:kern w:val="2"/>
                <w:sz w:val="24"/>
                <w:szCs w:val="24"/>
                <w:highlight w:val="none"/>
                <w:lang w:val="en-US" w:eastAsia="zh-CN" w:bidi="ar-SA"/>
              </w:rPr>
              <w:t>5</w:t>
            </w:r>
            <w:r>
              <w:rPr>
                <w:rFonts w:hint="eastAsia" w:ascii="Times New Roman" w:hAnsi="Times New Roman" w:eastAsia="仿宋" w:cs="Times New Roman"/>
                <w:b w:val="0"/>
                <w:bCs/>
                <w:color w:val="FF0000"/>
                <w:kern w:val="2"/>
                <w:sz w:val="24"/>
                <w:szCs w:val="24"/>
                <w:highlight w:val="none"/>
                <w:lang w:val="en-US" w:eastAsia="zh-CN" w:bidi="ar-SA"/>
              </w:rPr>
              <w:t>t/a，粉尘排放速率为0.</w:t>
            </w:r>
            <w:r>
              <w:rPr>
                <w:rFonts w:hint="eastAsia" w:eastAsia="仿宋" w:cs="Times New Roman"/>
                <w:b w:val="0"/>
                <w:bCs/>
                <w:color w:val="FF0000"/>
                <w:kern w:val="2"/>
                <w:sz w:val="24"/>
                <w:szCs w:val="24"/>
                <w:highlight w:val="none"/>
                <w:lang w:val="en-US" w:eastAsia="zh-CN" w:bidi="ar-SA"/>
              </w:rPr>
              <w:t>76</w:t>
            </w:r>
            <w:r>
              <w:rPr>
                <w:rFonts w:hint="eastAsia" w:ascii="Times New Roman" w:hAnsi="Times New Roman" w:eastAsia="仿宋" w:cs="Times New Roman"/>
                <w:b w:val="0"/>
                <w:bCs/>
                <w:color w:val="FF0000"/>
                <w:kern w:val="2"/>
                <w:sz w:val="24"/>
                <w:szCs w:val="24"/>
                <w:highlight w:val="none"/>
                <w:lang w:val="en-US" w:eastAsia="zh-CN" w:bidi="ar-SA"/>
              </w:rPr>
              <w:t>kg/h，粉尘的排放浓度为</w:t>
            </w:r>
            <w:r>
              <w:rPr>
                <w:rFonts w:hint="eastAsia" w:eastAsia="仿宋" w:cs="Times New Roman"/>
                <w:b w:val="0"/>
                <w:bCs/>
                <w:color w:val="FF0000"/>
                <w:kern w:val="2"/>
                <w:sz w:val="24"/>
                <w:szCs w:val="24"/>
                <w:highlight w:val="none"/>
                <w:lang w:val="en-US" w:eastAsia="zh-CN" w:bidi="ar-SA"/>
              </w:rPr>
              <w:t>13</w:t>
            </w:r>
            <w:r>
              <w:rPr>
                <w:rFonts w:hint="eastAsia" w:ascii="Times New Roman" w:hAnsi="Times New Roman" w:eastAsia="仿宋" w:cs="Times New Roman"/>
                <w:b w:val="0"/>
                <w:bCs/>
                <w:color w:val="FF0000"/>
                <w:kern w:val="2"/>
                <w:sz w:val="24"/>
                <w:szCs w:val="24"/>
                <w:highlight w:val="none"/>
                <w:lang w:val="en-US" w:eastAsia="zh-CN" w:bidi="ar-SA"/>
              </w:rPr>
              <w:t>mg/m</w:t>
            </w:r>
            <w:r>
              <w:rPr>
                <w:rFonts w:hint="eastAsia" w:ascii="Times New Roman" w:hAnsi="Times New Roman" w:eastAsia="仿宋" w:cs="Times New Roman"/>
                <w:b w:val="0"/>
                <w:bCs/>
                <w:color w:val="FF0000"/>
                <w:kern w:val="2"/>
                <w:sz w:val="24"/>
                <w:szCs w:val="24"/>
                <w:highlight w:val="none"/>
                <w:vertAlign w:val="superscript"/>
                <w:lang w:val="en-US" w:eastAsia="zh-CN" w:bidi="ar-SA"/>
              </w:rPr>
              <w:t>3</w:t>
            </w:r>
            <w:r>
              <w:rPr>
                <w:rFonts w:hint="eastAsia" w:ascii="Times New Roman" w:hAnsi="Times New Roman" w:eastAsia="仿宋" w:cs="Times New Roman"/>
                <w:b w:val="0"/>
                <w:bCs/>
                <w:color w:val="FF0000"/>
                <w:kern w:val="2"/>
                <w:sz w:val="24"/>
                <w:szCs w:val="24"/>
                <w:highlight w:val="none"/>
                <w:lang w:val="en-US" w:eastAsia="zh-CN" w:bidi="ar-SA"/>
              </w:rPr>
              <w:t>，满足</w:t>
            </w:r>
            <w:r>
              <w:rPr>
                <w:rFonts w:hint="default" w:ascii="Times New Roman" w:hAnsi="Times New Roman" w:eastAsia="仿宋" w:cs="Times New Roman"/>
                <w:color w:val="FF0000"/>
              </w:rPr>
              <w:t>《大气污染物综合排放标准》</w:t>
            </w:r>
            <w:r>
              <w:rPr>
                <w:rFonts w:hint="default" w:ascii="Times New Roman" w:hAnsi="Times New Roman" w:eastAsia="仿宋" w:cs="Times New Roman"/>
                <w:color w:val="FF0000"/>
                <w:lang w:eastAsia="zh-CN"/>
              </w:rPr>
              <w:t>（</w:t>
            </w:r>
            <w:r>
              <w:rPr>
                <w:rFonts w:hint="default" w:ascii="Times New Roman" w:hAnsi="Times New Roman" w:eastAsia="仿宋" w:cs="Times New Roman"/>
                <w:color w:val="FF0000"/>
              </w:rPr>
              <w:t>GB16297-1996</w:t>
            </w:r>
            <w:r>
              <w:rPr>
                <w:rFonts w:hint="default" w:ascii="Times New Roman" w:hAnsi="Times New Roman" w:eastAsia="仿宋" w:cs="Times New Roman"/>
                <w:color w:val="FF0000"/>
                <w:lang w:eastAsia="zh-CN"/>
              </w:rPr>
              <w:t>）</w:t>
            </w:r>
            <w:r>
              <w:rPr>
                <w:rFonts w:hint="default" w:ascii="Times New Roman" w:hAnsi="Times New Roman" w:eastAsia="仿宋" w:cs="Times New Roman"/>
                <w:color w:val="FF0000"/>
              </w:rPr>
              <w:t>中</w:t>
            </w:r>
            <w:r>
              <w:rPr>
                <w:rFonts w:hint="eastAsia" w:ascii="Times New Roman" w:hAnsi="Times New Roman" w:eastAsia="仿宋" w:cs="Times New Roman"/>
                <w:color w:val="FF0000"/>
                <w:lang w:val="en-US" w:eastAsia="zh-CN"/>
              </w:rPr>
              <w:t>表2排放浓度要求</w:t>
            </w:r>
            <w:r>
              <w:rPr>
                <w:rFonts w:hint="default" w:ascii="Times New Roman" w:hAnsi="Times New Roman" w:eastAsia="仿宋" w:cs="Times New Roman"/>
                <w:color w:val="FF0000"/>
              </w:rPr>
              <w:t>，对周围大气环境影响较小。</w:t>
            </w:r>
          </w:p>
          <w:p w14:paraId="22EA5DEC">
            <w:pPr>
              <w:pStyle w:val="6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仿宋" w:cs="Times New Roman"/>
                <w:b w:val="0"/>
                <w:bCs/>
                <w:color w:val="FF0000"/>
                <w:kern w:val="2"/>
                <w:sz w:val="24"/>
                <w:szCs w:val="24"/>
                <w:highlight w:val="none"/>
                <w:lang w:val="en-US" w:eastAsia="zh-CN" w:bidi="ar-SA"/>
              </w:rPr>
            </w:pPr>
            <w:r>
              <w:rPr>
                <w:rFonts w:hint="eastAsia" w:ascii="Times New Roman" w:hAnsi="Times New Roman" w:eastAsia="仿宋" w:cs="Times New Roman"/>
                <w:b w:val="0"/>
                <w:bCs/>
                <w:color w:val="FF0000"/>
                <w:kern w:val="2"/>
                <w:sz w:val="24"/>
                <w:szCs w:val="24"/>
                <w:highlight w:val="none"/>
                <w:lang w:val="en-US" w:eastAsia="zh-CN" w:bidi="ar-SA"/>
              </w:rPr>
              <w:t>本项目石料筛分工序易产生粉尘，</w:t>
            </w:r>
            <w:r>
              <w:rPr>
                <w:rFonts w:hint="eastAsia" w:eastAsia="仿宋" w:cs="Times New Roman"/>
                <w:b w:val="0"/>
                <w:bCs/>
                <w:color w:val="FF0000"/>
                <w:kern w:val="2"/>
                <w:sz w:val="24"/>
                <w:szCs w:val="24"/>
                <w:highlight w:val="none"/>
                <w:lang w:val="en-US" w:eastAsia="zh-CN" w:bidi="ar-SA"/>
              </w:rPr>
              <w:t>筛分设备设置集气罩（收集效率为80%），粉尘经集气罩收集后通过布袋除尘器（除尘效率99%）处理然后经15m排气筒排放（DA002），</w:t>
            </w:r>
            <w:r>
              <w:rPr>
                <w:rFonts w:hint="eastAsia" w:ascii="Times New Roman" w:hAnsi="Times New Roman" w:eastAsia="仿宋" w:cs="Times New Roman"/>
                <w:b w:val="0"/>
                <w:bCs/>
                <w:color w:val="FF0000"/>
                <w:kern w:val="2"/>
                <w:sz w:val="24"/>
                <w:szCs w:val="24"/>
                <w:highlight w:val="none"/>
                <w:lang w:val="en-US" w:eastAsia="zh-CN" w:bidi="ar-SA"/>
              </w:rPr>
              <w:t>粉尘的排放量为</w:t>
            </w:r>
            <w:r>
              <w:rPr>
                <w:rFonts w:hint="eastAsia" w:eastAsia="仿宋" w:cs="Times New Roman"/>
                <w:b w:val="0"/>
                <w:bCs/>
                <w:color w:val="FF0000"/>
                <w:kern w:val="2"/>
                <w:sz w:val="24"/>
                <w:szCs w:val="24"/>
                <w:highlight w:val="none"/>
                <w:lang w:val="en-US" w:eastAsia="zh-CN" w:bidi="ar-SA"/>
              </w:rPr>
              <w:t>1.5</w:t>
            </w:r>
            <w:r>
              <w:rPr>
                <w:rFonts w:hint="eastAsia" w:ascii="Times New Roman" w:hAnsi="Times New Roman" w:eastAsia="仿宋" w:cs="Times New Roman"/>
                <w:b w:val="0"/>
                <w:bCs/>
                <w:color w:val="FF0000"/>
                <w:kern w:val="2"/>
                <w:sz w:val="24"/>
                <w:szCs w:val="24"/>
                <w:highlight w:val="none"/>
                <w:lang w:val="en-US" w:eastAsia="zh-CN" w:bidi="ar-SA"/>
              </w:rPr>
              <w:t>t/a，粉尘排放速率为0.</w:t>
            </w:r>
            <w:r>
              <w:rPr>
                <w:rFonts w:hint="eastAsia" w:eastAsia="仿宋" w:cs="Times New Roman"/>
                <w:b w:val="0"/>
                <w:bCs/>
                <w:color w:val="FF0000"/>
                <w:kern w:val="2"/>
                <w:sz w:val="24"/>
                <w:szCs w:val="24"/>
                <w:highlight w:val="none"/>
                <w:lang w:val="en-US" w:eastAsia="zh-CN" w:bidi="ar-SA"/>
              </w:rPr>
              <w:t>76</w:t>
            </w:r>
            <w:r>
              <w:rPr>
                <w:rFonts w:hint="eastAsia" w:ascii="Times New Roman" w:hAnsi="Times New Roman" w:eastAsia="仿宋" w:cs="Times New Roman"/>
                <w:b w:val="0"/>
                <w:bCs/>
                <w:color w:val="FF0000"/>
                <w:kern w:val="2"/>
                <w:sz w:val="24"/>
                <w:szCs w:val="24"/>
                <w:highlight w:val="none"/>
                <w:lang w:val="en-US" w:eastAsia="zh-CN" w:bidi="ar-SA"/>
              </w:rPr>
              <w:t>kg/h，粉尘的排放浓度为</w:t>
            </w:r>
            <w:r>
              <w:rPr>
                <w:rFonts w:hint="eastAsia" w:eastAsia="仿宋" w:cs="Times New Roman"/>
                <w:b w:val="0"/>
                <w:bCs/>
                <w:color w:val="FF0000"/>
                <w:kern w:val="2"/>
                <w:sz w:val="24"/>
                <w:szCs w:val="24"/>
                <w:highlight w:val="none"/>
                <w:lang w:val="en-US" w:eastAsia="zh-CN" w:bidi="ar-SA"/>
              </w:rPr>
              <w:t>12</w:t>
            </w:r>
            <w:r>
              <w:rPr>
                <w:rFonts w:hint="eastAsia" w:ascii="Times New Roman" w:hAnsi="Times New Roman" w:eastAsia="仿宋" w:cs="Times New Roman"/>
                <w:b w:val="0"/>
                <w:bCs/>
                <w:color w:val="FF0000"/>
                <w:kern w:val="2"/>
                <w:sz w:val="24"/>
                <w:szCs w:val="24"/>
                <w:highlight w:val="none"/>
                <w:lang w:val="en-US" w:eastAsia="zh-CN" w:bidi="ar-SA"/>
              </w:rPr>
              <w:t>mg/m</w:t>
            </w:r>
            <w:r>
              <w:rPr>
                <w:rFonts w:hint="eastAsia" w:ascii="Times New Roman" w:hAnsi="Times New Roman" w:eastAsia="仿宋" w:cs="Times New Roman"/>
                <w:b w:val="0"/>
                <w:bCs/>
                <w:color w:val="FF0000"/>
                <w:kern w:val="2"/>
                <w:sz w:val="24"/>
                <w:szCs w:val="24"/>
                <w:highlight w:val="none"/>
                <w:vertAlign w:val="superscript"/>
                <w:lang w:val="en-US" w:eastAsia="zh-CN" w:bidi="ar-SA"/>
              </w:rPr>
              <w:t>3</w:t>
            </w:r>
            <w:r>
              <w:rPr>
                <w:rFonts w:hint="eastAsia" w:ascii="Times New Roman" w:hAnsi="Times New Roman" w:eastAsia="仿宋" w:cs="Times New Roman"/>
                <w:b w:val="0"/>
                <w:bCs/>
                <w:color w:val="FF0000"/>
                <w:kern w:val="2"/>
                <w:sz w:val="24"/>
                <w:szCs w:val="24"/>
                <w:highlight w:val="none"/>
                <w:lang w:val="en-US" w:eastAsia="zh-CN" w:bidi="ar-SA"/>
              </w:rPr>
              <w:t>，满足</w:t>
            </w:r>
            <w:r>
              <w:rPr>
                <w:rFonts w:hint="default" w:ascii="Times New Roman" w:hAnsi="Times New Roman" w:eastAsia="仿宋" w:cs="Times New Roman"/>
                <w:color w:val="FF0000"/>
              </w:rPr>
              <w:t>《大气污染物综合排放标准》</w:t>
            </w:r>
            <w:r>
              <w:rPr>
                <w:rFonts w:hint="default" w:ascii="Times New Roman" w:hAnsi="Times New Roman" w:eastAsia="仿宋" w:cs="Times New Roman"/>
                <w:color w:val="FF0000"/>
                <w:lang w:eastAsia="zh-CN"/>
              </w:rPr>
              <w:t>（</w:t>
            </w:r>
            <w:r>
              <w:rPr>
                <w:rFonts w:hint="default" w:ascii="Times New Roman" w:hAnsi="Times New Roman" w:eastAsia="仿宋" w:cs="Times New Roman"/>
                <w:color w:val="FF0000"/>
              </w:rPr>
              <w:t>GB16297-1996</w:t>
            </w:r>
            <w:r>
              <w:rPr>
                <w:rFonts w:hint="default" w:ascii="Times New Roman" w:hAnsi="Times New Roman" w:eastAsia="仿宋" w:cs="Times New Roman"/>
                <w:color w:val="FF0000"/>
                <w:lang w:eastAsia="zh-CN"/>
              </w:rPr>
              <w:t>）</w:t>
            </w:r>
            <w:r>
              <w:rPr>
                <w:rFonts w:hint="default" w:ascii="Times New Roman" w:hAnsi="Times New Roman" w:eastAsia="仿宋" w:cs="Times New Roman"/>
                <w:color w:val="FF0000"/>
              </w:rPr>
              <w:t>中</w:t>
            </w:r>
            <w:r>
              <w:rPr>
                <w:rFonts w:hint="eastAsia" w:ascii="Times New Roman" w:hAnsi="Times New Roman" w:eastAsia="仿宋" w:cs="Times New Roman"/>
                <w:color w:val="FF0000"/>
                <w:lang w:val="en-US" w:eastAsia="zh-CN"/>
              </w:rPr>
              <w:t>表2排放浓度要求</w:t>
            </w:r>
            <w:r>
              <w:rPr>
                <w:rFonts w:hint="default" w:ascii="Times New Roman" w:hAnsi="Times New Roman" w:eastAsia="仿宋" w:cs="Times New Roman"/>
                <w:color w:val="FF0000"/>
              </w:rPr>
              <w:t>，对周围大气环境影响较小。</w:t>
            </w:r>
          </w:p>
          <w:p w14:paraId="0DC49483">
            <w:pPr>
              <w:keepNext w:val="0"/>
              <w:keepLines w:val="0"/>
              <w:pageBreakBefore w:val="0"/>
              <w:widowControl w:val="0"/>
              <w:kinsoku/>
              <w:wordWrap/>
              <w:overflowPunct/>
              <w:topLinePunct/>
              <w:autoSpaceDE/>
              <w:autoSpaceDN w:val="0"/>
              <w:bidi w:val="0"/>
              <w:adjustRightInd w:val="0"/>
              <w:snapToGrid w:val="0"/>
              <w:spacing w:line="360" w:lineRule="auto"/>
              <w:ind w:firstLine="480" w:firstLineChars="200"/>
              <w:textAlignment w:val="center"/>
              <w:rPr>
                <w:rFonts w:hint="default" w:ascii="Times New Roman" w:hAnsi="Times New Roman" w:eastAsia="仿宋" w:cs="Times New Roman"/>
                <w:color w:val="000000" w:themeColor="text1"/>
                <w:spacing w:val="0"/>
                <w:position w:val="0"/>
                <w:sz w:val="24"/>
                <w:highlight w:val="none"/>
                <w14:textFill>
                  <w14:solidFill>
                    <w14:schemeClr w14:val="tx1"/>
                  </w14:solidFill>
                </w14:textFill>
              </w:rPr>
            </w:pPr>
            <w:r>
              <w:rPr>
                <w:rFonts w:hint="default" w:ascii="Times New Roman" w:hAnsi="Times New Roman" w:eastAsia="仿宋" w:cs="Times New Roman"/>
                <w:color w:val="000000" w:themeColor="text1"/>
                <w:spacing w:val="0"/>
                <w:position w:val="0"/>
                <w:sz w:val="24"/>
                <w:highlight w:val="none"/>
                <w14:textFill>
                  <w14:solidFill>
                    <w14:schemeClr w14:val="tx1"/>
                  </w14:solidFill>
                </w14:textFill>
              </w:rPr>
              <w:t>综上所述，本项目在运营期间通过采取上述措施后，污染物排放量较小，排放浓度达标，废气污染防治措施可行。</w:t>
            </w:r>
          </w:p>
          <w:p w14:paraId="6C20EEC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b/>
                <w:color w:val="000000" w:themeColor="text1"/>
                <w:sz w:val="24"/>
                <w:highlight w:val="none"/>
                <w14:textFill>
                  <w14:solidFill>
                    <w14:schemeClr w14:val="tx1"/>
                  </w14:solidFill>
                </w14:textFill>
              </w:rPr>
            </w:pPr>
            <w:r>
              <w:rPr>
                <w:rFonts w:hint="eastAsia" w:eastAsia="仿宋" w:cs="Times New Roman"/>
                <w:b/>
                <w:color w:val="000000" w:themeColor="text1"/>
                <w:sz w:val="24"/>
                <w:highlight w:val="none"/>
                <w:lang w:val="en-US" w:eastAsia="zh-CN"/>
                <w14:textFill>
                  <w14:solidFill>
                    <w14:schemeClr w14:val="tx1"/>
                  </w14:solidFill>
                </w14:textFill>
              </w:rPr>
              <w:t>3.</w:t>
            </w:r>
            <w:r>
              <w:rPr>
                <w:rFonts w:hint="default" w:ascii="Times New Roman" w:hAnsi="Times New Roman" w:eastAsia="仿宋" w:cs="Times New Roman"/>
                <w:b/>
                <w:color w:val="000000" w:themeColor="text1"/>
                <w:sz w:val="24"/>
                <w:highlight w:val="none"/>
                <w14:textFill>
                  <w14:solidFill>
                    <w14:schemeClr w14:val="tx1"/>
                  </w14:solidFill>
                </w14:textFill>
              </w:rPr>
              <w:t>水污染防治措施</w:t>
            </w:r>
          </w:p>
          <w:p w14:paraId="732F19A1">
            <w:pPr>
              <w:pStyle w:val="32"/>
              <w:spacing w:beforeLines="0" w:afterLines="0" w:line="360" w:lineRule="auto"/>
              <w:ind w:firstLine="480" w:firstLineChars="200"/>
              <w:jc w:val="both"/>
              <w:rPr>
                <w:rFonts w:ascii="Times New Roman" w:eastAsia="仿宋"/>
                <w:color w:val="000000" w:themeColor="text1"/>
                <w:sz w:val="24"/>
                <w:szCs w:val="24"/>
                <w14:textFill>
                  <w14:solidFill>
                    <w14:schemeClr w14:val="tx1"/>
                  </w14:solidFill>
                </w14:textFill>
              </w:rPr>
            </w:pPr>
            <w:r>
              <w:rPr>
                <w:rFonts w:ascii="Times New Roman" w:eastAsia="仿宋"/>
                <w:bCs/>
                <w:color w:val="000000" w:themeColor="text1"/>
                <w:sz w:val="24"/>
                <w:szCs w:val="24"/>
                <w14:textFill>
                  <w14:solidFill>
                    <w14:schemeClr w14:val="tx1"/>
                  </w14:solidFill>
                </w14:textFill>
              </w:rPr>
              <w:t>本项目生活污水产生量为</w:t>
            </w:r>
            <w:r>
              <w:rPr>
                <w:rFonts w:hint="eastAsia" w:ascii="Times New Roman" w:eastAsia="仿宋"/>
                <w:bCs/>
                <w:color w:val="000000" w:themeColor="text1"/>
                <w:sz w:val="24"/>
                <w:szCs w:val="24"/>
                <w:lang w:val="en-US" w:eastAsia="zh-CN"/>
                <w14:textFill>
                  <w14:solidFill>
                    <w14:schemeClr w14:val="tx1"/>
                  </w14:solidFill>
                </w14:textFill>
              </w:rPr>
              <w:t>0.96</w:t>
            </w:r>
            <w:r>
              <w:rPr>
                <w:rFonts w:ascii="Times New Roman" w:eastAsia="仿宋"/>
                <w:bCs/>
                <w:color w:val="000000" w:themeColor="text1"/>
                <w:sz w:val="24"/>
                <w:szCs w:val="24"/>
                <w14:textFill>
                  <w14:solidFill>
                    <w14:schemeClr w14:val="tx1"/>
                  </w14:solidFill>
                </w14:textFill>
              </w:rPr>
              <w:t>m</w:t>
            </w:r>
            <w:r>
              <w:rPr>
                <w:rFonts w:ascii="Times New Roman" w:eastAsia="仿宋"/>
                <w:bCs/>
                <w:color w:val="000000" w:themeColor="text1"/>
                <w:sz w:val="24"/>
                <w:szCs w:val="24"/>
                <w:vertAlign w:val="superscript"/>
                <w14:textFill>
                  <w14:solidFill>
                    <w14:schemeClr w14:val="tx1"/>
                  </w14:solidFill>
                </w14:textFill>
              </w:rPr>
              <w:t>3</w:t>
            </w:r>
            <w:r>
              <w:rPr>
                <w:rFonts w:ascii="Times New Roman" w:eastAsia="仿宋"/>
                <w:bCs/>
                <w:color w:val="000000" w:themeColor="text1"/>
                <w:sz w:val="24"/>
                <w:szCs w:val="24"/>
                <w14:textFill>
                  <w14:solidFill>
                    <w14:schemeClr w14:val="tx1"/>
                  </w14:solidFill>
                </w14:textFill>
              </w:rPr>
              <w:t>/d</w:t>
            </w:r>
            <w:r>
              <w:rPr>
                <w:rFonts w:hint="eastAsia" w:ascii="Times New Roman" w:eastAsia="仿宋"/>
                <w:color w:val="000000" w:themeColor="text1"/>
                <w:sz w:val="24"/>
                <w:szCs w:val="24"/>
                <w14:textFill>
                  <w14:solidFill>
                    <w14:schemeClr w14:val="tx1"/>
                  </w14:solidFill>
                </w14:textFill>
              </w:rPr>
              <w:t>，本项目洗漱废水用于厂区泼洒降尘，设置环保型厕所一座</w:t>
            </w:r>
            <w:r>
              <w:rPr>
                <w:rFonts w:hint="eastAsia" w:ascii="Times New Roman" w:eastAsia="仿宋"/>
                <w:color w:val="000000" w:themeColor="text1"/>
                <w:sz w:val="24"/>
                <w:szCs w:val="24"/>
                <w:lang w:eastAsia="zh-CN"/>
                <w14:textFill>
                  <w14:solidFill>
                    <w14:schemeClr w14:val="tx1"/>
                  </w14:solidFill>
                </w14:textFill>
              </w:rPr>
              <w:t>，</w:t>
            </w:r>
            <w:r>
              <w:rPr>
                <w:rFonts w:hint="eastAsia" w:ascii="Times New Roman" w:eastAsia="仿宋"/>
                <w:color w:val="000000" w:themeColor="text1"/>
                <w:sz w:val="24"/>
                <w:szCs w:val="24"/>
                <w:lang w:val="en-US" w:eastAsia="zh-CN"/>
                <w14:textFill>
                  <w14:solidFill>
                    <w14:schemeClr w14:val="tx1"/>
                  </w14:solidFill>
                </w14:textFill>
              </w:rPr>
              <w:t>治理措施可行</w:t>
            </w:r>
            <w:r>
              <w:rPr>
                <w:rFonts w:ascii="Times New Roman" w:eastAsia="仿宋"/>
                <w:color w:val="000000" w:themeColor="text1"/>
                <w:sz w:val="24"/>
                <w:szCs w:val="24"/>
                <w14:textFill>
                  <w14:solidFill>
                    <w14:schemeClr w14:val="tx1"/>
                  </w14:solidFill>
                </w14:textFill>
              </w:rPr>
              <w:t>。</w:t>
            </w:r>
          </w:p>
          <w:p w14:paraId="5774B5BE">
            <w:pPr>
              <w:keepNext w:val="0"/>
              <w:keepLines w:val="0"/>
              <w:pageBreakBefore w:val="0"/>
              <w:widowControl w:val="0"/>
              <w:kinsoku/>
              <w:wordWrap/>
              <w:overflowPunct/>
              <w:autoSpaceDE/>
              <w:bidi w:val="0"/>
              <w:adjustRightInd w:val="0"/>
              <w:snapToGrid w:val="0"/>
              <w:spacing w:line="360" w:lineRule="auto"/>
              <w:ind w:firstLine="482" w:firstLineChars="200"/>
              <w:jc w:val="both"/>
              <w:rPr>
                <w:rFonts w:hint="default" w:ascii="Times New Roman" w:hAnsi="Times New Roman" w:eastAsia="仿宋" w:cs="Times New Roman"/>
                <w:b/>
                <w:color w:val="000000" w:themeColor="text1"/>
                <w:sz w:val="24"/>
                <w:highlight w:val="none"/>
                <w14:textFill>
                  <w14:solidFill>
                    <w14:schemeClr w14:val="tx1"/>
                  </w14:solidFill>
                </w14:textFill>
              </w:rPr>
            </w:pPr>
            <w:r>
              <w:rPr>
                <w:rFonts w:hint="eastAsia" w:eastAsia="仿宋" w:cs="Times New Roman"/>
                <w:b/>
                <w:color w:val="000000" w:themeColor="text1"/>
                <w:sz w:val="24"/>
                <w:highlight w:val="none"/>
                <w:lang w:val="en-US" w:eastAsia="zh-CN"/>
                <w14:textFill>
                  <w14:solidFill>
                    <w14:schemeClr w14:val="tx1"/>
                  </w14:solidFill>
                </w14:textFill>
              </w:rPr>
              <w:t>4.</w:t>
            </w:r>
            <w:r>
              <w:rPr>
                <w:rFonts w:hint="default" w:ascii="Times New Roman" w:hAnsi="Times New Roman" w:eastAsia="仿宋" w:cs="Times New Roman"/>
                <w:b/>
                <w:color w:val="000000" w:themeColor="text1"/>
                <w:sz w:val="24"/>
                <w:highlight w:val="none"/>
                <w14:textFill>
                  <w14:solidFill>
                    <w14:schemeClr w14:val="tx1"/>
                  </w14:solidFill>
                </w14:textFill>
              </w:rPr>
              <w:t>噪声防治措施</w:t>
            </w:r>
          </w:p>
          <w:p w14:paraId="4A41C5A7">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14:textFill>
                  <w14:solidFill>
                    <w14:schemeClr w14:val="tx1"/>
                  </w14:solidFill>
                </w14:textFill>
              </w:rPr>
            </w:pPr>
            <w:r>
              <w:rPr>
                <w:rFonts w:hint="default" w:ascii="Times New Roman" w:hAnsi="Times New Roman" w:eastAsia="微软雅黑" w:cs="Times New Roman"/>
                <w:color w:val="000000" w:themeColor="text1"/>
                <w:kern w:val="0"/>
                <w:sz w:val="24"/>
                <w:highlight w:val="none"/>
                <w:lang w:eastAsia="zh-CN"/>
                <w14:textFill>
                  <w14:solidFill>
                    <w14:schemeClr w14:val="tx1"/>
                  </w14:solidFill>
                </w14:textFill>
              </w:rPr>
              <w:t>⑴</w:t>
            </w:r>
            <w:r>
              <w:rPr>
                <w:rFonts w:hint="default" w:ascii="Times New Roman" w:hAnsi="Times New Roman" w:eastAsia="仿宋" w:cs="Times New Roman"/>
                <w:color w:val="000000" w:themeColor="text1"/>
                <w:kern w:val="0"/>
                <w:sz w:val="24"/>
                <w:highlight w:val="none"/>
                <w14:textFill>
                  <w14:solidFill>
                    <w14:schemeClr w14:val="tx1"/>
                  </w14:solidFill>
                </w14:textFill>
              </w:rPr>
              <w:t>矿区噪声</w:t>
            </w:r>
          </w:p>
          <w:p w14:paraId="58487973">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14:textFill>
                  <w14:solidFill>
                    <w14:schemeClr w14:val="tx1"/>
                  </w14:solidFill>
                </w14:textFill>
              </w:rPr>
            </w:pPr>
            <w:r>
              <w:rPr>
                <w:rFonts w:hint="default" w:ascii="Times New Roman" w:hAnsi="Times New Roman" w:eastAsia="仿宋" w:cs="Times New Roman"/>
                <w:color w:val="000000" w:themeColor="text1"/>
                <w:kern w:val="0"/>
                <w:sz w:val="24"/>
                <w:highlight w:val="none"/>
                <w14:textFill>
                  <w14:solidFill>
                    <w14:schemeClr w14:val="tx1"/>
                  </w14:solidFill>
                </w14:textFill>
              </w:rPr>
              <w:t>矿区运营过程噪声源主要有挖掘机、装载机、运输汽车等。本项目采取以下噪声防治措施：</w:t>
            </w:r>
          </w:p>
          <w:p w14:paraId="6F680C30">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14:textFill>
                  <w14:solidFill>
                    <w14:schemeClr w14:val="tx1"/>
                  </w14:solidFill>
                </w14:textFill>
              </w:rPr>
            </w:pPr>
            <w:r>
              <w:rPr>
                <w:rFonts w:hint="default" w:ascii="Times New Roman" w:hAnsi="Times New Roman" w:eastAsia="仿宋" w:cs="Times New Roman"/>
                <w:color w:val="000000" w:themeColor="text1"/>
                <w:kern w:val="0"/>
                <w:sz w:val="24"/>
                <w:highlight w:val="none"/>
                <w14:textFill>
                  <w14:solidFill>
                    <w14:schemeClr w14:val="tx1"/>
                  </w14:solidFill>
                </w14:textFill>
              </w:rPr>
              <w:t>①采购性能好、噪声低的生产机械设备，以最大限度降低噪声；</w:t>
            </w:r>
          </w:p>
          <w:p w14:paraId="05A87E5C">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14:textFill>
                  <w14:solidFill>
                    <w14:schemeClr w14:val="tx1"/>
                  </w14:solidFill>
                </w14:textFill>
              </w:rPr>
            </w:pPr>
            <w:r>
              <w:rPr>
                <w:rFonts w:hint="default" w:ascii="Times New Roman" w:hAnsi="Times New Roman" w:eastAsia="仿宋" w:cs="Times New Roman"/>
                <w:color w:val="000000" w:themeColor="text1"/>
                <w:kern w:val="0"/>
                <w:sz w:val="24"/>
                <w:highlight w:val="none"/>
                <w14:textFill>
                  <w14:solidFill>
                    <w14:schemeClr w14:val="tx1"/>
                  </w14:solidFill>
                </w14:textFill>
              </w:rPr>
              <w:t>②高噪声设备采取以多孔介质做减振垫，可使声源振动强度减弱，频率降低。</w:t>
            </w:r>
          </w:p>
          <w:p w14:paraId="5CC2A054">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14:textFill>
                  <w14:solidFill>
                    <w14:schemeClr w14:val="tx1"/>
                  </w14:solidFill>
                </w14:textFill>
              </w:rPr>
            </w:pPr>
            <w:r>
              <w:rPr>
                <w:rFonts w:hint="default" w:ascii="Times New Roman" w:hAnsi="Times New Roman" w:eastAsia="仿宋" w:cs="Times New Roman"/>
                <w:color w:val="000000" w:themeColor="text1"/>
                <w:kern w:val="0"/>
                <w:sz w:val="24"/>
                <w:highlight w:val="none"/>
                <w14:textFill>
                  <w14:solidFill>
                    <w14:schemeClr w14:val="tx1"/>
                  </w14:solidFill>
                </w14:textFill>
              </w:rPr>
              <w:t>③对操作人员在强噪声工段操作的工人</w:t>
            </w:r>
            <w:r>
              <w:rPr>
                <w:rFonts w:hint="eastAsia" w:ascii="Times New Roman" w:hAnsi="Times New Roman" w:eastAsia="仿宋" w:cs="Times New Roman"/>
                <w:color w:val="000000" w:themeColor="text1"/>
                <w:kern w:val="0"/>
                <w:sz w:val="24"/>
                <w:highlight w:val="none"/>
                <w:lang w:eastAsia="zh-CN"/>
                <w14:textFill>
                  <w14:solidFill>
                    <w14:schemeClr w14:val="tx1"/>
                  </w14:solidFill>
                </w14:textFill>
              </w:rPr>
              <w:t>佩戴</w:t>
            </w:r>
            <w:r>
              <w:rPr>
                <w:rFonts w:hint="default" w:ascii="Times New Roman" w:hAnsi="Times New Roman" w:eastAsia="仿宋" w:cs="Times New Roman"/>
                <w:color w:val="000000" w:themeColor="text1"/>
                <w:kern w:val="0"/>
                <w:sz w:val="24"/>
                <w:highlight w:val="none"/>
                <w14:textFill>
                  <w14:solidFill>
                    <w14:schemeClr w14:val="tx1"/>
                  </w14:solidFill>
                </w14:textFill>
              </w:rPr>
              <w:t>防声用具，如防护塞、防护面罩等。</w:t>
            </w:r>
          </w:p>
          <w:p w14:paraId="318D9E84">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14:textFill>
                  <w14:solidFill>
                    <w14:schemeClr w14:val="tx1"/>
                  </w14:solidFill>
                </w14:textFill>
              </w:rPr>
            </w:pPr>
            <w:r>
              <w:rPr>
                <w:rFonts w:hint="default" w:ascii="Times New Roman" w:hAnsi="Times New Roman" w:eastAsia="微软雅黑" w:cs="Times New Roman"/>
                <w:color w:val="000000" w:themeColor="text1"/>
                <w:kern w:val="0"/>
                <w:sz w:val="24"/>
                <w:highlight w:val="none"/>
                <w:lang w:eastAsia="zh-CN"/>
                <w14:textFill>
                  <w14:solidFill>
                    <w14:schemeClr w14:val="tx1"/>
                  </w14:solidFill>
                </w14:textFill>
              </w:rPr>
              <w:t>⑵</w:t>
            </w:r>
            <w:r>
              <w:rPr>
                <w:rFonts w:hint="default" w:ascii="Times New Roman" w:hAnsi="Times New Roman" w:eastAsia="仿宋" w:cs="Times New Roman"/>
                <w:color w:val="000000" w:themeColor="text1"/>
                <w:kern w:val="0"/>
                <w:sz w:val="24"/>
                <w:highlight w:val="none"/>
                <w14:textFill>
                  <w14:solidFill>
                    <w14:schemeClr w14:val="tx1"/>
                  </w14:solidFill>
                </w14:textFill>
              </w:rPr>
              <w:t>车辆运输噪声</w:t>
            </w:r>
          </w:p>
          <w:p w14:paraId="21070C4A">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14:textFill>
                  <w14:solidFill>
                    <w14:schemeClr w14:val="tx1"/>
                  </w14:solidFill>
                </w14:textFill>
              </w:rPr>
            </w:pPr>
            <w:r>
              <w:rPr>
                <w:rFonts w:hint="default" w:ascii="Times New Roman" w:hAnsi="Times New Roman" w:eastAsia="仿宋" w:cs="Times New Roman"/>
                <w:color w:val="000000" w:themeColor="text1"/>
                <w:kern w:val="0"/>
                <w:sz w:val="24"/>
                <w:highlight w:val="none"/>
                <w14:textFill>
                  <w14:solidFill>
                    <w14:schemeClr w14:val="tx1"/>
                  </w14:solidFill>
                </w14:textFill>
              </w:rPr>
              <w:t>项目车辆运输噪声会对道路周边的居民产生影响，为进一步减小运输噪声对敏感点的影响，本次评价要求：</w:t>
            </w:r>
          </w:p>
          <w:p w14:paraId="266F40A9">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14:textFill>
                  <w14:solidFill>
                    <w14:schemeClr w14:val="tx1"/>
                  </w14:solidFill>
                </w14:textFill>
              </w:rPr>
            </w:pPr>
            <w:r>
              <w:rPr>
                <w:rFonts w:hint="default" w:ascii="Times New Roman" w:hAnsi="Times New Roman" w:eastAsia="仿宋" w:cs="Times New Roman"/>
                <w:color w:val="000000" w:themeColor="text1"/>
                <w:kern w:val="0"/>
                <w:sz w:val="24"/>
                <w:highlight w:val="none"/>
                <w14:textFill>
                  <w14:solidFill>
                    <w14:schemeClr w14:val="tx1"/>
                  </w14:solidFill>
                </w14:textFill>
              </w:rPr>
              <w:t>①道路在交叉口路段设置减速带、限速牌及禁止鸣笛标志，限速20km/h以下；</w:t>
            </w:r>
          </w:p>
          <w:p w14:paraId="15105BB4">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14:textFill>
                  <w14:solidFill>
                    <w14:schemeClr w14:val="tx1"/>
                  </w14:solidFill>
                </w14:textFill>
              </w:rPr>
            </w:pPr>
            <w:r>
              <w:rPr>
                <w:rFonts w:hint="default" w:ascii="Times New Roman" w:hAnsi="Times New Roman" w:eastAsia="仿宋" w:cs="Times New Roman"/>
                <w:color w:val="000000" w:themeColor="text1"/>
                <w:kern w:val="0"/>
                <w:sz w:val="24"/>
                <w:highlight w:val="none"/>
                <w14:textFill>
                  <w14:solidFill>
                    <w14:schemeClr w14:val="tx1"/>
                  </w14:solidFill>
                </w14:textFill>
              </w:rPr>
              <w:t>②加强运输道路管理，及时对滑落到道路上的物料进行清理，对损坏路面及时进行修补，以保证运输车辆平稳低速行驶。</w:t>
            </w:r>
          </w:p>
          <w:p w14:paraId="5289D233">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kern w:val="0"/>
                <w:sz w:val="24"/>
                <w:highlight w:val="none"/>
                <w14:textFill>
                  <w14:solidFill>
                    <w14:schemeClr w14:val="tx1"/>
                  </w14:solidFill>
                </w14:textFill>
              </w:rPr>
              <w:t>⑶</w:t>
            </w:r>
            <w:r>
              <w:rPr>
                <w:rFonts w:hint="default" w:ascii="Times New Roman" w:hAnsi="Times New Roman" w:eastAsia="仿宋" w:cs="Times New Roman"/>
                <w:color w:val="000000" w:themeColor="text1"/>
                <w:kern w:val="0"/>
                <w:sz w:val="24"/>
                <w:highlight w:val="none"/>
                <w:lang w:val="en-US" w:eastAsia="zh-CN"/>
                <w14:textFill>
                  <w14:solidFill>
                    <w14:schemeClr w14:val="tx1"/>
                  </w14:solidFill>
                </w14:textFill>
              </w:rPr>
              <w:t>石料</w:t>
            </w:r>
            <w:r>
              <w:rPr>
                <w:rFonts w:hint="eastAsia" w:eastAsia="仿宋" w:cs="Times New Roman"/>
                <w:color w:val="000000" w:themeColor="text1"/>
                <w:kern w:val="0"/>
                <w:sz w:val="24"/>
                <w:highlight w:val="none"/>
                <w:lang w:val="en-US" w:eastAsia="zh-CN"/>
                <w14:textFill>
                  <w14:solidFill>
                    <w14:schemeClr w14:val="tx1"/>
                  </w14:solidFill>
                </w14:textFill>
              </w:rPr>
              <w:t>破碎场</w:t>
            </w:r>
            <w:r>
              <w:rPr>
                <w:rFonts w:hint="default" w:ascii="Times New Roman" w:hAnsi="Times New Roman" w:eastAsia="仿宋" w:cs="Times New Roman"/>
                <w:color w:val="000000" w:themeColor="text1"/>
                <w:kern w:val="0"/>
                <w:sz w:val="24"/>
                <w:highlight w:val="none"/>
                <w:lang w:val="en-US" w:eastAsia="zh-CN"/>
                <w14:textFill>
                  <w14:solidFill>
                    <w14:schemeClr w14:val="tx1"/>
                  </w14:solidFill>
                </w14:textFill>
              </w:rPr>
              <w:t>噪声</w:t>
            </w:r>
          </w:p>
          <w:p w14:paraId="065DC424">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14:textFill>
                  <w14:solidFill>
                    <w14:schemeClr w14:val="tx1"/>
                  </w14:solidFill>
                </w14:textFill>
              </w:rPr>
            </w:pPr>
            <w:r>
              <w:rPr>
                <w:rFonts w:hint="eastAsia" w:eastAsia="仿宋" w:cs="Times New Roman"/>
                <w:color w:val="000000" w:themeColor="text1"/>
                <w:kern w:val="0"/>
                <w:sz w:val="24"/>
                <w:highlight w:val="none"/>
                <w:lang w:val="en-US" w:eastAsia="zh-CN"/>
                <w14:textFill>
                  <w14:solidFill>
                    <w14:schemeClr w14:val="tx1"/>
                  </w14:solidFill>
                </w14:textFill>
              </w:rPr>
              <w:t>本项目</w:t>
            </w:r>
            <w:r>
              <w:rPr>
                <w:rFonts w:hint="default" w:ascii="Times New Roman" w:hAnsi="Times New Roman" w:eastAsia="仿宋" w:cs="Times New Roman"/>
                <w:color w:val="000000" w:themeColor="text1"/>
                <w:kern w:val="0"/>
                <w:sz w:val="24"/>
                <w:highlight w:val="none"/>
                <w:lang w:val="en-US" w:eastAsia="zh-CN"/>
                <w14:textFill>
                  <w14:solidFill>
                    <w14:schemeClr w14:val="tx1"/>
                  </w14:solidFill>
                </w14:textFill>
              </w:rPr>
              <w:t>石料</w:t>
            </w:r>
            <w:r>
              <w:rPr>
                <w:rFonts w:hint="eastAsia" w:eastAsia="仿宋" w:cs="Times New Roman"/>
                <w:color w:val="000000" w:themeColor="text1"/>
                <w:kern w:val="0"/>
                <w:sz w:val="24"/>
                <w:highlight w:val="none"/>
                <w:lang w:val="en-US" w:eastAsia="zh-CN"/>
                <w14:textFill>
                  <w14:solidFill>
                    <w14:schemeClr w14:val="tx1"/>
                  </w14:solidFill>
                </w14:textFill>
              </w:rPr>
              <w:t>破碎场噪声源主要有破碎机和筛分机等。</w:t>
            </w:r>
            <w:r>
              <w:rPr>
                <w:rFonts w:hint="default" w:ascii="Times New Roman" w:hAnsi="Times New Roman" w:eastAsia="仿宋" w:cs="Times New Roman"/>
                <w:color w:val="000000" w:themeColor="text1"/>
                <w:kern w:val="0"/>
                <w:sz w:val="24"/>
                <w:highlight w:val="none"/>
                <w14:textFill>
                  <w14:solidFill>
                    <w14:schemeClr w14:val="tx1"/>
                  </w14:solidFill>
                </w14:textFill>
              </w:rPr>
              <w:t>本项目采取以下噪声防治措施：</w:t>
            </w:r>
          </w:p>
          <w:p w14:paraId="145C81AD">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14:textFill>
                  <w14:solidFill>
                    <w14:schemeClr w14:val="tx1"/>
                  </w14:solidFill>
                </w14:textFill>
              </w:rPr>
            </w:pPr>
            <w:r>
              <w:rPr>
                <w:rFonts w:hint="default" w:ascii="Times New Roman" w:hAnsi="Times New Roman" w:eastAsia="仿宋" w:cs="Times New Roman"/>
                <w:color w:val="000000" w:themeColor="text1"/>
                <w:kern w:val="0"/>
                <w:sz w:val="24"/>
                <w:highlight w:val="none"/>
                <w14:textFill>
                  <w14:solidFill>
                    <w14:schemeClr w14:val="tx1"/>
                  </w14:solidFill>
                </w14:textFill>
              </w:rPr>
              <w:t>①采购性能好、噪声低的生产机械设备，以最大限度降低噪声；</w:t>
            </w:r>
          </w:p>
          <w:p w14:paraId="671B0A58">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14:textFill>
                  <w14:solidFill>
                    <w14:schemeClr w14:val="tx1"/>
                  </w14:solidFill>
                </w14:textFill>
              </w:rPr>
            </w:pPr>
            <w:r>
              <w:rPr>
                <w:rFonts w:hint="default" w:ascii="Times New Roman" w:hAnsi="Times New Roman" w:eastAsia="仿宋" w:cs="Times New Roman"/>
                <w:color w:val="000000" w:themeColor="text1"/>
                <w:kern w:val="0"/>
                <w:sz w:val="24"/>
                <w:highlight w:val="none"/>
                <w14:textFill>
                  <w14:solidFill>
                    <w14:schemeClr w14:val="tx1"/>
                  </w14:solidFill>
                </w14:textFill>
              </w:rPr>
              <w:t>②高噪声设备采取以多孔介质做减振垫，可使声源振动强度减弱，频率降低。</w:t>
            </w:r>
          </w:p>
          <w:p w14:paraId="7B8FA2A0">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14:textFill>
                  <w14:solidFill>
                    <w14:schemeClr w14:val="tx1"/>
                  </w14:solidFill>
                </w14:textFill>
              </w:rPr>
            </w:pPr>
            <w:r>
              <w:rPr>
                <w:rFonts w:hint="default" w:ascii="Times New Roman" w:hAnsi="Times New Roman" w:eastAsia="仿宋" w:cs="Times New Roman"/>
                <w:color w:val="000000" w:themeColor="text1"/>
                <w:kern w:val="0"/>
                <w:sz w:val="24"/>
                <w:highlight w:val="none"/>
                <w14:textFill>
                  <w14:solidFill>
                    <w14:schemeClr w14:val="tx1"/>
                  </w14:solidFill>
                </w14:textFill>
              </w:rPr>
              <w:t>③对操作人员在强噪声工段操作的工人</w:t>
            </w:r>
            <w:r>
              <w:rPr>
                <w:rFonts w:hint="default" w:ascii="Times New Roman" w:hAnsi="Times New Roman" w:eastAsia="仿宋" w:cs="Times New Roman"/>
                <w:color w:val="000000" w:themeColor="text1"/>
                <w:kern w:val="0"/>
                <w:sz w:val="24"/>
                <w:highlight w:val="none"/>
                <w:lang w:eastAsia="zh-CN"/>
                <w14:textFill>
                  <w14:solidFill>
                    <w14:schemeClr w14:val="tx1"/>
                  </w14:solidFill>
                </w14:textFill>
              </w:rPr>
              <w:t>佩戴</w:t>
            </w:r>
            <w:r>
              <w:rPr>
                <w:rFonts w:hint="default" w:ascii="Times New Roman" w:hAnsi="Times New Roman" w:eastAsia="仿宋" w:cs="Times New Roman"/>
                <w:color w:val="000000" w:themeColor="text1"/>
                <w:kern w:val="0"/>
                <w:sz w:val="24"/>
                <w:highlight w:val="none"/>
                <w14:textFill>
                  <w14:solidFill>
                    <w14:schemeClr w14:val="tx1"/>
                  </w14:solidFill>
                </w14:textFill>
              </w:rPr>
              <w:t>防声用具，如防护塞、防护面罩等。</w:t>
            </w:r>
          </w:p>
          <w:p w14:paraId="75264246">
            <w:pPr>
              <w:keepNext w:val="0"/>
              <w:keepLines w:val="0"/>
              <w:pageBreakBefore w:val="0"/>
              <w:widowControl w:val="0"/>
              <w:kinsoku/>
              <w:wordWrap/>
              <w:overflowPunct/>
              <w:autoSpaceDE/>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kern w:val="0"/>
                <w:sz w:val="24"/>
                <w:highlight w:val="none"/>
                <w:lang w:val="en-US" w:eastAsia="zh-CN"/>
                <w14:textFill>
                  <w14:solidFill>
                    <w14:schemeClr w14:val="tx1"/>
                  </w14:solidFill>
                </w14:textFill>
              </w:rPr>
              <w:t>④石料生产线</w:t>
            </w:r>
            <w:r>
              <w:rPr>
                <w:rFonts w:hint="eastAsia" w:eastAsia="仿宋" w:cs="Times New Roman"/>
                <w:color w:val="000000" w:themeColor="text1"/>
                <w:kern w:val="0"/>
                <w:sz w:val="24"/>
                <w:highlight w:val="none"/>
                <w:lang w:val="en-US" w:eastAsia="zh-CN"/>
                <w14:textFill>
                  <w14:solidFill>
                    <w14:schemeClr w14:val="tx1"/>
                  </w14:solidFill>
                </w14:textFill>
              </w:rPr>
              <w:t>破碎和筛分设备</w:t>
            </w:r>
            <w:r>
              <w:rPr>
                <w:rFonts w:hint="default" w:ascii="Times New Roman" w:hAnsi="Times New Roman" w:eastAsia="仿宋" w:cs="Times New Roman"/>
                <w:color w:val="000000" w:themeColor="text1"/>
                <w:kern w:val="0"/>
                <w:sz w:val="24"/>
                <w:highlight w:val="none"/>
                <w:lang w:val="en-US" w:eastAsia="zh-CN"/>
                <w14:textFill>
                  <w14:solidFill>
                    <w14:schemeClr w14:val="tx1"/>
                  </w14:solidFill>
                </w14:textFill>
              </w:rPr>
              <w:t>位于封闭式生产车间内，通过建筑隔声减少对周围环境的影响。</w:t>
            </w:r>
          </w:p>
          <w:p w14:paraId="321F5523">
            <w:pPr>
              <w:pStyle w:val="15"/>
              <w:adjustRightInd w:val="0"/>
              <w:snapToGrid w:val="0"/>
              <w:spacing w:after="0" w:line="360" w:lineRule="auto"/>
              <w:ind w:left="0" w:leftChars="0" w:firstLine="480"/>
              <w:rPr>
                <w:rFonts w:eastAsia="仿宋"/>
                <w:color w:val="000000" w:themeColor="text1"/>
                <w:sz w:val="24"/>
                <w14:textFill>
                  <w14:solidFill>
                    <w14:schemeClr w14:val="tx1"/>
                  </w14:solidFill>
                </w14:textFill>
              </w:rPr>
            </w:pPr>
            <w:r>
              <w:rPr>
                <w:rFonts w:hint="default" w:ascii="Times New Roman" w:hAnsi="Times New Roman" w:eastAsia="仿宋" w:cs="Times New Roman"/>
                <w:color w:val="000000" w:themeColor="text1"/>
                <w:kern w:val="0"/>
                <w:sz w:val="24"/>
                <w:highlight w:val="none"/>
                <w14:textFill>
                  <w14:solidFill>
                    <w14:schemeClr w14:val="tx1"/>
                  </w14:solidFill>
                </w14:textFill>
              </w:rPr>
              <w:t>通过采取以上措施，</w:t>
            </w:r>
            <w:r>
              <w:rPr>
                <w:rFonts w:eastAsia="仿宋"/>
                <w:color w:val="000000" w:themeColor="text1"/>
                <w:sz w:val="24"/>
                <w14:textFill>
                  <w14:solidFill>
                    <w14:schemeClr w14:val="tx1"/>
                  </w14:solidFill>
                </w14:textFill>
              </w:rPr>
              <w:t>噪声满足《工业企业厂界环境噪声排放标准》（GB12348-2008）中2类标准，对周围环境影响较小。</w:t>
            </w:r>
          </w:p>
          <w:p w14:paraId="7873AD9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b/>
                <w:color w:val="000000" w:themeColor="text1"/>
                <w:sz w:val="24"/>
                <w:highlight w:val="none"/>
                <w:lang w:val="en-US" w:eastAsia="zh-CN"/>
                <w14:textFill>
                  <w14:solidFill>
                    <w14:schemeClr w14:val="tx1"/>
                  </w14:solidFill>
                </w14:textFill>
              </w:rPr>
            </w:pPr>
            <w:r>
              <w:rPr>
                <w:rFonts w:hint="eastAsia" w:eastAsia="仿宋" w:cs="Times New Roman"/>
                <w:b/>
                <w:color w:val="000000" w:themeColor="text1"/>
                <w:sz w:val="24"/>
                <w:highlight w:val="none"/>
                <w:lang w:val="en-US" w:eastAsia="zh-CN"/>
                <w14:textFill>
                  <w14:solidFill>
                    <w14:schemeClr w14:val="tx1"/>
                  </w14:solidFill>
                </w14:textFill>
              </w:rPr>
              <w:t>5.</w:t>
            </w:r>
            <w:r>
              <w:rPr>
                <w:rFonts w:hint="default" w:ascii="Times New Roman" w:hAnsi="Times New Roman" w:eastAsia="仿宋" w:cs="Times New Roman"/>
                <w:b/>
                <w:color w:val="000000" w:themeColor="text1"/>
                <w:sz w:val="24"/>
                <w:highlight w:val="none"/>
                <w:lang w:val="en-US" w:eastAsia="zh-CN"/>
                <w14:textFill>
                  <w14:solidFill>
                    <w14:schemeClr w14:val="tx1"/>
                  </w14:solidFill>
                </w14:textFill>
              </w:rPr>
              <w:t>固体处理</w:t>
            </w:r>
            <w:r>
              <w:rPr>
                <w:rFonts w:hint="eastAsia" w:eastAsia="仿宋" w:cs="Times New Roman"/>
                <w:b/>
                <w:color w:val="000000" w:themeColor="text1"/>
                <w:sz w:val="24"/>
                <w:highlight w:val="none"/>
                <w:lang w:val="en-US" w:eastAsia="zh-CN"/>
                <w14:textFill>
                  <w14:solidFill>
                    <w14:schemeClr w14:val="tx1"/>
                  </w14:solidFill>
                </w14:textFill>
              </w:rPr>
              <w:t>防治措施</w:t>
            </w:r>
          </w:p>
          <w:p w14:paraId="27297535">
            <w:pPr>
              <w:adjustRightInd w:val="0"/>
              <w:snapToGrid w:val="0"/>
              <w:spacing w:line="360" w:lineRule="auto"/>
              <w:ind w:firstLine="440" w:firstLineChars="200"/>
              <w:rPr>
                <w:rFonts w:hint="default" w:ascii="Times New Roman" w:hAnsi="Times New Roman" w:eastAsia="微软雅黑" w:cs="Times New Roman"/>
                <w:bCs/>
                <w:color w:val="000000" w:themeColor="text1"/>
                <w:spacing w:val="-10"/>
                <w:sz w:val="24"/>
                <w:lang w:val="en-US" w:eastAsia="zh-CN"/>
                <w14:textFill>
                  <w14:solidFill>
                    <w14:schemeClr w14:val="tx1"/>
                  </w14:solidFill>
                </w14:textFill>
              </w:rPr>
            </w:pPr>
            <w:r>
              <w:rPr>
                <w:rFonts w:hint="default" w:ascii="Times New Roman" w:hAnsi="Times New Roman" w:eastAsia="微软雅黑" w:cs="Times New Roman"/>
                <w:bCs/>
                <w:color w:val="000000" w:themeColor="text1"/>
                <w:spacing w:val="-10"/>
                <w:sz w:val="24"/>
                <w14:textFill>
                  <w14:solidFill>
                    <w14:schemeClr w14:val="tx1"/>
                  </w14:solidFill>
                </w14:textFill>
              </w:rPr>
              <w:t>⑴</w:t>
            </w:r>
            <w:r>
              <w:rPr>
                <w:rFonts w:hint="default" w:ascii="Times New Roman" w:hAnsi="Times New Roman" w:eastAsia="仿宋" w:cs="Times New Roman"/>
                <w:bCs/>
                <w:color w:val="000000" w:themeColor="text1"/>
                <w:spacing w:val="-10"/>
                <w:sz w:val="24"/>
                <w:lang w:val="en-US" w:eastAsia="zh-CN"/>
                <w14:textFill>
                  <w14:solidFill>
                    <w14:schemeClr w14:val="tx1"/>
                  </w14:solidFill>
                </w14:textFill>
              </w:rPr>
              <w:t>一般工业固体废物</w:t>
            </w:r>
          </w:p>
          <w:p w14:paraId="44E0F42C">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eastAsia="仿宋"/>
                <w:bCs/>
                <w:color w:val="000000" w:themeColor="text1"/>
                <w:spacing w:val="-10"/>
                <w:sz w:val="24"/>
                <w14:textFill>
                  <w14:solidFill>
                    <w14:schemeClr w14:val="tx1"/>
                  </w14:solidFill>
                </w14:textFill>
              </w:rPr>
            </w:pPr>
            <w:r>
              <w:rPr>
                <w:rFonts w:eastAsia="仿宋"/>
                <w:bCs/>
                <w:color w:val="000000" w:themeColor="text1"/>
                <w:spacing w:val="-10"/>
                <w:sz w:val="24"/>
                <w14:textFill>
                  <w14:solidFill>
                    <w14:schemeClr w14:val="tx1"/>
                  </w14:solidFill>
                </w14:textFill>
              </w:rPr>
              <w:t>本项目一般工业固废，在暂存过程中要求及时进行处置，不得在厂区内长时间存放，存放过程中严格按照要求存放，不得随意丢弃。</w:t>
            </w:r>
            <w:r>
              <w:rPr>
                <w:rFonts w:hint="eastAsia" w:eastAsia="仿宋"/>
                <w:bCs/>
                <w:color w:val="000000" w:themeColor="text1"/>
                <w:spacing w:val="-10"/>
                <w:sz w:val="24"/>
                <w14:textFill>
                  <w14:solidFill>
                    <w14:schemeClr w14:val="tx1"/>
                  </w14:solidFill>
                </w14:textFill>
              </w:rPr>
              <w:t>同时要求按照《一般工业固体废物管理台账</w:t>
            </w:r>
            <w:r>
              <w:rPr>
                <w:rFonts w:hint="eastAsia" w:eastAsia="仿宋"/>
                <w:bCs/>
                <w:color w:val="000000" w:themeColor="text1"/>
                <w:spacing w:val="-10"/>
                <w:sz w:val="24"/>
                <w:lang w:val="en-US" w:eastAsia="zh-CN"/>
                <w14:textFill>
                  <w14:solidFill>
                    <w14:schemeClr w14:val="tx1"/>
                  </w14:solidFill>
                </w14:textFill>
              </w:rPr>
              <w:t>制定</w:t>
            </w:r>
            <w:r>
              <w:rPr>
                <w:rFonts w:hint="eastAsia" w:eastAsia="仿宋"/>
                <w:bCs/>
                <w:color w:val="000000" w:themeColor="text1"/>
                <w:spacing w:val="-10"/>
                <w:sz w:val="24"/>
                <w14:textFill>
                  <w14:solidFill>
                    <w14:schemeClr w14:val="tx1"/>
                  </w14:solidFill>
                </w14:textFill>
              </w:rPr>
              <w:t>指南</w:t>
            </w:r>
            <w:r>
              <w:rPr>
                <w:rFonts w:hint="eastAsia" w:eastAsia="仿宋"/>
                <w:bCs/>
                <w:color w:val="000000" w:themeColor="text1"/>
                <w:spacing w:val="-10"/>
                <w:sz w:val="24"/>
                <w:lang w:eastAsia="zh-CN"/>
                <w14:textFill>
                  <w14:solidFill>
                    <w14:schemeClr w14:val="tx1"/>
                  </w14:solidFill>
                </w14:textFill>
              </w:rPr>
              <w:t>（试行）》</w:t>
            </w:r>
            <w:r>
              <w:rPr>
                <w:rFonts w:hint="eastAsia" w:eastAsia="仿宋"/>
                <w:bCs/>
                <w:color w:val="000000" w:themeColor="text1"/>
                <w:spacing w:val="-10"/>
                <w:sz w:val="24"/>
                <w14:textFill>
                  <w14:solidFill>
                    <w14:schemeClr w14:val="tx1"/>
                  </w14:solidFill>
                </w14:textFill>
              </w:rPr>
              <w:t>做好一般工业固废的台账管理工作。</w:t>
            </w:r>
          </w:p>
          <w:p w14:paraId="58449305">
            <w:pPr>
              <w:adjustRightInd w:val="0"/>
              <w:snapToGrid w:val="0"/>
              <w:spacing w:line="360" w:lineRule="auto"/>
              <w:ind w:firstLine="440" w:firstLineChars="200"/>
              <w:rPr>
                <w:rFonts w:hint="default" w:ascii="Times New Roman" w:hAnsi="Times New Roman" w:eastAsia="仿宋" w:cs="Times New Roman"/>
                <w:bCs/>
                <w:color w:val="000000"/>
                <w:spacing w:val="-10"/>
                <w:sz w:val="24"/>
                <w:lang w:val="en-US" w:eastAsia="zh-CN"/>
              </w:rPr>
            </w:pPr>
            <w:r>
              <w:rPr>
                <w:rFonts w:hint="default" w:ascii="Times New Roman" w:hAnsi="Times New Roman" w:eastAsia="仿宋" w:cs="Times New Roman"/>
                <w:bCs/>
                <w:color w:val="000000"/>
                <w:spacing w:val="-10"/>
                <w:sz w:val="24"/>
              </w:rPr>
              <w:t>⑵</w:t>
            </w:r>
            <w:r>
              <w:rPr>
                <w:rFonts w:hint="default" w:ascii="Times New Roman" w:hAnsi="Times New Roman" w:eastAsia="仿宋" w:cs="Times New Roman"/>
                <w:bCs/>
                <w:color w:val="000000"/>
                <w:spacing w:val="-10"/>
                <w:sz w:val="24"/>
                <w:lang w:val="en-US" w:eastAsia="zh-CN"/>
              </w:rPr>
              <w:t>危险废物</w:t>
            </w:r>
          </w:p>
          <w:p w14:paraId="250974D9">
            <w:pPr>
              <w:adjustRightInd w:val="0"/>
              <w:snapToGrid w:val="0"/>
              <w:spacing w:line="360" w:lineRule="auto"/>
              <w:ind w:firstLine="440" w:firstLineChars="200"/>
              <w:rPr>
                <w:rFonts w:hint="default" w:ascii="Times New Roman" w:hAnsi="Times New Roman" w:eastAsia="仿宋" w:cs="Times New Roman"/>
                <w:bCs/>
                <w:color w:val="000000"/>
                <w:spacing w:val="-10"/>
                <w:sz w:val="24"/>
                <w:lang w:val="en-US" w:eastAsia="zh-CN"/>
              </w:rPr>
            </w:pPr>
            <w:r>
              <w:rPr>
                <w:rFonts w:hint="eastAsia" w:ascii="Times New Roman" w:hAnsi="Times New Roman" w:eastAsia="仿宋" w:cs="Times New Roman"/>
                <w:bCs/>
                <w:color w:val="000000"/>
                <w:spacing w:val="-10"/>
                <w:sz w:val="24"/>
                <w:lang w:val="en-US" w:eastAsia="zh-CN"/>
              </w:rPr>
              <w:t>1.</w:t>
            </w:r>
            <w:r>
              <w:rPr>
                <w:rFonts w:hint="default" w:ascii="Times New Roman" w:hAnsi="Times New Roman" w:eastAsia="仿宋" w:cs="Times New Roman"/>
                <w:bCs/>
                <w:color w:val="000000"/>
                <w:spacing w:val="-10"/>
                <w:sz w:val="24"/>
                <w:lang w:val="en-US" w:eastAsia="zh-CN"/>
              </w:rPr>
              <w:t>危废的收集</w:t>
            </w:r>
          </w:p>
          <w:p w14:paraId="6EDBC26F">
            <w:pPr>
              <w:adjustRightInd w:val="0"/>
              <w:snapToGrid w:val="0"/>
              <w:spacing w:line="360" w:lineRule="auto"/>
              <w:ind w:firstLine="440" w:firstLineChars="200"/>
              <w:rPr>
                <w:rFonts w:eastAsia="仿宋"/>
                <w:bCs/>
                <w:color w:val="000000"/>
                <w:spacing w:val="-10"/>
                <w:sz w:val="24"/>
              </w:rPr>
            </w:pPr>
            <w:r>
              <w:rPr>
                <w:rFonts w:ascii="仿宋" w:hAnsi="仿宋" w:eastAsia="仿宋"/>
                <w:bCs/>
                <w:color w:val="000000"/>
                <w:spacing w:val="-10"/>
                <w:sz w:val="24"/>
              </w:rPr>
              <w:t>危险废物的收集过程应按照《危险废物收集、贮存、运输技术规范》（</w:t>
            </w:r>
            <w:r>
              <w:rPr>
                <w:rFonts w:eastAsia="仿宋"/>
                <w:bCs/>
                <w:color w:val="000000"/>
                <w:spacing w:val="-10"/>
                <w:sz w:val="24"/>
              </w:rPr>
              <w:t>HJ2015-2012</w:t>
            </w:r>
            <w:r>
              <w:rPr>
                <w:rFonts w:ascii="仿宋" w:hAnsi="仿宋" w:eastAsia="仿宋"/>
                <w:bCs/>
                <w:color w:val="000000"/>
                <w:spacing w:val="-10"/>
                <w:sz w:val="24"/>
              </w:rPr>
              <w:t>）的要求：</w:t>
            </w:r>
          </w:p>
          <w:p w14:paraId="1BD4124C">
            <w:pPr>
              <w:adjustRightInd w:val="0"/>
              <w:snapToGrid w:val="0"/>
              <w:spacing w:line="360" w:lineRule="auto"/>
              <w:ind w:firstLine="440" w:firstLineChars="200"/>
              <w:rPr>
                <w:rFonts w:eastAsia="仿宋"/>
                <w:bCs/>
                <w:color w:val="000000"/>
                <w:spacing w:val="-10"/>
                <w:sz w:val="24"/>
              </w:rPr>
            </w:pPr>
            <w:r>
              <w:rPr>
                <w:rFonts w:hint="eastAsia" w:ascii="宋体" w:hAnsi="宋体"/>
                <w:bCs/>
                <w:color w:val="000000"/>
                <w:spacing w:val="-10"/>
                <w:sz w:val="24"/>
              </w:rPr>
              <w:t>①</w:t>
            </w:r>
            <w:r>
              <w:rPr>
                <w:rFonts w:ascii="仿宋" w:hAnsi="仿宋" w:eastAsia="仿宋"/>
                <w:bCs/>
                <w:color w:val="000000"/>
                <w:spacing w:val="-10"/>
                <w:sz w:val="24"/>
              </w:rPr>
              <w:t>根据危险废物产生的工艺特征、排放周期、特性、管理计划等因素制定详细的收集计划。收集计划包括收集任务概述、收集目标及原则、危险废物特性评估、危险废物收集量估算、收集作业范围和方法、收集设备与包装容器、安全生产与个人防护、工程防护与事故应急、进度安排与组织管理等。</w:t>
            </w:r>
          </w:p>
          <w:p w14:paraId="5A11F72F">
            <w:pPr>
              <w:adjustRightInd w:val="0"/>
              <w:snapToGrid w:val="0"/>
              <w:spacing w:line="360" w:lineRule="auto"/>
              <w:ind w:firstLine="440" w:firstLineChars="200"/>
              <w:rPr>
                <w:rFonts w:eastAsia="仿宋"/>
                <w:bCs/>
                <w:color w:val="000000"/>
                <w:spacing w:val="-10"/>
                <w:sz w:val="24"/>
              </w:rPr>
            </w:pPr>
            <w:r>
              <w:rPr>
                <w:rFonts w:hint="eastAsia" w:ascii="宋体" w:hAnsi="宋体"/>
                <w:bCs/>
                <w:color w:val="000000"/>
                <w:spacing w:val="-10"/>
                <w:sz w:val="24"/>
              </w:rPr>
              <w:t>②</w:t>
            </w:r>
            <w:r>
              <w:rPr>
                <w:rFonts w:ascii="仿宋" w:hAnsi="仿宋" w:eastAsia="仿宋"/>
                <w:bCs/>
                <w:color w:val="000000"/>
                <w:spacing w:val="-10"/>
                <w:sz w:val="24"/>
              </w:rPr>
              <w:t>制定危险废物收集操作规程，内容包括适用范围、操作程序和方法、专用设备和工具、转移和交接、安全保障和应急防护等。</w:t>
            </w:r>
          </w:p>
          <w:p w14:paraId="54468CDB">
            <w:pPr>
              <w:adjustRightInd w:val="0"/>
              <w:snapToGrid w:val="0"/>
              <w:spacing w:line="360" w:lineRule="auto"/>
              <w:ind w:firstLine="440" w:firstLineChars="200"/>
              <w:rPr>
                <w:rFonts w:eastAsia="仿宋"/>
                <w:bCs/>
                <w:color w:val="000000"/>
                <w:spacing w:val="-10"/>
                <w:sz w:val="24"/>
              </w:rPr>
            </w:pPr>
            <w:r>
              <w:rPr>
                <w:rFonts w:hint="eastAsia" w:ascii="宋体" w:hAnsi="宋体"/>
                <w:bCs/>
                <w:color w:val="000000"/>
                <w:spacing w:val="-10"/>
                <w:sz w:val="24"/>
              </w:rPr>
              <w:t>③</w:t>
            </w:r>
            <w:r>
              <w:rPr>
                <w:rFonts w:ascii="仿宋" w:hAnsi="仿宋" w:eastAsia="仿宋"/>
                <w:bCs/>
                <w:color w:val="000000"/>
                <w:spacing w:val="-10"/>
                <w:sz w:val="24"/>
              </w:rPr>
              <w:t>危险废物收集和转运作业人员根据工作需要配备必要的个人防护设备，如手套、防护镜、防护服、防毒面具或口罩等。</w:t>
            </w:r>
          </w:p>
          <w:p w14:paraId="5B772D49">
            <w:pPr>
              <w:adjustRightInd w:val="0"/>
              <w:snapToGrid w:val="0"/>
              <w:spacing w:line="360" w:lineRule="auto"/>
              <w:ind w:firstLine="440" w:firstLineChars="200"/>
              <w:rPr>
                <w:rFonts w:eastAsia="仿宋"/>
                <w:bCs/>
                <w:color w:val="000000"/>
                <w:spacing w:val="-10"/>
                <w:sz w:val="24"/>
              </w:rPr>
            </w:pPr>
            <w:r>
              <w:rPr>
                <w:rFonts w:hint="eastAsia" w:ascii="宋体" w:hAnsi="宋体"/>
                <w:bCs/>
                <w:color w:val="000000"/>
                <w:spacing w:val="-10"/>
                <w:sz w:val="24"/>
              </w:rPr>
              <w:t>④</w:t>
            </w:r>
            <w:r>
              <w:rPr>
                <w:rFonts w:ascii="仿宋" w:hAnsi="仿宋" w:eastAsia="仿宋"/>
                <w:bCs/>
                <w:color w:val="000000"/>
                <w:spacing w:val="-10"/>
                <w:sz w:val="24"/>
              </w:rPr>
              <w:t>在危险废物收集和转运过程中，采取相应的安全防护和污染防</w:t>
            </w:r>
            <w:r>
              <w:rPr>
                <w:rFonts w:hint="eastAsia" w:ascii="仿宋" w:hAnsi="仿宋" w:eastAsia="仿宋"/>
                <w:bCs/>
                <w:color w:val="000000"/>
                <w:spacing w:val="-10"/>
                <w:sz w:val="24"/>
                <w:lang w:eastAsia="zh-CN"/>
              </w:rPr>
              <w:t>治</w:t>
            </w:r>
            <w:r>
              <w:rPr>
                <w:rFonts w:ascii="仿宋" w:hAnsi="仿宋" w:eastAsia="仿宋"/>
                <w:bCs/>
                <w:color w:val="000000"/>
                <w:spacing w:val="-10"/>
                <w:sz w:val="24"/>
              </w:rPr>
              <w:t>措施，包括防爆、防火、防泄漏、防飞扬、防雨或其他防止污染环境的措施。</w:t>
            </w:r>
          </w:p>
          <w:p w14:paraId="358AA607">
            <w:pPr>
              <w:adjustRightInd w:val="0"/>
              <w:snapToGrid w:val="0"/>
              <w:spacing w:line="360" w:lineRule="auto"/>
              <w:ind w:firstLine="440" w:firstLineChars="200"/>
              <w:rPr>
                <w:rFonts w:eastAsia="仿宋"/>
                <w:bCs/>
                <w:color w:val="000000"/>
                <w:spacing w:val="-10"/>
                <w:sz w:val="24"/>
              </w:rPr>
            </w:pPr>
            <w:r>
              <w:rPr>
                <w:rFonts w:hint="eastAsia" w:ascii="宋体" w:hAnsi="宋体"/>
                <w:bCs/>
                <w:color w:val="000000"/>
                <w:spacing w:val="-10"/>
                <w:sz w:val="24"/>
              </w:rPr>
              <w:t>⑤</w:t>
            </w:r>
            <w:r>
              <w:rPr>
                <w:rFonts w:ascii="仿宋" w:hAnsi="仿宋" w:eastAsia="仿宋"/>
                <w:bCs/>
                <w:color w:val="000000"/>
                <w:spacing w:val="-10"/>
                <w:sz w:val="24"/>
              </w:rPr>
              <w:t>危险废物收集时应根据数量、危险特性、物理形态、运输要求等因素选择合适的包装形式。</w:t>
            </w:r>
          </w:p>
          <w:p w14:paraId="51D84909">
            <w:pPr>
              <w:adjustRightInd w:val="0"/>
              <w:snapToGrid w:val="0"/>
              <w:spacing w:line="360" w:lineRule="auto"/>
              <w:ind w:firstLine="440" w:firstLineChars="200"/>
              <w:rPr>
                <w:rFonts w:hint="default" w:ascii="Times New Roman" w:hAnsi="Times New Roman" w:eastAsia="宋体" w:cs="Times New Roman"/>
                <w:bCs/>
                <w:color w:val="000000" w:themeColor="text1"/>
                <w:spacing w:val="-10"/>
                <w:sz w:val="24"/>
                <w:lang w:val="en-US" w:eastAsia="zh-CN"/>
                <w14:textFill>
                  <w14:solidFill>
                    <w14:schemeClr w14:val="tx1"/>
                  </w14:solidFill>
                </w14:textFill>
              </w:rPr>
            </w:pPr>
            <w:r>
              <w:rPr>
                <w:rFonts w:hint="eastAsia" w:ascii="Times New Roman" w:hAnsi="Times New Roman" w:eastAsia="仿宋" w:cs="Times New Roman"/>
                <w:bCs/>
                <w:color w:val="000000" w:themeColor="text1"/>
                <w:spacing w:val="-10"/>
                <w:sz w:val="24"/>
                <w:lang w:val="en-US" w:eastAsia="zh-CN"/>
                <w14:textFill>
                  <w14:solidFill>
                    <w14:schemeClr w14:val="tx1"/>
                  </w14:solidFill>
                </w14:textFill>
              </w:rPr>
              <w:t>2.</w:t>
            </w:r>
            <w:r>
              <w:rPr>
                <w:rFonts w:hint="default" w:ascii="Times New Roman" w:hAnsi="Times New Roman" w:eastAsia="仿宋" w:cs="Times New Roman"/>
                <w:bCs/>
                <w:color w:val="000000" w:themeColor="text1"/>
                <w:spacing w:val="-10"/>
                <w:sz w:val="24"/>
                <w:lang w:val="en-US" w:eastAsia="zh-CN"/>
                <w14:textFill>
                  <w14:solidFill>
                    <w14:schemeClr w14:val="tx1"/>
                  </w14:solidFill>
                </w14:textFill>
              </w:rPr>
              <w:t>危废</w:t>
            </w:r>
            <w:r>
              <w:rPr>
                <w:rFonts w:hint="eastAsia" w:ascii="Times New Roman" w:hAnsi="Times New Roman" w:eastAsia="仿宋" w:cs="Times New Roman"/>
                <w:bCs/>
                <w:color w:val="000000" w:themeColor="text1"/>
                <w:spacing w:val="-10"/>
                <w:sz w:val="24"/>
                <w:lang w:val="en-US" w:eastAsia="zh-CN"/>
                <w14:textFill>
                  <w14:solidFill>
                    <w14:schemeClr w14:val="tx1"/>
                  </w14:solidFill>
                </w14:textFill>
              </w:rPr>
              <w:t>贮存点环境管理</w:t>
            </w:r>
            <w:r>
              <w:rPr>
                <w:rFonts w:hint="default" w:ascii="Times New Roman" w:hAnsi="Times New Roman" w:eastAsia="仿宋" w:cs="Times New Roman"/>
                <w:bCs/>
                <w:color w:val="000000" w:themeColor="text1"/>
                <w:spacing w:val="-10"/>
                <w:sz w:val="24"/>
                <w:lang w:val="en-US" w:eastAsia="zh-CN"/>
                <w14:textFill>
                  <w14:solidFill>
                    <w14:schemeClr w14:val="tx1"/>
                  </w14:solidFill>
                </w14:textFill>
              </w:rPr>
              <w:t>要求</w:t>
            </w:r>
          </w:p>
          <w:p w14:paraId="433D0B64">
            <w:pPr>
              <w:adjustRightInd w:val="0"/>
              <w:snapToGrid w:val="0"/>
              <w:spacing w:line="360" w:lineRule="auto"/>
              <w:ind w:firstLine="480" w:firstLineChars="200"/>
              <w:rPr>
                <w:rFonts w:eastAsia="仿宋"/>
                <w:bCs/>
                <w:color w:val="000000" w:themeColor="text1"/>
                <w:kern w:val="0"/>
                <w:sz w:val="24"/>
                <w14:textFill>
                  <w14:solidFill>
                    <w14:schemeClr w14:val="tx1"/>
                  </w14:solidFill>
                </w14:textFill>
              </w:rPr>
            </w:pPr>
            <w:r>
              <w:rPr>
                <w:rFonts w:hint="eastAsia" w:eastAsia="仿宋"/>
                <w:bCs/>
                <w:color w:val="000000" w:themeColor="text1"/>
                <w:kern w:val="0"/>
                <w:sz w:val="24"/>
                <w14:textFill>
                  <w14:solidFill>
                    <w14:schemeClr w14:val="tx1"/>
                  </w14:solidFill>
                </w14:textFill>
              </w:rPr>
              <w:t>危险废物按照《危险废物贮存污染控制标准》（G</w:t>
            </w:r>
            <w:r>
              <w:rPr>
                <w:rFonts w:eastAsia="仿宋"/>
                <w:bCs/>
                <w:color w:val="000000" w:themeColor="text1"/>
                <w:kern w:val="0"/>
                <w:sz w:val="24"/>
                <w14:textFill>
                  <w14:solidFill>
                    <w14:schemeClr w14:val="tx1"/>
                  </w14:solidFill>
                </w14:textFill>
              </w:rPr>
              <w:t>B18597-2023</w:t>
            </w:r>
            <w:r>
              <w:rPr>
                <w:rFonts w:hint="eastAsia" w:eastAsia="仿宋"/>
                <w:bCs/>
                <w:color w:val="000000" w:themeColor="text1"/>
                <w:kern w:val="0"/>
                <w:sz w:val="24"/>
                <w14:textFill>
                  <w14:solidFill>
                    <w14:schemeClr w14:val="tx1"/>
                  </w14:solidFill>
                </w14:textFill>
              </w:rPr>
              <w:t>）进行贮存：</w:t>
            </w:r>
          </w:p>
          <w:p w14:paraId="4048358E">
            <w:pPr>
              <w:adjustRightInd w:val="0"/>
              <w:snapToGrid w:val="0"/>
              <w:spacing w:line="360" w:lineRule="auto"/>
              <w:ind w:firstLine="440" w:firstLineChars="200"/>
              <w:rPr>
                <w:rFonts w:hint="eastAsia" w:eastAsia="仿宋"/>
                <w:bCs/>
                <w:color w:val="000000" w:themeColor="text1"/>
                <w:spacing w:val="-10"/>
                <w:sz w:val="24"/>
                <w:lang w:val="en-US" w:eastAsia="zh-CN"/>
                <w14:textFill>
                  <w14:solidFill>
                    <w14:schemeClr w14:val="tx1"/>
                  </w14:solidFill>
                </w14:textFill>
              </w:rPr>
            </w:pPr>
            <w:r>
              <w:rPr>
                <w:rFonts w:hint="eastAsia" w:ascii="宋体" w:hAnsi="宋体" w:cs="宋体"/>
                <w:bCs/>
                <w:color w:val="000000" w:themeColor="text1"/>
                <w:spacing w:val="-10"/>
                <w:sz w:val="24"/>
                <w14:textFill>
                  <w14:solidFill>
                    <w14:schemeClr w14:val="tx1"/>
                  </w14:solidFill>
                </w14:textFill>
              </w:rPr>
              <w:t>①</w:t>
            </w:r>
            <w:r>
              <w:rPr>
                <w:rFonts w:hint="eastAsia" w:eastAsia="仿宋"/>
                <w:bCs/>
                <w:color w:val="000000" w:themeColor="text1"/>
                <w:spacing w:val="-10"/>
                <w:sz w:val="24"/>
                <w:lang w:val="en-US" w:eastAsia="zh-CN"/>
                <w14:textFill>
                  <w14:solidFill>
                    <w14:schemeClr w14:val="tx1"/>
                  </w14:solidFill>
                </w14:textFill>
              </w:rPr>
              <w:t>贮存点应具有固定的区域边界，并采取与其他区域进行隔离的措施。</w:t>
            </w:r>
          </w:p>
          <w:p w14:paraId="64AF12EF">
            <w:pPr>
              <w:adjustRightInd w:val="0"/>
              <w:snapToGrid w:val="0"/>
              <w:spacing w:line="360" w:lineRule="auto"/>
              <w:ind w:firstLine="440" w:firstLineChars="200"/>
              <w:rPr>
                <w:rFonts w:hint="eastAsia" w:eastAsia="仿宋"/>
                <w:bCs/>
                <w:color w:val="000000" w:themeColor="text1"/>
                <w:spacing w:val="-10"/>
                <w:sz w:val="24"/>
                <w:lang w:val="en-US" w:eastAsia="zh-CN"/>
                <w14:textFill>
                  <w14:solidFill>
                    <w14:schemeClr w14:val="tx1"/>
                  </w14:solidFill>
                </w14:textFill>
              </w:rPr>
            </w:pPr>
            <w:r>
              <w:rPr>
                <w:rFonts w:hint="eastAsia" w:ascii="宋体" w:hAnsi="宋体" w:cs="宋体"/>
                <w:bCs/>
                <w:color w:val="000000" w:themeColor="text1"/>
                <w:spacing w:val="-10"/>
                <w:sz w:val="24"/>
                <w14:textFill>
                  <w14:solidFill>
                    <w14:schemeClr w14:val="tx1"/>
                  </w14:solidFill>
                </w14:textFill>
              </w:rPr>
              <w:t>②</w:t>
            </w:r>
            <w:r>
              <w:rPr>
                <w:rFonts w:hint="eastAsia" w:eastAsia="仿宋"/>
                <w:bCs/>
                <w:color w:val="000000" w:themeColor="text1"/>
                <w:spacing w:val="-10"/>
                <w:sz w:val="24"/>
                <w:lang w:val="en-US" w:eastAsia="zh-CN"/>
                <w14:textFill>
                  <w14:solidFill>
                    <w14:schemeClr w14:val="tx1"/>
                  </w14:solidFill>
                </w14:textFill>
              </w:rPr>
              <w:t>贮存点应采取防风、防雨、防晒和防止危险废物流失、扬散等措施。</w:t>
            </w:r>
          </w:p>
          <w:p w14:paraId="0B757FC2">
            <w:pPr>
              <w:adjustRightInd w:val="0"/>
              <w:snapToGrid w:val="0"/>
              <w:spacing w:line="360" w:lineRule="auto"/>
              <w:ind w:firstLine="440" w:firstLineChars="200"/>
              <w:rPr>
                <w:rFonts w:hint="default" w:eastAsia="宋体"/>
                <w:bCs/>
                <w:color w:val="000000" w:themeColor="text1"/>
                <w:spacing w:val="-10"/>
                <w:sz w:val="24"/>
                <w:lang w:val="en-US" w:eastAsia="zh-CN"/>
                <w14:textFill>
                  <w14:solidFill>
                    <w14:schemeClr w14:val="tx1"/>
                  </w14:solidFill>
                </w14:textFill>
              </w:rPr>
            </w:pPr>
            <w:r>
              <w:rPr>
                <w:rFonts w:hint="eastAsia" w:ascii="宋体" w:hAnsi="宋体" w:cs="宋体"/>
                <w:bCs/>
                <w:color w:val="000000" w:themeColor="text1"/>
                <w:spacing w:val="-10"/>
                <w:sz w:val="24"/>
                <w14:textFill>
                  <w14:solidFill>
                    <w14:schemeClr w14:val="tx1"/>
                  </w14:solidFill>
                </w14:textFill>
              </w:rPr>
              <w:t>③</w:t>
            </w:r>
            <w:r>
              <w:rPr>
                <w:rFonts w:hint="eastAsia" w:eastAsia="仿宋"/>
                <w:bCs/>
                <w:color w:val="000000" w:themeColor="text1"/>
                <w:spacing w:val="-10"/>
                <w:sz w:val="24"/>
                <w:lang w:val="en-US" w:eastAsia="zh-CN"/>
                <w14:textFill>
                  <w14:solidFill>
                    <w14:schemeClr w14:val="tx1"/>
                  </w14:solidFill>
                </w14:textFill>
              </w:rPr>
              <w:t>贮存点贮存的危险废物应置于容器或包装物中，不应直接散堆。</w:t>
            </w:r>
          </w:p>
          <w:p w14:paraId="6F146CCF">
            <w:pPr>
              <w:adjustRightInd w:val="0"/>
              <w:snapToGrid w:val="0"/>
              <w:spacing w:line="360" w:lineRule="auto"/>
              <w:ind w:firstLine="440" w:firstLineChars="200"/>
              <w:rPr>
                <w:rFonts w:hint="default" w:eastAsia="宋体"/>
                <w:bCs/>
                <w:color w:val="000000" w:themeColor="text1"/>
                <w:spacing w:val="-10"/>
                <w:sz w:val="24"/>
                <w:lang w:val="en-US" w:eastAsia="zh-CN"/>
                <w14:textFill>
                  <w14:solidFill>
                    <w14:schemeClr w14:val="tx1"/>
                  </w14:solidFill>
                </w14:textFill>
              </w:rPr>
            </w:pPr>
            <w:r>
              <w:rPr>
                <w:rFonts w:hint="eastAsia" w:ascii="宋体" w:hAnsi="宋体" w:cs="宋体"/>
                <w:bCs/>
                <w:color w:val="000000" w:themeColor="text1"/>
                <w:spacing w:val="-10"/>
                <w:sz w:val="24"/>
                <w14:textFill>
                  <w14:solidFill>
                    <w14:schemeClr w14:val="tx1"/>
                  </w14:solidFill>
                </w14:textFill>
              </w:rPr>
              <w:t>④</w:t>
            </w:r>
            <w:r>
              <w:rPr>
                <w:rFonts w:hint="eastAsia" w:eastAsia="仿宋"/>
                <w:bCs/>
                <w:color w:val="000000" w:themeColor="text1"/>
                <w:spacing w:val="-10"/>
                <w:sz w:val="24"/>
                <w:lang w:val="en-US" w:eastAsia="zh-CN"/>
                <w14:textFill>
                  <w14:solidFill>
                    <w14:schemeClr w14:val="tx1"/>
                  </w14:solidFill>
                </w14:textFill>
              </w:rPr>
              <w:t>贮存点应根据危险废物的形态、物理化学性质、包装形式等，采取防渗、防漏等污染防治措施或采用具有相应功能的装置。</w:t>
            </w:r>
          </w:p>
          <w:p w14:paraId="7AD59D04">
            <w:pPr>
              <w:adjustRightInd w:val="0"/>
              <w:snapToGrid w:val="0"/>
              <w:spacing w:line="360" w:lineRule="auto"/>
              <w:ind w:firstLine="440" w:firstLineChars="200"/>
              <w:rPr>
                <w:rFonts w:hint="eastAsia" w:eastAsia="仿宋"/>
                <w:bCs/>
                <w:color w:val="000000" w:themeColor="text1"/>
                <w:spacing w:val="-10"/>
                <w:sz w:val="24"/>
                <w:lang w:val="en-US" w:eastAsia="zh-CN"/>
                <w14:textFill>
                  <w14:solidFill>
                    <w14:schemeClr w14:val="tx1"/>
                  </w14:solidFill>
                </w14:textFill>
              </w:rPr>
            </w:pPr>
            <w:r>
              <w:rPr>
                <w:rFonts w:hint="eastAsia" w:ascii="宋体" w:hAnsi="宋体" w:cs="宋体"/>
                <w:bCs/>
                <w:color w:val="000000" w:themeColor="text1"/>
                <w:spacing w:val="-10"/>
                <w:sz w:val="24"/>
                <w14:textFill>
                  <w14:solidFill>
                    <w14:schemeClr w14:val="tx1"/>
                  </w14:solidFill>
                </w14:textFill>
              </w:rPr>
              <w:t>⑤</w:t>
            </w:r>
            <w:r>
              <w:rPr>
                <w:rFonts w:hint="eastAsia" w:eastAsia="仿宋"/>
                <w:bCs/>
                <w:color w:val="000000" w:themeColor="text1"/>
                <w:spacing w:val="-10"/>
                <w:sz w:val="24"/>
                <w:lang w:val="en-US" w:eastAsia="zh-CN"/>
                <w14:textFill>
                  <w14:solidFill>
                    <w14:schemeClr w14:val="tx1"/>
                  </w14:solidFill>
                </w14:textFill>
              </w:rPr>
              <w:t>贮存点应及时清运贮存的危险废物，实时贮存量不应超过3吨。</w:t>
            </w:r>
          </w:p>
          <w:p w14:paraId="3F5BCFE7">
            <w:pPr>
              <w:adjustRightInd w:val="0"/>
              <w:snapToGrid w:val="0"/>
              <w:spacing w:line="360" w:lineRule="auto"/>
              <w:ind w:firstLine="442" w:firstLineChars="200"/>
              <w:rPr>
                <w:rFonts w:eastAsia="仿宋"/>
                <w:b/>
                <w:color w:val="000000" w:themeColor="text1"/>
                <w:spacing w:val="-10"/>
                <w:sz w:val="24"/>
                <w14:textFill>
                  <w14:solidFill>
                    <w14:schemeClr w14:val="tx1"/>
                  </w14:solidFill>
                </w14:textFill>
              </w:rPr>
            </w:pPr>
            <w:r>
              <w:rPr>
                <w:rFonts w:hint="eastAsia" w:eastAsia="仿宋"/>
                <w:b/>
                <w:color w:val="000000" w:themeColor="text1"/>
                <w:spacing w:val="-10"/>
                <w:sz w:val="24"/>
                <w:lang w:val="en-US" w:eastAsia="zh-CN"/>
                <w14:textFill>
                  <w14:solidFill>
                    <w14:schemeClr w14:val="tx1"/>
                  </w14:solidFill>
                </w14:textFill>
              </w:rPr>
              <w:t>6.</w:t>
            </w:r>
            <w:r>
              <w:rPr>
                <w:rFonts w:hint="eastAsia" w:eastAsia="仿宋"/>
                <w:b/>
                <w:color w:val="000000" w:themeColor="text1"/>
                <w:spacing w:val="-10"/>
                <w:sz w:val="24"/>
                <w14:textFill>
                  <w14:solidFill>
                    <w14:schemeClr w14:val="tx1"/>
                  </w14:solidFill>
                </w14:textFill>
              </w:rPr>
              <w:t>地下水、土壤污染防治措施</w:t>
            </w:r>
          </w:p>
          <w:p w14:paraId="26188DF4">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本项目可能对地下水和土壤环境造成影响的环节主要包括：危废</w:t>
            </w:r>
            <w:r>
              <w:rPr>
                <w:rFonts w:hint="eastAsia" w:eastAsia="仿宋"/>
                <w:color w:val="000000" w:themeColor="text1"/>
                <w:sz w:val="24"/>
                <w:lang w:val="en-US" w:eastAsia="zh-CN"/>
                <w14:textFill>
                  <w14:solidFill>
                    <w14:schemeClr w14:val="tx1"/>
                  </w14:solidFill>
                </w14:textFill>
              </w:rPr>
              <w:t>贮存点</w:t>
            </w:r>
            <w:r>
              <w:rPr>
                <w:rFonts w:eastAsia="仿宋"/>
                <w:color w:val="000000" w:themeColor="text1"/>
                <w:sz w:val="24"/>
                <w14:textFill>
                  <w14:solidFill>
                    <w14:schemeClr w14:val="tx1"/>
                  </w14:solidFill>
                </w14:textFill>
              </w:rPr>
              <w:t>。</w:t>
            </w:r>
          </w:p>
          <w:p w14:paraId="1144995A">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针对可能对地下水和土壤造成影响的各环节，按照“考虑重点，辐射全面”的防腐防渗原则，</w:t>
            </w:r>
            <w:r>
              <w:rPr>
                <w:rFonts w:hint="eastAsia" w:eastAsia="仿宋"/>
                <w:color w:val="000000" w:themeColor="text1"/>
                <w:sz w:val="24"/>
                <w14:textFill>
                  <w14:solidFill>
                    <w14:schemeClr w14:val="tx1"/>
                  </w14:solidFill>
                </w14:textFill>
              </w:rPr>
              <w:t>简单防渗区</w:t>
            </w:r>
            <w:r>
              <w:rPr>
                <w:rFonts w:eastAsia="仿宋"/>
                <w:color w:val="000000" w:themeColor="text1"/>
                <w:sz w:val="24"/>
                <w14:textFill>
                  <w14:solidFill>
                    <w14:schemeClr w14:val="tx1"/>
                  </w14:solidFill>
                </w14:textFill>
              </w:rPr>
              <w:t>采用水泥硬化地面；</w:t>
            </w:r>
            <w:r>
              <w:rPr>
                <w:rFonts w:hint="eastAsia" w:eastAsia="仿宋"/>
                <w:color w:val="000000" w:themeColor="text1"/>
                <w:sz w:val="24"/>
                <w14:textFill>
                  <w14:solidFill>
                    <w14:schemeClr w14:val="tx1"/>
                  </w14:solidFill>
                </w14:textFill>
              </w:rPr>
              <w:t>重点防渗区</w:t>
            </w:r>
            <w:r>
              <w:rPr>
                <w:rFonts w:eastAsia="仿宋"/>
                <w:color w:val="000000" w:themeColor="text1"/>
                <w:sz w:val="24"/>
                <w14:textFill>
                  <w14:solidFill>
                    <w14:schemeClr w14:val="tx1"/>
                  </w14:solidFill>
                </w14:textFill>
              </w:rPr>
              <w:t>采取重点防腐防渗，防渗层防渗系数小于10</w:t>
            </w:r>
            <w:r>
              <w:rPr>
                <w:rFonts w:hint="eastAsia" w:eastAsia="仿宋"/>
                <w:color w:val="000000" w:themeColor="text1"/>
                <w:sz w:val="24"/>
                <w:vertAlign w:val="superscript"/>
                <w:lang w:val="en-US" w:eastAsia="zh-CN"/>
                <w14:textFill>
                  <w14:solidFill>
                    <w14:schemeClr w14:val="tx1"/>
                  </w14:solidFill>
                </w14:textFill>
              </w:rPr>
              <w:t>-</w:t>
            </w:r>
            <w:r>
              <w:rPr>
                <w:rFonts w:eastAsia="仿宋"/>
                <w:color w:val="000000" w:themeColor="text1"/>
                <w:sz w:val="24"/>
                <w:vertAlign w:val="superscript"/>
                <w14:textFill>
                  <w14:solidFill>
                    <w14:schemeClr w14:val="tx1"/>
                  </w14:solidFill>
                </w14:textFill>
              </w:rPr>
              <w:t>7</w:t>
            </w:r>
            <w:r>
              <w:rPr>
                <w:rFonts w:eastAsia="仿宋"/>
                <w:color w:val="000000" w:themeColor="text1"/>
                <w:sz w:val="24"/>
                <w14:textFill>
                  <w14:solidFill>
                    <w14:schemeClr w14:val="tx1"/>
                  </w14:solidFill>
                </w14:textFill>
              </w:rPr>
              <w:t>cm/s。</w:t>
            </w:r>
          </w:p>
          <w:p w14:paraId="5B5DAF94">
            <w:pPr>
              <w:adjustRightInd w:val="0"/>
              <w:snapToGrid w:val="0"/>
              <w:spacing w:line="360" w:lineRule="auto"/>
              <w:ind w:firstLine="480" w:firstLineChars="200"/>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t>本项目根据实际情况，可能</w:t>
            </w:r>
            <w:r>
              <w:rPr>
                <w:rFonts w:hint="eastAsia" w:eastAsia="仿宋"/>
                <w:color w:val="000000" w:themeColor="text1"/>
                <w:sz w:val="24"/>
                <w:szCs w:val="24"/>
                <w:lang w:eastAsia="zh-CN"/>
                <w14:textFill>
                  <w14:solidFill>
                    <w14:schemeClr w14:val="tx1"/>
                  </w14:solidFill>
                </w14:textFill>
              </w:rPr>
              <w:t>泄漏</w:t>
            </w:r>
            <w:r>
              <w:rPr>
                <w:rFonts w:eastAsia="仿宋"/>
                <w:color w:val="000000" w:themeColor="text1"/>
                <w:sz w:val="24"/>
                <w:szCs w:val="24"/>
                <w14:textFill>
                  <w14:solidFill>
                    <w14:schemeClr w14:val="tx1"/>
                  </w14:solidFill>
                </w14:textFill>
              </w:rPr>
              <w:t>至地面区域污染物的性质和生产单元的构筑方式，将划分为重点防渗区和简单防渗区。重点防渗区指污染地下水环境的物质泄漏后不易被及时发现和处理的区域，主要包括危废</w:t>
            </w:r>
            <w:r>
              <w:rPr>
                <w:rFonts w:hint="eastAsia" w:eastAsia="仿宋"/>
                <w:color w:val="000000" w:themeColor="text1"/>
                <w:sz w:val="24"/>
                <w:szCs w:val="24"/>
                <w:lang w:val="en-US" w:eastAsia="zh-CN"/>
                <w14:textFill>
                  <w14:solidFill>
                    <w14:schemeClr w14:val="tx1"/>
                  </w14:solidFill>
                </w14:textFill>
              </w:rPr>
              <w:t>贮存点</w:t>
            </w:r>
            <w:r>
              <w:rPr>
                <w:rFonts w:eastAsia="仿宋"/>
                <w:color w:val="000000" w:themeColor="text1"/>
                <w:sz w:val="24"/>
                <w:szCs w:val="24"/>
                <w14:textFill>
                  <w14:solidFill>
                    <w14:schemeClr w14:val="tx1"/>
                  </w14:solidFill>
                </w14:textFill>
              </w:rPr>
              <w:t>。简单防渗区指不会对地下水造成污染的区域，主要包括</w:t>
            </w:r>
            <w:r>
              <w:rPr>
                <w:rFonts w:hint="eastAsia" w:eastAsia="仿宋"/>
                <w:color w:val="000000" w:themeColor="text1"/>
                <w:spacing w:val="-10"/>
                <w:sz w:val="24"/>
                <w:szCs w:val="24"/>
                <w:lang w:val="en-US" w:eastAsia="zh-CN"/>
                <w14:textFill>
                  <w14:solidFill>
                    <w14:schemeClr w14:val="tx1"/>
                  </w14:solidFill>
                </w14:textFill>
              </w:rPr>
              <w:t>石料加工生产车间</w:t>
            </w:r>
            <w:r>
              <w:rPr>
                <w:rFonts w:hint="eastAsia" w:eastAsia="仿宋"/>
                <w:color w:val="000000" w:themeColor="text1"/>
                <w:spacing w:val="-10"/>
                <w:sz w:val="24"/>
                <w:szCs w:val="24"/>
                <w:lang w:eastAsia="zh-CN"/>
                <w14:textFill>
                  <w14:solidFill>
                    <w14:schemeClr w14:val="tx1"/>
                  </w14:solidFill>
                </w14:textFill>
              </w:rPr>
              <w:t>、</w:t>
            </w:r>
            <w:r>
              <w:rPr>
                <w:rFonts w:hint="eastAsia" w:eastAsia="仿宋"/>
                <w:color w:val="000000" w:themeColor="text1"/>
                <w:spacing w:val="-10"/>
                <w:sz w:val="24"/>
                <w:szCs w:val="24"/>
                <w:lang w:val="en-US" w:eastAsia="zh-CN"/>
                <w14:textFill>
                  <w14:solidFill>
                    <w14:schemeClr w14:val="tx1"/>
                  </w14:solidFill>
                </w14:textFill>
              </w:rPr>
              <w:t>生活办公区</w:t>
            </w:r>
            <w:r>
              <w:rPr>
                <w:rFonts w:eastAsia="仿宋"/>
                <w:color w:val="000000" w:themeColor="text1"/>
                <w:sz w:val="24"/>
                <w:szCs w:val="24"/>
                <w14:textFill>
                  <w14:solidFill>
                    <w14:schemeClr w14:val="tx1"/>
                  </w14:solidFill>
                </w14:textFill>
              </w:rPr>
              <w:t>。</w:t>
            </w:r>
          </w:p>
          <w:p w14:paraId="57AB1DC6">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⑴</w:t>
            </w:r>
            <w:r>
              <w:rPr>
                <w:rFonts w:eastAsia="仿宋"/>
                <w:color w:val="000000" w:themeColor="text1"/>
                <w:sz w:val="24"/>
                <w14:textFill>
                  <w14:solidFill>
                    <w14:schemeClr w14:val="tx1"/>
                  </w14:solidFill>
                </w14:textFill>
              </w:rPr>
              <w:t>重点防渗区</w:t>
            </w:r>
          </w:p>
          <w:p w14:paraId="6412C881">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采取严格的基础防渗措施，防渗层为至少1.5m厚等效黏土防渗层或者2mm厚高密度聚乙烯，或者至少2mm厚的其他人工材料（等效黏土防渗层≥6.0m，渗透系数≤10</w:t>
            </w:r>
            <w:r>
              <w:rPr>
                <w:rFonts w:hint="eastAsia" w:eastAsia="仿宋"/>
                <w:color w:val="000000" w:themeColor="text1"/>
                <w:sz w:val="24"/>
                <w:vertAlign w:val="superscript"/>
                <w:lang w:val="en-US" w:eastAsia="zh-CN"/>
                <w14:textFill>
                  <w14:solidFill>
                    <w14:schemeClr w14:val="tx1"/>
                  </w14:solidFill>
                </w14:textFill>
              </w:rPr>
              <w:t>-</w:t>
            </w:r>
            <w:r>
              <w:rPr>
                <w:rFonts w:eastAsia="仿宋"/>
                <w:color w:val="000000" w:themeColor="text1"/>
                <w:sz w:val="24"/>
                <w:vertAlign w:val="superscript"/>
                <w14:textFill>
                  <w14:solidFill>
                    <w14:schemeClr w14:val="tx1"/>
                  </w14:solidFill>
                </w14:textFill>
              </w:rPr>
              <w:t>7</w:t>
            </w:r>
            <w:r>
              <w:rPr>
                <w:rFonts w:eastAsia="仿宋"/>
                <w:color w:val="000000" w:themeColor="text1"/>
                <w:sz w:val="24"/>
                <w14:textFill>
                  <w14:solidFill>
                    <w14:schemeClr w14:val="tx1"/>
                  </w14:solidFill>
                </w14:textFill>
              </w:rPr>
              <w:t>cm/s）。</w:t>
            </w:r>
          </w:p>
          <w:p w14:paraId="25559CEF">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⑵</w:t>
            </w:r>
            <w:r>
              <w:rPr>
                <w:rFonts w:eastAsia="仿宋"/>
                <w:color w:val="000000" w:themeColor="text1"/>
                <w:sz w:val="24"/>
                <w14:textFill>
                  <w14:solidFill>
                    <w14:schemeClr w14:val="tx1"/>
                  </w14:solidFill>
                </w14:textFill>
              </w:rPr>
              <w:t>简单防渗区</w:t>
            </w:r>
          </w:p>
          <w:p w14:paraId="04CCB157">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一般地面硬化。</w:t>
            </w:r>
          </w:p>
          <w:p w14:paraId="79288C89">
            <w:pPr>
              <w:adjustRightInd w:val="0"/>
              <w:snapToGrid w:val="0"/>
              <w:spacing w:line="360" w:lineRule="auto"/>
              <w:ind w:firstLine="480" w:firstLineChars="200"/>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通过划分防治区，针对不同防治区要求采取不同的防治措施，切实、有效</w:t>
            </w:r>
            <w:r>
              <w:rPr>
                <w:rFonts w:hint="eastAsia" w:eastAsia="仿宋"/>
                <w:color w:val="000000" w:themeColor="text1"/>
                <w:sz w:val="24"/>
                <w:lang w:eastAsia="zh-CN"/>
                <w14:textFill>
                  <w14:solidFill>
                    <w14:schemeClr w14:val="tx1"/>
                  </w14:solidFill>
                </w14:textFill>
              </w:rPr>
              <w:t>地</w:t>
            </w:r>
            <w:r>
              <w:rPr>
                <w:rFonts w:eastAsia="仿宋"/>
                <w:color w:val="000000" w:themeColor="text1"/>
                <w:sz w:val="24"/>
                <w14:textFill>
                  <w14:solidFill>
                    <w14:schemeClr w14:val="tx1"/>
                  </w14:solidFill>
                </w14:textFill>
              </w:rPr>
              <w:t>预防因本项目的建设、生产带来的地下水污染，预防措施可行，具体见表</w:t>
            </w:r>
            <w:r>
              <w:rPr>
                <w:rFonts w:hint="eastAsia" w:eastAsia="仿宋"/>
                <w:color w:val="000000" w:themeColor="text1"/>
                <w:sz w:val="24"/>
                <w:lang w:val="en-US" w:eastAsia="zh-CN"/>
                <w14:textFill>
                  <w14:solidFill>
                    <w14:schemeClr w14:val="tx1"/>
                  </w14:solidFill>
                </w14:textFill>
              </w:rPr>
              <w:t>54</w:t>
            </w:r>
            <w:r>
              <w:rPr>
                <w:rFonts w:eastAsia="仿宋"/>
                <w:color w:val="000000" w:themeColor="text1"/>
                <w:sz w:val="24"/>
                <w14:textFill>
                  <w14:solidFill>
                    <w14:schemeClr w14:val="tx1"/>
                  </w14:solidFill>
                </w14:textFill>
              </w:rPr>
              <w:t>。</w:t>
            </w:r>
          </w:p>
          <w:p w14:paraId="0CAE5B35">
            <w:pPr>
              <w:keepNext w:val="0"/>
              <w:keepLines w:val="0"/>
              <w:pageBreakBefore w:val="0"/>
              <w:widowControl/>
              <w:kinsoku/>
              <w:wordWrap/>
              <w:overflowPunct/>
              <w:topLinePunct w:val="0"/>
              <w:autoSpaceDE/>
              <w:autoSpaceDN/>
              <w:bidi w:val="0"/>
              <w:adjustRightInd w:val="0"/>
              <w:snapToGrid w:val="0"/>
              <w:jc w:val="center"/>
              <w:textAlignment w:val="auto"/>
              <w:rPr>
                <w:rFonts w:eastAsia="仿宋"/>
                <w:b/>
                <w:bCs/>
                <w:color w:val="000000" w:themeColor="text1"/>
                <w:szCs w:val="21"/>
                <w14:textFill>
                  <w14:solidFill>
                    <w14:schemeClr w14:val="tx1"/>
                  </w14:solidFill>
                </w14:textFill>
              </w:rPr>
            </w:pPr>
            <w:r>
              <w:rPr>
                <w:rFonts w:eastAsia="仿宋"/>
                <w:b/>
                <w:bCs/>
                <w:color w:val="000000" w:themeColor="text1"/>
                <w:szCs w:val="21"/>
                <w14:textFill>
                  <w14:solidFill>
                    <w14:schemeClr w14:val="tx1"/>
                  </w14:solidFill>
                </w14:textFill>
              </w:rPr>
              <w:t>表</w:t>
            </w:r>
            <w:r>
              <w:rPr>
                <w:rFonts w:hint="eastAsia" w:eastAsia="仿宋"/>
                <w:b/>
                <w:bCs/>
                <w:color w:val="000000" w:themeColor="text1"/>
                <w:szCs w:val="21"/>
                <w:lang w:val="en-US" w:eastAsia="zh-CN"/>
                <w14:textFill>
                  <w14:solidFill>
                    <w14:schemeClr w14:val="tx1"/>
                  </w14:solidFill>
                </w14:textFill>
              </w:rPr>
              <w:t>54</w:t>
            </w:r>
            <w:r>
              <w:rPr>
                <w:rFonts w:eastAsia="仿宋"/>
                <w:b/>
                <w:bCs/>
                <w:color w:val="000000" w:themeColor="text1"/>
                <w:szCs w:val="21"/>
                <w14:textFill>
                  <w14:solidFill>
                    <w14:schemeClr w14:val="tx1"/>
                  </w14:solidFill>
                </w14:textFill>
              </w:rPr>
              <w:t xml:space="preserve">  地下水防治措施一览表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19"/>
              <w:gridCol w:w="2584"/>
              <w:gridCol w:w="3392"/>
            </w:tblGrid>
            <w:tr w14:paraId="5E759C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1773" w:type="dxa"/>
                  <w:noWrap w:val="0"/>
                  <w:vAlign w:val="center"/>
                </w:tcPr>
                <w:p w14:paraId="4B69294B">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pacing w:val="-10"/>
                      <w:szCs w:val="21"/>
                      <w14:textFill>
                        <w14:solidFill>
                          <w14:schemeClr w14:val="tx1"/>
                        </w14:solidFill>
                      </w14:textFill>
                    </w:rPr>
                  </w:pPr>
                  <w:r>
                    <w:rPr>
                      <w:rFonts w:eastAsia="仿宋"/>
                      <w:color w:val="000000" w:themeColor="text1"/>
                      <w:spacing w:val="-10"/>
                      <w:szCs w:val="21"/>
                      <w14:textFill>
                        <w14:solidFill>
                          <w14:schemeClr w14:val="tx1"/>
                        </w14:solidFill>
                      </w14:textFill>
                    </w:rPr>
                    <w:t>防治分区</w:t>
                  </w:r>
                </w:p>
              </w:tc>
              <w:tc>
                <w:tcPr>
                  <w:tcW w:w="2835" w:type="dxa"/>
                  <w:noWrap w:val="0"/>
                  <w:vAlign w:val="center"/>
                </w:tcPr>
                <w:p w14:paraId="663D1CAD">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pacing w:val="-10"/>
                      <w:szCs w:val="21"/>
                      <w14:textFill>
                        <w14:solidFill>
                          <w14:schemeClr w14:val="tx1"/>
                        </w14:solidFill>
                      </w14:textFill>
                    </w:rPr>
                  </w:pPr>
                  <w:r>
                    <w:rPr>
                      <w:rFonts w:eastAsia="仿宋"/>
                      <w:color w:val="000000" w:themeColor="text1"/>
                      <w:spacing w:val="-10"/>
                      <w:szCs w:val="21"/>
                      <w14:textFill>
                        <w14:solidFill>
                          <w14:schemeClr w14:val="tx1"/>
                        </w14:solidFill>
                      </w14:textFill>
                    </w:rPr>
                    <w:t>区域</w:t>
                  </w:r>
                </w:p>
              </w:tc>
              <w:tc>
                <w:tcPr>
                  <w:tcW w:w="3699" w:type="dxa"/>
                  <w:noWrap w:val="0"/>
                  <w:vAlign w:val="center"/>
                </w:tcPr>
                <w:p w14:paraId="3B445DDC">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pacing w:val="-10"/>
                      <w:szCs w:val="21"/>
                      <w14:textFill>
                        <w14:solidFill>
                          <w14:schemeClr w14:val="tx1"/>
                        </w14:solidFill>
                      </w14:textFill>
                    </w:rPr>
                  </w:pPr>
                  <w:r>
                    <w:rPr>
                      <w:rFonts w:eastAsia="仿宋"/>
                      <w:color w:val="000000" w:themeColor="text1"/>
                      <w:spacing w:val="-10"/>
                      <w:szCs w:val="21"/>
                      <w14:textFill>
                        <w14:solidFill>
                          <w14:schemeClr w14:val="tx1"/>
                        </w14:solidFill>
                      </w14:textFill>
                    </w:rPr>
                    <w:t>处理措施</w:t>
                  </w:r>
                </w:p>
              </w:tc>
            </w:tr>
            <w:tr w14:paraId="5BEE1B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73" w:type="dxa"/>
                  <w:noWrap w:val="0"/>
                  <w:vAlign w:val="center"/>
                </w:tcPr>
                <w:p w14:paraId="77104D8A">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pacing w:val="-10"/>
                      <w:szCs w:val="21"/>
                      <w14:textFill>
                        <w14:solidFill>
                          <w14:schemeClr w14:val="tx1"/>
                        </w14:solidFill>
                      </w14:textFill>
                    </w:rPr>
                  </w:pPr>
                  <w:r>
                    <w:rPr>
                      <w:rFonts w:eastAsia="仿宋"/>
                      <w:color w:val="000000" w:themeColor="text1"/>
                      <w:spacing w:val="-10"/>
                      <w:szCs w:val="21"/>
                      <w14:textFill>
                        <w14:solidFill>
                          <w14:schemeClr w14:val="tx1"/>
                        </w14:solidFill>
                      </w14:textFill>
                    </w:rPr>
                    <w:t>重点防渗区</w:t>
                  </w:r>
                </w:p>
              </w:tc>
              <w:tc>
                <w:tcPr>
                  <w:tcW w:w="2835" w:type="dxa"/>
                  <w:noWrap w:val="0"/>
                  <w:vAlign w:val="center"/>
                </w:tcPr>
                <w:p w14:paraId="351FCF6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仿宋"/>
                      <w:color w:val="000000" w:themeColor="text1"/>
                      <w:spacing w:val="-10"/>
                      <w:szCs w:val="21"/>
                      <w:lang w:eastAsia="zh-CN"/>
                      <w14:textFill>
                        <w14:solidFill>
                          <w14:schemeClr w14:val="tx1"/>
                        </w14:solidFill>
                      </w14:textFill>
                    </w:rPr>
                  </w:pPr>
                  <w:r>
                    <w:rPr>
                      <w:rFonts w:eastAsia="仿宋"/>
                      <w:color w:val="000000" w:themeColor="text1"/>
                      <w:szCs w:val="21"/>
                      <w14:textFill>
                        <w14:solidFill>
                          <w14:schemeClr w14:val="tx1"/>
                        </w14:solidFill>
                      </w14:textFill>
                    </w:rPr>
                    <w:t>危废</w:t>
                  </w:r>
                  <w:r>
                    <w:rPr>
                      <w:rFonts w:hint="eastAsia" w:eastAsia="仿宋"/>
                      <w:color w:val="000000" w:themeColor="text1"/>
                      <w:szCs w:val="21"/>
                      <w:lang w:val="en-US" w:eastAsia="zh-CN"/>
                      <w14:textFill>
                        <w14:solidFill>
                          <w14:schemeClr w14:val="tx1"/>
                        </w14:solidFill>
                      </w14:textFill>
                    </w:rPr>
                    <w:t>贮存点</w:t>
                  </w:r>
                </w:p>
              </w:tc>
              <w:tc>
                <w:tcPr>
                  <w:tcW w:w="3699" w:type="dxa"/>
                  <w:noWrap w:val="0"/>
                  <w:vAlign w:val="center"/>
                </w:tcPr>
                <w:p w14:paraId="13A1199B">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pacing w:val="-10"/>
                      <w:szCs w:val="21"/>
                      <w14:textFill>
                        <w14:solidFill>
                          <w14:schemeClr w14:val="tx1"/>
                        </w14:solidFill>
                      </w14:textFill>
                    </w:rPr>
                  </w:pPr>
                  <w:r>
                    <w:rPr>
                      <w:rFonts w:eastAsia="仿宋"/>
                      <w:color w:val="000000" w:themeColor="text1"/>
                      <w:spacing w:val="-10"/>
                      <w:szCs w:val="21"/>
                      <w14:textFill>
                        <w14:solidFill>
                          <w14:schemeClr w14:val="tx1"/>
                        </w14:solidFill>
                      </w14:textFill>
                    </w:rPr>
                    <w:t>等效黏土防渗层≥6.0m，渗透系数≤10</w:t>
                  </w:r>
                  <w:r>
                    <w:rPr>
                      <w:rFonts w:hint="eastAsia" w:eastAsia="仿宋"/>
                      <w:color w:val="000000" w:themeColor="text1"/>
                      <w:spacing w:val="-10"/>
                      <w:szCs w:val="21"/>
                      <w:vertAlign w:val="superscript"/>
                      <w:lang w:val="en-US" w:eastAsia="zh-CN"/>
                      <w14:textFill>
                        <w14:solidFill>
                          <w14:schemeClr w14:val="tx1"/>
                        </w14:solidFill>
                      </w14:textFill>
                    </w:rPr>
                    <w:t>-</w:t>
                  </w:r>
                  <w:r>
                    <w:rPr>
                      <w:rFonts w:eastAsia="仿宋"/>
                      <w:color w:val="000000" w:themeColor="text1"/>
                      <w:spacing w:val="-10"/>
                      <w:szCs w:val="21"/>
                      <w:vertAlign w:val="superscript"/>
                      <w14:textFill>
                        <w14:solidFill>
                          <w14:schemeClr w14:val="tx1"/>
                        </w14:solidFill>
                      </w14:textFill>
                    </w:rPr>
                    <w:t>7</w:t>
                  </w:r>
                  <w:r>
                    <w:rPr>
                      <w:rFonts w:eastAsia="仿宋"/>
                      <w:color w:val="000000" w:themeColor="text1"/>
                      <w:spacing w:val="-10"/>
                      <w:szCs w:val="21"/>
                      <w14:textFill>
                        <w14:solidFill>
                          <w14:schemeClr w14:val="tx1"/>
                        </w14:solidFill>
                      </w14:textFill>
                    </w:rPr>
                    <w:t>cm/s</w:t>
                  </w:r>
                </w:p>
              </w:tc>
            </w:tr>
            <w:tr w14:paraId="05E9E2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773" w:type="dxa"/>
                  <w:noWrap w:val="0"/>
                  <w:vAlign w:val="center"/>
                </w:tcPr>
                <w:p w14:paraId="629587F6">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pacing w:val="-10"/>
                      <w:szCs w:val="21"/>
                      <w14:textFill>
                        <w14:solidFill>
                          <w14:schemeClr w14:val="tx1"/>
                        </w14:solidFill>
                      </w14:textFill>
                    </w:rPr>
                  </w:pPr>
                  <w:r>
                    <w:rPr>
                      <w:rFonts w:hint="eastAsia" w:eastAsia="仿宋"/>
                      <w:color w:val="000000" w:themeColor="text1"/>
                      <w:spacing w:val="-10"/>
                      <w:szCs w:val="21"/>
                      <w14:textFill>
                        <w14:solidFill>
                          <w14:schemeClr w14:val="tx1"/>
                        </w14:solidFill>
                      </w14:textFill>
                    </w:rPr>
                    <w:t>简单防渗区</w:t>
                  </w:r>
                </w:p>
              </w:tc>
              <w:tc>
                <w:tcPr>
                  <w:tcW w:w="2835" w:type="dxa"/>
                  <w:noWrap w:val="0"/>
                  <w:vAlign w:val="center"/>
                </w:tcPr>
                <w:p w14:paraId="22D961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仿宋"/>
                      <w:color w:val="000000" w:themeColor="text1"/>
                      <w:spacing w:val="-10"/>
                      <w:szCs w:val="21"/>
                      <w:lang w:val="en-US" w:eastAsia="zh-CN"/>
                      <w14:textFill>
                        <w14:solidFill>
                          <w14:schemeClr w14:val="tx1"/>
                        </w14:solidFill>
                      </w14:textFill>
                    </w:rPr>
                  </w:pPr>
                  <w:r>
                    <w:rPr>
                      <w:rFonts w:hint="eastAsia" w:eastAsia="仿宋"/>
                      <w:color w:val="000000" w:themeColor="text1"/>
                      <w:spacing w:val="-10"/>
                      <w:szCs w:val="21"/>
                      <w:lang w:val="en-US" w:eastAsia="zh-CN"/>
                      <w14:textFill>
                        <w14:solidFill>
                          <w14:schemeClr w14:val="tx1"/>
                        </w14:solidFill>
                      </w14:textFill>
                    </w:rPr>
                    <w:t>石料加工生产车间</w:t>
                  </w:r>
                  <w:r>
                    <w:rPr>
                      <w:rFonts w:hint="eastAsia" w:eastAsia="仿宋"/>
                      <w:color w:val="000000" w:themeColor="text1"/>
                      <w:spacing w:val="-10"/>
                      <w:szCs w:val="21"/>
                      <w:lang w:eastAsia="zh-CN"/>
                      <w14:textFill>
                        <w14:solidFill>
                          <w14:schemeClr w14:val="tx1"/>
                        </w14:solidFill>
                      </w14:textFill>
                    </w:rPr>
                    <w:t>、</w:t>
                  </w:r>
                  <w:r>
                    <w:rPr>
                      <w:rFonts w:hint="eastAsia" w:eastAsia="仿宋"/>
                      <w:color w:val="000000" w:themeColor="text1"/>
                      <w:spacing w:val="-10"/>
                      <w:szCs w:val="21"/>
                      <w:lang w:val="en-US" w:eastAsia="zh-CN"/>
                      <w14:textFill>
                        <w14:solidFill>
                          <w14:schemeClr w14:val="tx1"/>
                        </w14:solidFill>
                      </w14:textFill>
                    </w:rPr>
                    <w:t>生活办公区</w:t>
                  </w:r>
                </w:p>
              </w:tc>
              <w:tc>
                <w:tcPr>
                  <w:tcW w:w="3699" w:type="dxa"/>
                  <w:noWrap w:val="0"/>
                  <w:vAlign w:val="center"/>
                </w:tcPr>
                <w:p w14:paraId="5CB36903">
                  <w:pPr>
                    <w:keepNext w:val="0"/>
                    <w:keepLines w:val="0"/>
                    <w:pageBreakBefore w:val="0"/>
                    <w:widowControl w:val="0"/>
                    <w:kinsoku/>
                    <w:wordWrap/>
                    <w:overflowPunct/>
                    <w:topLinePunct w:val="0"/>
                    <w:autoSpaceDE/>
                    <w:autoSpaceDN/>
                    <w:bidi w:val="0"/>
                    <w:adjustRightInd w:val="0"/>
                    <w:snapToGrid w:val="0"/>
                    <w:jc w:val="center"/>
                    <w:textAlignment w:val="auto"/>
                    <w:rPr>
                      <w:rFonts w:eastAsia="仿宋"/>
                      <w:color w:val="000000" w:themeColor="text1"/>
                      <w:spacing w:val="-10"/>
                      <w:szCs w:val="21"/>
                      <w14:textFill>
                        <w14:solidFill>
                          <w14:schemeClr w14:val="tx1"/>
                        </w14:solidFill>
                      </w14:textFill>
                    </w:rPr>
                  </w:pPr>
                  <w:r>
                    <w:rPr>
                      <w:rFonts w:eastAsia="仿宋"/>
                      <w:color w:val="000000" w:themeColor="text1"/>
                      <w:spacing w:val="-10"/>
                      <w:szCs w:val="21"/>
                      <w14:textFill>
                        <w14:solidFill>
                          <w14:schemeClr w14:val="tx1"/>
                        </w14:solidFill>
                      </w14:textFill>
                    </w:rPr>
                    <w:t>一般地面硬化</w:t>
                  </w:r>
                </w:p>
              </w:tc>
            </w:tr>
          </w:tbl>
          <w:p w14:paraId="43B197C9">
            <w:pPr>
              <w:keepNext w:val="0"/>
              <w:keepLines w:val="0"/>
              <w:pageBreakBefore w:val="0"/>
              <w:widowControl/>
              <w:kinsoku/>
              <w:wordWrap/>
              <w:overflowPunct/>
              <w:topLinePunct w:val="0"/>
              <w:autoSpaceDE/>
              <w:autoSpaceDN/>
              <w:bidi w:val="0"/>
              <w:adjustRightInd w:val="0"/>
              <w:snapToGrid w:val="0"/>
              <w:jc w:val="center"/>
              <w:textAlignment w:val="auto"/>
              <w:rPr>
                <w:rFonts w:eastAsia="仿宋"/>
                <w:b/>
                <w:bCs/>
                <w:color w:val="000000" w:themeColor="text1"/>
                <w:szCs w:val="21"/>
                <w14:textFill>
                  <w14:solidFill>
                    <w14:schemeClr w14:val="tx1"/>
                  </w14:solidFill>
                </w14:textFill>
              </w:rPr>
            </w:pPr>
          </w:p>
          <w:p w14:paraId="611C682E">
            <w:pPr>
              <w:keepNext w:val="0"/>
              <w:keepLines w:val="0"/>
              <w:pageBreakBefore w:val="0"/>
              <w:widowControl/>
              <w:kinsoku/>
              <w:wordWrap/>
              <w:overflowPunct/>
              <w:topLinePunct w:val="0"/>
              <w:autoSpaceDE/>
              <w:autoSpaceDN/>
              <w:bidi w:val="0"/>
              <w:adjustRightInd w:val="0"/>
              <w:snapToGrid w:val="0"/>
              <w:jc w:val="center"/>
              <w:textAlignment w:val="auto"/>
              <w:rPr>
                <w:rFonts w:eastAsia="仿宋"/>
                <w:b/>
                <w:bCs/>
                <w:color w:val="000000" w:themeColor="text1"/>
                <w:szCs w:val="21"/>
                <w14:textFill>
                  <w14:solidFill>
                    <w14:schemeClr w14:val="tx1"/>
                  </w14:solidFill>
                </w14:textFill>
              </w:rPr>
            </w:pPr>
          </w:p>
          <w:p w14:paraId="7799960B">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eastAsia" w:ascii="Times New Roman" w:hAnsi="Times New Roman" w:eastAsia="仿宋" w:cs="Times New Roman"/>
                <w:b/>
                <w:bCs/>
                <w:color w:val="000000" w:themeColor="text1"/>
                <w:spacing w:val="0"/>
                <w:sz w:val="24"/>
                <w:szCs w:val="24"/>
                <w:highlight w:val="none"/>
                <w:lang w:val="en-US" w:eastAsia="zh-CN" w:bidi="ar"/>
                <w14:textFill>
                  <w14:solidFill>
                    <w14:schemeClr w14:val="tx1"/>
                  </w14:solidFill>
                </w14:textFill>
              </w:rPr>
            </w:pPr>
            <w:r>
              <w:rPr>
                <w:rFonts w:hint="eastAsia" w:ascii="Times New Roman" w:hAnsi="Times New Roman" w:eastAsia="仿宋" w:cs="Times New Roman"/>
                <w:b/>
                <w:bCs/>
                <w:color w:val="000000" w:themeColor="text1"/>
                <w:spacing w:val="0"/>
                <w:sz w:val="24"/>
                <w:szCs w:val="24"/>
                <w:highlight w:val="none"/>
                <w:lang w:val="en-US" w:eastAsia="zh-CN" w:bidi="ar"/>
                <w14:textFill>
                  <w14:solidFill>
                    <w14:schemeClr w14:val="tx1"/>
                  </w14:solidFill>
                </w14:textFill>
              </w:rPr>
              <w:t>二、</w:t>
            </w:r>
            <w:r>
              <w:rPr>
                <w:rFonts w:hint="default" w:ascii="Times New Roman" w:hAnsi="Times New Roman" w:eastAsia="仿宋" w:cs="Times New Roman"/>
                <w:b/>
                <w:bCs/>
                <w:color w:val="000000" w:themeColor="text1"/>
                <w:spacing w:val="0"/>
                <w:sz w:val="24"/>
                <w:szCs w:val="24"/>
                <w:highlight w:val="none"/>
                <w:lang w:val="en-US" w:eastAsia="zh-CN" w:bidi="ar"/>
                <w14:textFill>
                  <w14:solidFill>
                    <w14:schemeClr w14:val="tx1"/>
                  </w14:solidFill>
                </w14:textFill>
              </w:rPr>
              <w:t>闭矿</w:t>
            </w:r>
            <w:r>
              <w:rPr>
                <w:rFonts w:hint="eastAsia" w:ascii="Times New Roman" w:hAnsi="Times New Roman" w:eastAsia="仿宋" w:cs="Times New Roman"/>
                <w:b/>
                <w:bCs/>
                <w:color w:val="000000" w:themeColor="text1"/>
                <w:spacing w:val="0"/>
                <w:sz w:val="24"/>
                <w:szCs w:val="24"/>
                <w:highlight w:val="none"/>
                <w:lang w:val="en-US" w:eastAsia="zh-CN" w:bidi="ar"/>
                <w14:textFill>
                  <w14:solidFill>
                    <w14:schemeClr w14:val="tx1"/>
                  </w14:solidFill>
                </w14:textFill>
              </w:rPr>
              <w:t>期</w:t>
            </w:r>
            <w:r>
              <w:rPr>
                <w:rFonts w:hint="default" w:ascii="Times New Roman" w:hAnsi="Times New Roman" w:eastAsia="仿宋" w:cs="Times New Roman"/>
                <w:b/>
                <w:bCs/>
                <w:color w:val="000000" w:themeColor="text1"/>
                <w:spacing w:val="0"/>
                <w:sz w:val="24"/>
                <w:szCs w:val="24"/>
                <w:highlight w:val="none"/>
                <w:lang w:val="en-US" w:eastAsia="zh-CN" w:bidi="ar"/>
                <w14:textFill>
                  <w14:solidFill>
                    <w14:schemeClr w14:val="tx1"/>
                  </w14:solidFill>
                </w14:textFill>
              </w:rPr>
              <w:t>复垦生态恢复</w:t>
            </w:r>
            <w:r>
              <w:rPr>
                <w:rFonts w:hint="eastAsia" w:ascii="Times New Roman" w:hAnsi="Times New Roman" w:eastAsia="仿宋" w:cs="Times New Roman"/>
                <w:b/>
                <w:bCs/>
                <w:color w:val="000000" w:themeColor="text1"/>
                <w:spacing w:val="0"/>
                <w:sz w:val="24"/>
                <w:szCs w:val="24"/>
                <w:highlight w:val="none"/>
                <w:lang w:val="en-US" w:eastAsia="zh-CN" w:bidi="ar"/>
                <w14:textFill>
                  <w14:solidFill>
                    <w14:schemeClr w14:val="tx1"/>
                  </w14:solidFill>
                </w14:textFill>
              </w:rPr>
              <w:t>措施</w:t>
            </w:r>
          </w:p>
          <w:p w14:paraId="53B6C5BA">
            <w:pPr>
              <w:keepNext w:val="0"/>
              <w:keepLines w:val="0"/>
              <w:pageBreakBefore w:val="0"/>
              <w:kinsoku/>
              <w:wordWrap/>
              <w:overflowPunct/>
              <w:autoSpaceDE w:val="0"/>
              <w:autoSpaceDN w:val="0"/>
              <w:bidi w:val="0"/>
              <w:adjustRightInd w:val="0"/>
              <w:snapToGrid w:val="0"/>
              <w:spacing w:line="360" w:lineRule="auto"/>
              <w:ind w:firstLine="482" w:firstLineChars="200"/>
              <w:jc w:val="both"/>
              <w:rPr>
                <w:rFonts w:hint="default" w:ascii="Times New Roman" w:hAnsi="Times New Roman" w:eastAsia="仿宋" w:cs="Times New Roman"/>
                <w:b/>
                <w:color w:val="000000" w:themeColor="text1"/>
                <w:kern w:val="0"/>
                <w:sz w:val="24"/>
                <w:szCs w:val="24"/>
                <w:highlight w:val="none"/>
                <w:lang w:val="en-US" w:eastAsia="zh-CN"/>
                <w14:textFill>
                  <w14:solidFill>
                    <w14:schemeClr w14:val="tx1"/>
                  </w14:solidFill>
                </w14:textFill>
              </w:rPr>
            </w:pPr>
            <w:r>
              <w:rPr>
                <w:rFonts w:hint="eastAsia" w:eastAsia="仿宋" w:cs="Times New Roman"/>
                <w:b/>
                <w:color w:val="000000" w:themeColor="text1"/>
                <w:kern w:val="0"/>
                <w:sz w:val="24"/>
                <w:szCs w:val="24"/>
                <w:highlight w:val="none"/>
                <w:lang w:val="en-US" w:eastAsia="zh-CN"/>
                <w14:textFill>
                  <w14:solidFill>
                    <w14:schemeClr w14:val="tx1"/>
                  </w14:solidFill>
                </w14:textFill>
              </w:rPr>
              <w:t>1.分项工程生态恢复措施</w:t>
            </w:r>
          </w:p>
          <w:p w14:paraId="368E4B73">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⑴露天采场地貌重塑</w:t>
            </w:r>
          </w:p>
          <w:p w14:paraId="1018673F">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①刺丝围栏</w:t>
            </w:r>
          </w:p>
          <w:p w14:paraId="4E6B74A8">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采坑外围采用刺丝围栏进行永久围堵，防止人、畜进入。</w:t>
            </w:r>
          </w:p>
          <w:p w14:paraId="0F87F46B">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②警示牌</w:t>
            </w:r>
          </w:p>
          <w:p w14:paraId="34F4F5DE">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根据《安全色和安全标志》（GB2894-2025）的</w:t>
            </w:r>
            <w:r>
              <w:rPr>
                <w:rFonts w:hint="eastAsia" w:ascii="Times New Roman" w:hAnsi="Times New Roman" w:eastAsia="仿宋" w:cs="Times New Roman"/>
                <w:color w:val="000000" w:themeColor="text1"/>
                <w:kern w:val="0"/>
                <w:sz w:val="24"/>
                <w:szCs w:val="24"/>
                <w:highlight w:val="none"/>
                <w:lang w:eastAsia="zh-CN"/>
                <w14:textFill>
                  <w14:solidFill>
                    <w14:schemeClr w14:val="tx1"/>
                  </w14:solidFill>
                </w14:textFill>
              </w:rPr>
              <w:t>要求</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设计在刺丝围栏周围、露天采场出入口、近矿区入口等醒目位置设置警示牌，提醒过往行人不要误入和长期逗留。警示牌由基座、宣传板组成，警示牌上用汉语文字书写内容“露天采场，严禁入内”等字样。</w:t>
            </w:r>
          </w:p>
          <w:p w14:paraId="3D278A48">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③对采场存在滑坡危险的边坡进行削坡、清除危岩浮石、对不稳定边坡进行削坡后回填采坑、场地平整等措施，自然恢复。</w:t>
            </w:r>
          </w:p>
          <w:p w14:paraId="1F5E8FFD">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微软雅黑" w:cs="Times New Roman"/>
                <w:color w:val="000000" w:themeColor="text1"/>
                <w:kern w:val="0"/>
                <w:sz w:val="24"/>
                <w:szCs w:val="24"/>
                <w:highlight w:val="none"/>
                <w14:textFill>
                  <w14:solidFill>
                    <w14:schemeClr w14:val="tx1"/>
                  </w14:solidFill>
                </w14:textFill>
              </w:rPr>
              <w:t>⑵</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排土场地貌重塑</w:t>
            </w:r>
          </w:p>
          <w:p w14:paraId="69421BE5">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对不符合设计的排土场边坡进行削坡</w:t>
            </w:r>
            <w:r>
              <w:rPr>
                <w:rFonts w:hint="eastAsia" w:ascii="Times New Roman" w:hAnsi="Times New Roman" w:eastAsia="仿宋" w:cs="Times New Roman"/>
                <w:color w:val="000000" w:themeColor="text1"/>
                <w:kern w:val="0"/>
                <w:sz w:val="24"/>
                <w:szCs w:val="24"/>
                <w:highlight w:val="none"/>
                <w14:textFill>
                  <w14:solidFill>
                    <w14:schemeClr w14:val="tx1"/>
                  </w14:solidFill>
                </w14:textFill>
              </w:rPr>
              <w:t>，确保排土场各台阶坡面角不大于35°，分层高度不大于15m，安全平台宽度不小于5m，然后对排土场表面进行</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平整，后自然恢复。</w:t>
            </w:r>
          </w:p>
          <w:p w14:paraId="4924C8F5">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⑶建构筑物</w:t>
            </w:r>
            <w:r>
              <w:rPr>
                <w:rFonts w:hint="eastAsia" w:ascii="Times New Roman" w:hAnsi="Times New Roman" w:eastAsia="仿宋" w:cs="Times New Roman"/>
                <w:color w:val="000000" w:themeColor="text1"/>
                <w:kern w:val="0"/>
                <w:sz w:val="24"/>
                <w:szCs w:val="24"/>
                <w:highlight w:val="none"/>
                <w14:textFill>
                  <w14:solidFill>
                    <w14:schemeClr w14:val="tx1"/>
                  </w14:solidFill>
                </w14:textFill>
              </w:rPr>
              <w:t>区域地貌重塑</w:t>
            </w:r>
          </w:p>
          <w:p w14:paraId="71373460">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①当矿山开采结束后，对箱式变电站、办公生活区等建筑物</w:t>
            </w:r>
            <w:r>
              <w:rPr>
                <w:rFonts w:hint="eastAsia" w:ascii="Times New Roman" w:hAnsi="Times New Roman" w:eastAsia="仿宋" w:cs="Times New Roman"/>
                <w:color w:val="000000" w:themeColor="text1"/>
                <w:kern w:val="0"/>
                <w:sz w:val="24"/>
                <w:szCs w:val="24"/>
                <w:highlight w:val="none"/>
                <w14:textFill>
                  <w14:solidFill>
                    <w14:schemeClr w14:val="tx1"/>
                  </w14:solidFill>
                </w14:textFill>
              </w:rPr>
              <w:t>区域</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进行建构筑物拆除。</w:t>
            </w:r>
          </w:p>
          <w:p w14:paraId="079D9B89">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②拆除后的建筑垃圾采用车辆拉运至采坑底部回填平整。</w:t>
            </w:r>
          </w:p>
          <w:p w14:paraId="67180730">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砌体拆除后对场地进行翻垦、平整，覆土150mm、自然恢复。</w:t>
            </w:r>
          </w:p>
          <w:p w14:paraId="1EE4D6CC">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lang w:val="en-US" w:eastAsia="zh-CN"/>
                <w14:textFill>
                  <w14:solidFill>
                    <w14:schemeClr w14:val="tx1"/>
                  </w14:solidFill>
                </w14:textFill>
              </w:rPr>
              <w:t>⑷</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破碎工业场地地貌重塑</w:t>
            </w:r>
          </w:p>
          <w:p w14:paraId="1487EEB4">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①当矿山开采结束后，对破碎场地进行拆除</w:t>
            </w:r>
            <w:r>
              <w:rPr>
                <w:rFonts w:hint="eastAsia" w:ascii="Times New Roman" w:hAnsi="Times New Roman" w:eastAsia="仿宋" w:cs="Times New Roman"/>
                <w:color w:val="000000" w:themeColor="text1"/>
                <w:kern w:val="0"/>
                <w:sz w:val="24"/>
                <w:szCs w:val="24"/>
                <w:highlight w:val="none"/>
                <w14:textFill>
                  <w14:solidFill>
                    <w14:schemeClr w14:val="tx1"/>
                  </w14:solidFill>
                </w14:textFill>
              </w:rPr>
              <w:t>和</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清理。</w:t>
            </w:r>
          </w:p>
          <w:p w14:paraId="5A1999F4">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②破碎场地</w:t>
            </w:r>
            <w:r>
              <w:rPr>
                <w:rFonts w:hint="eastAsia" w:ascii="Times New Roman" w:hAnsi="Times New Roman" w:eastAsia="仿宋" w:cs="Times New Roman"/>
                <w:color w:val="000000" w:themeColor="text1"/>
                <w:kern w:val="0"/>
                <w:sz w:val="24"/>
                <w:szCs w:val="24"/>
                <w:highlight w:val="none"/>
                <w14:textFill>
                  <w14:solidFill>
                    <w14:schemeClr w14:val="tx1"/>
                  </w14:solidFill>
                </w14:textFill>
              </w:rPr>
              <w:t>钢构结构由专业队伍拆除后折价出售，</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拆除后的建筑垃圾采用车辆拉运至采坑底部回填平整</w:t>
            </w:r>
            <w:r>
              <w:rPr>
                <w:rFonts w:hint="eastAsia" w:ascii="Times New Roman" w:hAnsi="Times New Roman" w:eastAsia="仿宋" w:cs="Times New Roman"/>
                <w:color w:val="000000" w:themeColor="text1"/>
                <w:kern w:val="0"/>
                <w:sz w:val="24"/>
                <w:szCs w:val="24"/>
                <w:highlight w:val="none"/>
                <w14:textFill>
                  <w14:solidFill>
                    <w14:schemeClr w14:val="tx1"/>
                  </w14:solidFill>
                </w14:textFill>
              </w:rPr>
              <w:t>；</w:t>
            </w:r>
          </w:p>
          <w:p w14:paraId="2C3E3945">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eastAsia" w:ascii="Times New Roman" w:hAnsi="Times New Roman" w:eastAsia="仿宋"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③砌体拆除后对场地进行翻垦、平整，覆土150mm、自然恢复</w:t>
            </w:r>
            <w:r>
              <w:rPr>
                <w:rFonts w:hint="eastAsia" w:ascii="Times New Roman" w:hAnsi="Times New Roman" w:eastAsia="仿宋" w:cs="Times New Roman"/>
                <w:color w:val="000000" w:themeColor="text1"/>
                <w:kern w:val="0"/>
                <w:sz w:val="24"/>
                <w:szCs w:val="24"/>
                <w:highlight w:val="none"/>
                <w:lang w:eastAsia="zh-CN"/>
                <w14:textFill>
                  <w14:solidFill>
                    <w14:schemeClr w14:val="tx1"/>
                  </w14:solidFill>
                </w14:textFill>
              </w:rPr>
              <w:t>。</w:t>
            </w:r>
          </w:p>
          <w:p w14:paraId="501952B4">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lang w:val="en-US" w:eastAsia="zh-CN"/>
                <w14:textFill>
                  <w14:solidFill>
                    <w14:schemeClr w14:val="tx1"/>
                  </w14:solidFill>
                </w14:textFill>
              </w:rPr>
              <w:t>⑸矿山道路工程范围</w:t>
            </w:r>
          </w:p>
          <w:p w14:paraId="07D642A0">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eastAsia" w:ascii="Times New Roman" w:hAnsi="Times New Roman" w:eastAsia="仿宋" w:cs="Times New Roman"/>
                <w:color w:val="000000" w:themeColor="text1"/>
                <w:kern w:val="0"/>
                <w:sz w:val="24"/>
                <w:szCs w:val="24"/>
                <w:highlight w:val="none"/>
                <w:lang w:val="en-US" w:eastAsia="zh-CN"/>
                <w14:textFill>
                  <w14:solidFill>
                    <w14:schemeClr w14:val="tx1"/>
                  </w14:solidFill>
                </w14:textFill>
              </w:rPr>
              <w:t>待开采结束后，需对矿山道路进行翻垦、覆土150mm、平整，自然恢复</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w:t>
            </w:r>
          </w:p>
          <w:p w14:paraId="717C818F">
            <w:pPr>
              <w:keepNext w:val="0"/>
              <w:keepLines w:val="0"/>
              <w:pageBreakBefore w:val="0"/>
              <w:kinsoku/>
              <w:wordWrap/>
              <w:overflowPunct/>
              <w:autoSpaceDE w:val="0"/>
              <w:autoSpaceDN w:val="0"/>
              <w:bidi w:val="0"/>
              <w:adjustRightInd w:val="0"/>
              <w:snapToGrid w:val="0"/>
              <w:spacing w:line="360" w:lineRule="auto"/>
              <w:ind w:firstLine="482" w:firstLineChars="200"/>
              <w:jc w:val="both"/>
              <w:rPr>
                <w:rFonts w:hint="default" w:ascii="Times New Roman" w:hAnsi="Times New Roman" w:eastAsia="仿宋" w:cs="Times New Roman"/>
                <w:b/>
                <w:color w:val="000000" w:themeColor="text1"/>
                <w:kern w:val="0"/>
                <w:sz w:val="24"/>
                <w:szCs w:val="24"/>
                <w:highlight w:val="none"/>
                <w:lang w:val="zh-CN" w:eastAsia="zh-CN"/>
                <w14:textFill>
                  <w14:solidFill>
                    <w14:schemeClr w14:val="tx1"/>
                  </w14:solidFill>
                </w14:textFill>
              </w:rPr>
            </w:pPr>
            <w:bookmarkStart w:id="42" w:name="_Toc23475"/>
            <w:r>
              <w:rPr>
                <w:rFonts w:hint="eastAsia" w:ascii="Times New Roman" w:hAnsi="Times New Roman" w:eastAsia="仿宋" w:cs="Times New Roman"/>
                <w:b/>
                <w:color w:val="000000" w:themeColor="text1"/>
                <w:kern w:val="0"/>
                <w:sz w:val="24"/>
                <w:szCs w:val="24"/>
                <w:highlight w:val="none"/>
                <w:lang w:val="en-US" w:eastAsia="zh-CN"/>
                <w14:textFill>
                  <w14:solidFill>
                    <w14:schemeClr w14:val="tx1"/>
                  </w14:solidFill>
                </w14:textFill>
              </w:rPr>
              <w:t>2.</w:t>
            </w:r>
            <w:r>
              <w:rPr>
                <w:rFonts w:hint="default" w:ascii="Times New Roman" w:hAnsi="Times New Roman" w:eastAsia="仿宋" w:cs="Times New Roman"/>
                <w:b/>
                <w:color w:val="000000" w:themeColor="text1"/>
                <w:kern w:val="0"/>
                <w:sz w:val="24"/>
                <w:szCs w:val="24"/>
                <w:highlight w:val="none"/>
                <w:lang w:val="zh-CN" w:eastAsia="zh-CN"/>
                <w14:textFill>
                  <w14:solidFill>
                    <w14:schemeClr w14:val="tx1"/>
                  </w14:solidFill>
                </w14:textFill>
              </w:rPr>
              <w:t>土壤重构</w:t>
            </w:r>
            <w:bookmarkEnd w:id="42"/>
          </w:p>
          <w:p w14:paraId="41BE9B94">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eastAsia" w:ascii="Times New Roman" w:hAnsi="Times New Roman" w:eastAsia="仿宋" w:cs="Times New Roman"/>
                <w:color w:val="000000" w:themeColor="text1"/>
                <w:kern w:val="0"/>
                <w:sz w:val="24"/>
                <w:szCs w:val="24"/>
                <w:highlight w:val="none"/>
                <w14:textFill>
                  <w14:solidFill>
                    <w14:schemeClr w14:val="tx1"/>
                  </w14:solidFill>
                </w14:textFill>
              </w:rPr>
              <w:t>由于</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矿区及四周土地类型为裸岩石砾地，根据矿区地形地质图可知，矿区范围内实际存在的覆盖层为第四系全新统</w:t>
            </w:r>
            <w:r>
              <w:rPr>
                <w:rFonts w:hint="eastAsia" w:ascii="Times New Roman" w:hAnsi="Times New Roman" w:eastAsia="仿宋"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Qh</w:t>
            </w:r>
            <w:r>
              <w:rPr>
                <w:rFonts w:hint="eastAsia" w:ascii="Times New Roman" w:hAnsi="Times New Roman" w:eastAsia="仿宋"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组成，按照平均厚度1.5m计算坡脚部分的第四系全新统剥离层，然后按照1.0m最大厚度计算矿体坡面和山脊部分的覆盖层，然后定点堆积于排土场，作为后期矿山闭坑后，针对运输道路、建构筑物拆除区域、工业场地等区域</w:t>
            </w:r>
            <w:r>
              <w:rPr>
                <w:rFonts w:hint="eastAsia" w:ascii="Times New Roman" w:hAnsi="Times New Roman" w:eastAsia="仿宋" w:cs="Times New Roman"/>
                <w:color w:val="000000" w:themeColor="text1"/>
                <w:kern w:val="0"/>
                <w:sz w:val="24"/>
                <w:szCs w:val="24"/>
                <w:highlight w:val="none"/>
                <w14:textFill>
                  <w14:solidFill>
                    <w14:schemeClr w14:val="tx1"/>
                  </w14:solidFill>
                </w14:textFill>
              </w:rPr>
              <w:t>进行</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翻垦后土壤回覆</w:t>
            </w:r>
            <w:r>
              <w:rPr>
                <w:rFonts w:hint="eastAsia" w:ascii="Times New Roman" w:hAnsi="Times New Roman" w:eastAsia="仿宋" w:cs="Times New Roman"/>
                <w:color w:val="000000" w:themeColor="text1"/>
                <w:kern w:val="0"/>
                <w:sz w:val="24"/>
                <w:szCs w:val="24"/>
                <w:highlight w:val="none"/>
                <w14:textFill>
                  <w14:solidFill>
                    <w14:schemeClr w14:val="tx1"/>
                  </w14:solidFill>
                </w14:textFill>
              </w:rPr>
              <w:t>，然后自然恢复</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w:t>
            </w:r>
          </w:p>
          <w:p w14:paraId="129C0582">
            <w:pPr>
              <w:keepNext w:val="0"/>
              <w:keepLines w:val="0"/>
              <w:pageBreakBefore w:val="0"/>
              <w:kinsoku/>
              <w:wordWrap/>
              <w:overflowPunct/>
              <w:autoSpaceDE w:val="0"/>
              <w:autoSpaceDN w:val="0"/>
              <w:bidi w:val="0"/>
              <w:adjustRightInd w:val="0"/>
              <w:snapToGrid w:val="0"/>
              <w:spacing w:line="360" w:lineRule="auto"/>
              <w:ind w:firstLine="482" w:firstLineChars="200"/>
              <w:jc w:val="both"/>
              <w:rPr>
                <w:rFonts w:hint="default" w:ascii="Times New Roman" w:hAnsi="Times New Roman" w:eastAsia="仿宋" w:cs="Times New Roman"/>
                <w:b/>
                <w:color w:val="000000" w:themeColor="text1"/>
                <w:kern w:val="0"/>
                <w:sz w:val="24"/>
                <w:szCs w:val="24"/>
                <w:highlight w:val="none"/>
                <w:lang w:val="zh-CN" w:eastAsia="zh-CN"/>
                <w14:textFill>
                  <w14:solidFill>
                    <w14:schemeClr w14:val="tx1"/>
                  </w14:solidFill>
                </w14:textFill>
              </w:rPr>
            </w:pPr>
            <w:bookmarkStart w:id="43" w:name="_Toc7296"/>
            <w:r>
              <w:rPr>
                <w:rFonts w:hint="eastAsia" w:ascii="Times New Roman" w:hAnsi="Times New Roman" w:eastAsia="仿宋" w:cs="Times New Roman"/>
                <w:b/>
                <w:color w:val="000000" w:themeColor="text1"/>
                <w:kern w:val="0"/>
                <w:sz w:val="24"/>
                <w:szCs w:val="24"/>
                <w:highlight w:val="none"/>
                <w:lang w:val="en-US" w:eastAsia="zh-CN"/>
                <w14:textFill>
                  <w14:solidFill>
                    <w14:schemeClr w14:val="tx1"/>
                  </w14:solidFill>
                </w14:textFill>
              </w:rPr>
              <w:t>3.</w:t>
            </w:r>
            <w:r>
              <w:rPr>
                <w:rFonts w:hint="default" w:ascii="Times New Roman" w:hAnsi="Times New Roman" w:eastAsia="仿宋" w:cs="Times New Roman"/>
                <w:b/>
                <w:color w:val="000000" w:themeColor="text1"/>
                <w:kern w:val="0"/>
                <w:sz w:val="24"/>
                <w:szCs w:val="24"/>
                <w:highlight w:val="none"/>
                <w:lang w:val="zh-CN" w:eastAsia="zh-CN"/>
                <w14:textFill>
                  <w14:solidFill>
                    <w14:schemeClr w14:val="tx1"/>
                  </w14:solidFill>
                </w14:textFill>
              </w:rPr>
              <w:t>景观营造</w:t>
            </w:r>
            <w:bookmarkEnd w:id="43"/>
          </w:p>
          <w:p w14:paraId="5A93764B">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eastAsia" w:ascii="Times New Roman" w:hAnsi="Times New Roman" w:eastAsia="仿宋" w:cs="Times New Roman"/>
                <w:color w:val="000000" w:themeColor="text1"/>
                <w:kern w:val="0"/>
                <w:sz w:val="24"/>
                <w:szCs w:val="24"/>
                <w:highlight w:val="none"/>
                <w:lang w:eastAsia="zh-CN"/>
                <w14:textFill>
                  <w14:solidFill>
                    <w14:schemeClr w14:val="tx1"/>
                  </w14:solidFill>
                </w14:textFill>
              </w:rPr>
              <w:t>生态修复</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方案确定的最终用途为“裸岩石砾地 ”，通过</w:t>
            </w:r>
            <w:r>
              <w:rPr>
                <w:rFonts w:hint="eastAsia" w:ascii="Times New Roman" w:hAnsi="Times New Roman" w:eastAsia="仿宋" w:cs="Times New Roman"/>
                <w:color w:val="000000" w:themeColor="text1"/>
                <w:kern w:val="0"/>
                <w:sz w:val="24"/>
                <w:szCs w:val="24"/>
                <w:highlight w:val="none"/>
                <w:lang w:eastAsia="zh-CN"/>
                <w14:textFill>
                  <w14:solidFill>
                    <w14:schemeClr w14:val="tx1"/>
                  </w14:solidFill>
                </w14:textFill>
              </w:rPr>
              <w:t>平整</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修复即可自然恢复为“裸岩石砾地 ”，无需额外堆坡、造景、铺装等人工景观工程。</w:t>
            </w:r>
            <w:r>
              <w:rPr>
                <w:rFonts w:hint="eastAsia" w:ascii="Times New Roman" w:hAnsi="Times New Roman" w:eastAsia="仿宋" w:cs="Times New Roman"/>
                <w:color w:val="000000" w:themeColor="text1"/>
                <w:kern w:val="0"/>
                <w:sz w:val="24"/>
                <w:szCs w:val="24"/>
                <w:highlight w:val="none"/>
                <w14:textFill>
                  <w14:solidFill>
                    <w14:schemeClr w14:val="tx1"/>
                  </w14:solidFill>
                </w14:textFill>
              </w:rPr>
              <w:t>只完成生态标识系统等内容即可，具体如下：</w:t>
            </w:r>
          </w:p>
          <w:p w14:paraId="495945D5">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⑴态标识系统：设置生态解说牌、景观导视系统，介绍修复过程、生态功能与物种知识，增强公众生态意识。</w:t>
            </w:r>
          </w:p>
          <w:p w14:paraId="19CC919F">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微软雅黑" w:cs="Times New Roman"/>
                <w:color w:val="000000" w:themeColor="text1"/>
                <w:kern w:val="0"/>
                <w:sz w:val="24"/>
                <w:szCs w:val="24"/>
                <w:highlight w:val="none"/>
                <w14:textFill>
                  <w14:solidFill>
                    <w14:schemeClr w14:val="tx1"/>
                  </w14:solidFill>
                </w14:textFill>
              </w:rPr>
              <w:t>⑵</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文化元素融入：结合当地文化特色，在景观节点设置具有地方特色的生态雕塑、石砌景观等，提升文化认同感。</w:t>
            </w:r>
          </w:p>
          <w:p w14:paraId="28BBB712">
            <w:pPr>
              <w:keepNext w:val="0"/>
              <w:keepLines w:val="0"/>
              <w:pageBreakBefore w:val="0"/>
              <w:kinsoku/>
              <w:wordWrap/>
              <w:overflowPunct/>
              <w:autoSpaceDE w:val="0"/>
              <w:autoSpaceDN w:val="0"/>
              <w:bidi w:val="0"/>
              <w:adjustRightInd w:val="0"/>
              <w:snapToGrid w:val="0"/>
              <w:spacing w:line="360" w:lineRule="auto"/>
              <w:ind w:firstLine="482" w:firstLineChars="200"/>
              <w:jc w:val="both"/>
              <w:rPr>
                <w:rFonts w:hint="default" w:ascii="Times New Roman" w:hAnsi="Times New Roman" w:eastAsia="仿宋" w:cs="Times New Roman"/>
                <w:b/>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kern w:val="0"/>
                <w:sz w:val="24"/>
                <w:szCs w:val="24"/>
                <w:highlight w:val="none"/>
                <w:lang w:val="en-US" w:eastAsia="zh-CN"/>
                <w14:textFill>
                  <w14:solidFill>
                    <w14:schemeClr w14:val="tx1"/>
                  </w14:solidFill>
                </w14:textFill>
              </w:rPr>
              <w:t>4.管理措施</w:t>
            </w:r>
          </w:p>
          <w:p w14:paraId="27CB5039">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lang w:val="zh-CN"/>
                <w14:textFill>
                  <w14:solidFill>
                    <w14:schemeClr w14:val="tx1"/>
                  </w14:solidFill>
                </w14:textFill>
              </w:rPr>
            </w:pPr>
            <w:bookmarkStart w:id="44" w:name="_Toc830"/>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⑴</w:t>
            </w:r>
            <w:r>
              <w:rPr>
                <w:rFonts w:hint="default" w:ascii="Times New Roman" w:hAnsi="Times New Roman" w:eastAsia="仿宋" w:cs="Times New Roman"/>
                <w:color w:val="000000" w:themeColor="text1"/>
                <w:kern w:val="0"/>
                <w:sz w:val="24"/>
                <w:szCs w:val="24"/>
                <w:highlight w:val="none"/>
                <w:lang w:val="zh-CN"/>
                <w14:textFill>
                  <w14:solidFill>
                    <w14:schemeClr w14:val="tx1"/>
                  </w14:solidFill>
                </w14:textFill>
              </w:rPr>
              <w:t>管护目标</w:t>
            </w:r>
            <w:bookmarkEnd w:id="44"/>
          </w:p>
          <w:p w14:paraId="71360461">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①通过对</w:t>
            </w:r>
            <w:r>
              <w:rPr>
                <w:rFonts w:hint="eastAsia" w:ascii="Times New Roman" w:hAnsi="Times New Roman" w:eastAsia="仿宋" w:cs="Times New Roman"/>
                <w:color w:val="000000" w:themeColor="text1"/>
                <w:kern w:val="0"/>
                <w:sz w:val="24"/>
                <w:szCs w:val="24"/>
                <w:highlight w:val="none"/>
                <w14:textFill>
                  <w14:solidFill>
                    <w14:schemeClr w14:val="tx1"/>
                  </w14:solidFill>
                </w14:textFill>
              </w:rPr>
              <w:t>生态修复</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项目区的监测，检验项目的</w:t>
            </w:r>
            <w:r>
              <w:rPr>
                <w:rFonts w:hint="eastAsia" w:ascii="Times New Roman" w:hAnsi="Times New Roman" w:eastAsia="仿宋" w:cs="Times New Roman"/>
                <w:color w:val="000000" w:themeColor="text1"/>
                <w:kern w:val="0"/>
                <w:sz w:val="24"/>
                <w:szCs w:val="24"/>
                <w:highlight w:val="none"/>
                <w14:textFill>
                  <w14:solidFill>
                    <w14:schemeClr w14:val="tx1"/>
                  </w14:solidFill>
                </w14:textFill>
              </w:rPr>
              <w:t>生态修复</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成果以及建设过程中遭到损毁的土地是否得到了“边损毁、边</w:t>
            </w:r>
            <w:r>
              <w:rPr>
                <w:rFonts w:hint="eastAsia" w:ascii="Times New Roman" w:hAnsi="Times New Roman" w:eastAsia="仿宋" w:cs="Times New Roman"/>
                <w:color w:val="000000" w:themeColor="text1"/>
                <w:kern w:val="0"/>
                <w:sz w:val="24"/>
                <w:szCs w:val="24"/>
                <w:highlight w:val="none"/>
                <w14:textFill>
                  <w14:solidFill>
                    <w14:schemeClr w14:val="tx1"/>
                  </w14:solidFill>
                </w14:textFill>
              </w:rPr>
              <w:t>修复</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”，是否达到</w:t>
            </w:r>
            <w:r>
              <w:rPr>
                <w:rFonts w:hint="eastAsia" w:ascii="Times New Roman" w:hAnsi="Times New Roman" w:eastAsia="仿宋" w:cs="Times New Roman"/>
                <w:color w:val="000000" w:themeColor="text1"/>
                <w:kern w:val="0"/>
                <w:sz w:val="24"/>
                <w:szCs w:val="24"/>
                <w:highlight w:val="none"/>
                <w:lang w:eastAsia="zh-CN"/>
                <w14:textFill>
                  <w14:solidFill>
                    <w14:schemeClr w14:val="tx1"/>
                  </w14:solidFill>
                </w14:textFill>
              </w:rPr>
              <w:t>矿山生态修复</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方案提出的目标和国家规定的标准；及时了解项目建设及运行过程中土地损毁的动态变化情况，判断项目生态修复工程技术合理性；为建设单位和监管部门提供实时信息。</w:t>
            </w:r>
          </w:p>
          <w:p w14:paraId="0C47894C">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②确保修复后土壤结构稳定、肥力逐步提升；</w:t>
            </w:r>
          </w:p>
          <w:p w14:paraId="6E2E816C">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③保障植被成活率和群落稳定性，促进自然演替；</w:t>
            </w:r>
          </w:p>
          <w:p w14:paraId="3EF7B02E">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④防止二次损毁、人为干扰和外来物种入侵；</w:t>
            </w:r>
          </w:p>
          <w:p w14:paraId="506381B9">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⑤实现“一年打基础、两年见成效、三年稳生态 ”的目标；</w:t>
            </w:r>
          </w:p>
          <w:p w14:paraId="245EA32E">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lang w:val="zh-CN"/>
                <w14:textFill>
                  <w14:solidFill>
                    <w14:schemeClr w14:val="tx1"/>
                  </w14:solidFill>
                </w14:textFill>
              </w:rPr>
            </w:pPr>
            <w:bookmarkStart w:id="45" w:name="_Toc18253"/>
            <w:r>
              <w:rPr>
                <w:rFonts w:hint="default" w:ascii="Times New Roman" w:hAnsi="Times New Roman" w:eastAsia="仿宋" w:cs="Times New Roman"/>
                <w:color w:val="000000" w:themeColor="text1"/>
                <w:kern w:val="0"/>
                <w:sz w:val="24"/>
                <w:szCs w:val="24"/>
                <w:highlight w:val="none"/>
                <w:lang w:val="zh-CN"/>
                <w14:textFill>
                  <w14:solidFill>
                    <w14:schemeClr w14:val="tx1"/>
                  </w14:solidFill>
                </w14:textFill>
              </w:rPr>
              <w:t>⑵管护目标与措施</w:t>
            </w:r>
            <w:bookmarkEnd w:id="45"/>
          </w:p>
          <w:p w14:paraId="5DB4E637">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以“保障修复生态系统稳定发育、实现土地可持续利用 ”为核心目标，通过2.0年针对性管护，确保修复区域持续稳定，最终实现修复区与周边原生地生态系统无缝融合。</w:t>
            </w:r>
          </w:p>
          <w:p w14:paraId="77FC9457">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lang w:val="zh-CN"/>
                <w14:textFill>
                  <w14:solidFill>
                    <w14:schemeClr w14:val="tx1"/>
                  </w14:solidFill>
                </w14:textFill>
              </w:rPr>
            </w:pPr>
            <w:bookmarkStart w:id="46" w:name="_Toc24746"/>
            <w:r>
              <w:rPr>
                <w:rFonts w:hint="default" w:ascii="Times New Roman" w:hAnsi="Times New Roman" w:eastAsia="仿宋" w:cs="Times New Roman"/>
                <w:color w:val="000000" w:themeColor="text1"/>
                <w:kern w:val="0"/>
                <w:sz w:val="24"/>
                <w:szCs w:val="24"/>
                <w:highlight w:val="none"/>
                <w:lang w:val="zh-CN"/>
                <w14:textFill>
                  <w14:solidFill>
                    <w14:schemeClr w14:val="tx1"/>
                  </w14:solidFill>
                </w14:textFill>
              </w:rPr>
              <w:t>⑶管护年限</w:t>
            </w:r>
            <w:bookmarkEnd w:id="46"/>
          </w:p>
          <w:p w14:paraId="59803B37">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根据《矿山生态环境保护与恢复治理技术规范》（HJ651-2013）及矿区植被生长周期，设定治理管护期为2.</w:t>
            </w:r>
            <w:r>
              <w:rPr>
                <w:rFonts w:hint="default" w:ascii="Times New Roman" w:hAnsi="Times New Roman" w:eastAsia="仿宋" w:cs="Times New Roman"/>
                <w:color w:val="000000" w:themeColor="text1"/>
                <w:kern w:val="0"/>
                <w:sz w:val="24"/>
                <w:szCs w:val="24"/>
                <w:highlight w:val="none"/>
                <w:lang w:val="en-US" w:eastAsia="zh-CN"/>
                <w14:textFill>
                  <w14:solidFill>
                    <w14:schemeClr w14:val="tx1"/>
                  </w14:solidFill>
                </w14:textFill>
              </w:rPr>
              <w:t>0</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年，具体时段为203</w:t>
            </w:r>
            <w:r>
              <w:rPr>
                <w:rFonts w:hint="default" w:ascii="Times New Roman" w:hAnsi="Times New Roman" w:eastAsia="仿宋" w:cs="Times New Roman"/>
                <w:color w:val="000000" w:themeColor="text1"/>
                <w:kern w:val="0"/>
                <w:sz w:val="24"/>
                <w:szCs w:val="24"/>
                <w:highlight w:val="none"/>
                <w:lang w:val="en-US" w:eastAsia="zh-CN"/>
                <w14:textFill>
                  <w14:solidFill>
                    <w14:schemeClr w14:val="tx1"/>
                  </w14:solidFill>
                </w14:textFill>
              </w:rPr>
              <w:t>7</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年</w:t>
            </w:r>
            <w:r>
              <w:rPr>
                <w:rFonts w:hint="default" w:ascii="Times New Roman" w:hAnsi="Times New Roman" w:eastAsia="仿宋" w:cs="Times New Roman"/>
                <w:color w:val="000000" w:themeColor="text1"/>
                <w:kern w:val="0"/>
                <w:sz w:val="24"/>
                <w:szCs w:val="24"/>
                <w:highlight w:val="none"/>
                <w:lang w:val="en-US" w:eastAsia="zh-CN"/>
                <w14:textFill>
                  <w14:solidFill>
                    <w14:schemeClr w14:val="tx1"/>
                  </w14:solidFill>
                </w14:textFill>
              </w:rPr>
              <w:t>6</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月</w:t>
            </w:r>
            <w:r>
              <w:rPr>
                <w:rFonts w:hint="eastAsia" w:ascii="Times New Roman" w:hAnsi="Times New Roman" w:eastAsia="仿宋"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20</w:t>
            </w:r>
            <w:r>
              <w:rPr>
                <w:rFonts w:hint="default" w:ascii="Times New Roman" w:hAnsi="Times New Roman" w:eastAsia="仿宋" w:cs="Times New Roman"/>
                <w:color w:val="000000" w:themeColor="text1"/>
                <w:kern w:val="0"/>
                <w:sz w:val="24"/>
                <w:szCs w:val="24"/>
                <w:highlight w:val="none"/>
                <w:lang w:val="en-US" w:eastAsia="zh-CN"/>
                <w14:textFill>
                  <w14:solidFill>
                    <w14:schemeClr w14:val="tx1"/>
                  </w14:solidFill>
                </w14:textFill>
              </w:rPr>
              <w:t>39</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年</w:t>
            </w:r>
            <w:r>
              <w:rPr>
                <w:rFonts w:hint="default" w:ascii="Times New Roman" w:hAnsi="Times New Roman" w:eastAsia="仿宋" w:cs="Times New Roman"/>
                <w:color w:val="000000" w:themeColor="text1"/>
                <w:kern w:val="0"/>
                <w:sz w:val="24"/>
                <w:szCs w:val="24"/>
                <w:highlight w:val="none"/>
                <w:lang w:val="en-US" w:eastAsia="zh-CN"/>
                <w14:textFill>
                  <w14:solidFill>
                    <w14:schemeClr w14:val="tx1"/>
                  </w14:solidFill>
                </w14:textFill>
              </w:rPr>
              <w:t>5</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月。后期管护过程中应按照工程设计和运行要求进行定期检查和维护，发现工程设施运行不正常或损毁，应及时修复或替换。</w:t>
            </w:r>
          </w:p>
          <w:p w14:paraId="238BE137">
            <w:pPr>
              <w:keepNext w:val="0"/>
              <w:keepLines w:val="0"/>
              <w:pageBreakBefore w:val="0"/>
              <w:kinsoku/>
              <w:wordWrap/>
              <w:overflowPunct/>
              <w:autoSpaceDE w:val="0"/>
              <w:autoSpaceDN w:val="0"/>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管护期结束后，需委托第三方机构对修复效果进行评估，若指标达到修复目标，可终止专项管护；若未达标，需延长管护期（最长不超过1年），直至满足要求。</w:t>
            </w:r>
          </w:p>
        </w:tc>
      </w:tr>
      <w:tr w14:paraId="7CB5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5E71FFF1">
            <w:pPr>
              <w:bidi w:val="0"/>
              <w:jc w:val="center"/>
              <w:rPr>
                <w:rFonts w:hint="default" w:ascii="Times New Roman" w:hAnsi="Times New Roman" w:eastAsia="仿宋" w:cs="Times New Roman"/>
                <w:color w:val="auto"/>
                <w:spacing w:val="0"/>
                <w:sz w:val="24"/>
                <w:highlight w:val="none"/>
                <w:lang w:val="en-US" w:eastAsia="zh-CN"/>
              </w:rPr>
            </w:pPr>
            <w:r>
              <w:rPr>
                <w:rFonts w:hint="default" w:ascii="Times New Roman" w:hAnsi="Times New Roman" w:eastAsia="仿宋" w:cs="Times New Roman"/>
                <w:color w:val="auto"/>
                <w:spacing w:val="0"/>
                <w:sz w:val="24"/>
                <w:highlight w:val="none"/>
                <w:lang w:val="en-US" w:eastAsia="zh-CN"/>
              </w:rPr>
              <w:t>其他</w:t>
            </w:r>
          </w:p>
        </w:tc>
        <w:tc>
          <w:tcPr>
            <w:tcW w:w="7811" w:type="dxa"/>
          </w:tcPr>
          <w:p w14:paraId="6D08E495">
            <w:pPr>
              <w:adjustRightInd w:val="0"/>
              <w:snapToGrid w:val="0"/>
              <w:spacing w:line="360" w:lineRule="auto"/>
              <w:ind w:firstLine="482" w:firstLineChars="200"/>
              <w:rPr>
                <w:rFonts w:hint="eastAsia" w:ascii="Times New Roman" w:hAnsi="Times New Roman" w:eastAsia="仿宋" w:cs="Times New Roman"/>
                <w:b/>
                <w:bCs/>
                <w:color w:val="000000" w:themeColor="text1"/>
                <w:sz w:val="24"/>
                <w:lang w:val="en-US" w:eastAsia="zh-CN"/>
                <w14:textFill>
                  <w14:solidFill>
                    <w14:schemeClr w14:val="tx1"/>
                  </w14:solidFill>
                </w14:textFill>
              </w:rPr>
            </w:pPr>
            <w:r>
              <w:rPr>
                <w:rFonts w:hint="eastAsia" w:eastAsia="仿宋" w:cs="Times New Roman"/>
                <w:b/>
                <w:bCs/>
                <w:color w:val="000000" w:themeColor="text1"/>
                <w:sz w:val="24"/>
                <w:lang w:val="en-US" w:eastAsia="zh-CN"/>
                <w14:textFill>
                  <w14:solidFill>
                    <w14:schemeClr w14:val="tx1"/>
                  </w14:solidFill>
                </w14:textFill>
              </w:rPr>
              <w:t>1.</w:t>
            </w:r>
            <w:r>
              <w:rPr>
                <w:rFonts w:hint="eastAsia" w:ascii="Times New Roman" w:hAnsi="Times New Roman" w:eastAsia="仿宋" w:cs="Times New Roman"/>
                <w:b/>
                <w:bCs/>
                <w:color w:val="000000" w:themeColor="text1"/>
                <w:sz w:val="24"/>
                <w:lang w:val="en-US" w:eastAsia="zh-CN"/>
                <w14:textFill>
                  <w14:solidFill>
                    <w14:schemeClr w14:val="tx1"/>
                  </w14:solidFill>
                </w14:textFill>
              </w:rPr>
              <w:t>绿色矿山建设要求</w:t>
            </w:r>
          </w:p>
          <w:p w14:paraId="74BB41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根据自然资源部（原国土资源部）等六部委《关于加快建设绿色矿山的实施意见》（国土资规〔2017〕4号）和甘肃省自然资源厅等13部门印发《甘肃省高质量推进绿色矿山建设实施方案（2021-2025）</w:t>
            </w:r>
            <w:r>
              <w:rPr>
                <w:rFonts w:hint="eastAsia" w:ascii="Times New Roman" w:hAnsi="Times New Roman" w:eastAsia="仿宋" w:cs="Times New Roman"/>
                <w:color w:val="000000" w:themeColor="text1"/>
                <w:sz w:val="24"/>
                <w:lang w:val="en-US" w:eastAsia="zh-CN"/>
                <w14:textFill>
                  <w14:solidFill>
                    <w14:schemeClr w14:val="tx1"/>
                  </w14:solidFill>
                </w14:textFill>
              </w:rPr>
              <w:t>》《</w:t>
            </w:r>
            <w:r>
              <w:rPr>
                <w:rFonts w:hint="default" w:ascii="Times New Roman" w:hAnsi="Times New Roman" w:eastAsia="仿宋" w:cs="Times New Roman"/>
                <w:color w:val="000000" w:themeColor="text1"/>
                <w:sz w:val="24"/>
                <w:lang w:val="en-US" w:eastAsia="zh-CN"/>
                <w14:textFill>
                  <w14:solidFill>
                    <w14:schemeClr w14:val="tx1"/>
                  </w14:solidFill>
                </w14:textFill>
              </w:rPr>
              <w:t>甘肃省省级绿色矿山建设要求及评定办法》（甘国土资规〔2018〕4号）要求，本次环评按照绿色矿山建设要求，提出如下要求：</w:t>
            </w:r>
          </w:p>
          <w:p w14:paraId="610DE8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⑴矿容矿貌 </w:t>
            </w:r>
          </w:p>
          <w:p w14:paraId="0A80A5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①矿区功能布局合理，标识、标牌规范统一、清晰美观。 </w:t>
            </w:r>
          </w:p>
          <w:p w14:paraId="1B10BA1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②矿区环境卫生整洁，生产、运输、储存过程中采取封闭、洒水喷雾降尘、加设除尘装置等措施做好防尘保洁。 </w:t>
            </w:r>
          </w:p>
          <w:p w14:paraId="79566FA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③矿山生产区、运输系统、办公区和生活区实现洁化、美化，矿区主要运输道路为探矿期已经形成的道路，碎石路面。 </w:t>
            </w:r>
          </w:p>
          <w:p w14:paraId="4337E9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④矿容矿貌应与周边地表、植被等自然景观相协调。 </w:t>
            </w:r>
          </w:p>
          <w:p w14:paraId="7E854A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⑵采矿方式 </w:t>
            </w:r>
          </w:p>
          <w:p w14:paraId="559C9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①使用先进、高效设备，及时引进国内外先进生产工艺，矿山设施设备、生产工艺要符合矿产资源节约与综合利用要求。</w:t>
            </w:r>
          </w:p>
          <w:p w14:paraId="12EC16E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②严格执行《</w:t>
            </w:r>
            <w:r>
              <w:rPr>
                <w:rFonts w:hint="eastAsia" w:eastAsia="仿宋" w:cs="Times New Roman"/>
                <w:color w:val="000000" w:themeColor="text1"/>
                <w:sz w:val="24"/>
                <w:lang w:val="en-US" w:eastAsia="zh-CN"/>
                <w14:textFill>
                  <w14:solidFill>
                    <w14:schemeClr w14:val="tx1"/>
                  </w14:solidFill>
                </w14:textFill>
              </w:rPr>
              <w:t>矿产资源开采与生态修复方案</w:t>
            </w: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》，地下开采优先采用充填开采、保水开采等技术。 </w:t>
            </w:r>
          </w:p>
          <w:p w14:paraId="446F640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⑶资源利用 </w:t>
            </w:r>
          </w:p>
          <w:p w14:paraId="3A2E4A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①矿山开采回采率，综合利用率要高于《</w:t>
            </w:r>
            <w:r>
              <w:rPr>
                <w:rFonts w:hint="eastAsia" w:eastAsia="仿宋" w:cs="Times New Roman"/>
                <w:color w:val="000000" w:themeColor="text1"/>
                <w:sz w:val="24"/>
                <w:lang w:val="en-US" w:eastAsia="zh-CN"/>
                <w14:textFill>
                  <w14:solidFill>
                    <w14:schemeClr w14:val="tx1"/>
                  </w14:solidFill>
                </w14:textFill>
              </w:rPr>
              <w:t>矿产资源开采与生态修复方案</w:t>
            </w: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》设计指标。 </w:t>
            </w:r>
          </w:p>
          <w:p w14:paraId="78765A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②开展节能降耗、节能减排工作，节能降耗达到国家规定指标。 </w:t>
            </w:r>
          </w:p>
          <w:p w14:paraId="11E0E3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③在不产生二次污染的前提下，应优先利用废石等固体废弃物充填采空区。 </w:t>
            </w:r>
          </w:p>
          <w:p w14:paraId="50F288E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lang w:val="en-US" w:eastAsia="zh-CN"/>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④建设规范完备的废水处理设施，废水处理率100%。</w:t>
            </w:r>
          </w:p>
          <w:p w14:paraId="09D4D0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⑷生态环境 </w:t>
            </w:r>
          </w:p>
          <w:p w14:paraId="27C07CD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①严格落实环评提出的污染防治措施，按照“边开采、边治理”原则，实现矿区生态环境修复动态化。 </w:t>
            </w:r>
          </w:p>
          <w:p w14:paraId="2C0B06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②闭矿后，矿区专用道路、矿山工业场地、</w:t>
            </w:r>
            <w:r>
              <w:rPr>
                <w:rFonts w:hint="eastAsia" w:eastAsia="仿宋" w:cs="Times New Roman"/>
                <w:color w:val="000000" w:themeColor="text1"/>
                <w:sz w:val="24"/>
                <w:lang w:val="en-US" w:eastAsia="zh-CN"/>
                <w14:textFill>
                  <w14:solidFill>
                    <w14:schemeClr w14:val="tx1"/>
                  </w14:solidFill>
                </w14:textFill>
              </w:rPr>
              <w:t>排土场</w:t>
            </w: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等场地，严格落实环评提出的生态环境保护与治理恢复、土地复垦后，与周边自然环境和地貌景观协调一致。 </w:t>
            </w:r>
          </w:p>
          <w:p w14:paraId="499A6A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 xml:space="preserve">③废气、粉尘、噪声采取环评提出的相应治理措施后，达标排放。 </w:t>
            </w:r>
          </w:p>
          <w:p w14:paraId="04F2D75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lang w:val="en-US" w:eastAsia="zh-CN"/>
                <w14:textFill>
                  <w14:solidFill>
                    <w14:schemeClr w14:val="tx1"/>
                  </w14:solidFill>
                </w14:textFill>
              </w:rPr>
              <w:t>④办公生活区建设完善的生活污水和垃圾处置设施。</w:t>
            </w:r>
          </w:p>
          <w:p w14:paraId="644FCA03">
            <w:pPr>
              <w:pStyle w:val="20"/>
              <w:keepNext w:val="0"/>
              <w:keepLines w:val="0"/>
              <w:pageBreakBefore w:val="0"/>
              <w:kinsoku/>
              <w:wordWrap/>
              <w:overflowPunct/>
              <w:bidi w:val="0"/>
              <w:adjustRightInd w:val="0"/>
              <w:snapToGrid w:val="0"/>
              <w:spacing w:before="0" w:beforeAutospacing="0" w:after="0" w:afterAutospacing="0" w:line="360" w:lineRule="auto"/>
              <w:ind w:firstLine="482" w:firstLineChars="200"/>
              <w:jc w:val="both"/>
              <w:rPr>
                <w:rFonts w:hint="default" w:ascii="Times New Roman" w:hAnsi="Times New Roman" w:eastAsia="仿宋" w:cs="Times New Roman"/>
                <w:snapToGrid w:val="0"/>
                <w:color w:val="000000" w:themeColor="text1"/>
                <w:sz w:val="24"/>
                <w:szCs w:val="24"/>
                <w:highlight w:val="none"/>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2.</w:t>
            </w:r>
            <w:r>
              <w:rPr>
                <w:rFonts w:hint="default" w:ascii="Times New Roman" w:hAnsi="Times New Roman" w:eastAsia="仿宋" w:cs="Times New Roman"/>
                <w:b/>
                <w:color w:val="000000" w:themeColor="text1"/>
                <w:sz w:val="24"/>
                <w:szCs w:val="24"/>
                <w:highlight w:val="none"/>
                <w14:textFill>
                  <w14:solidFill>
                    <w14:schemeClr w14:val="tx1"/>
                  </w14:solidFill>
                </w14:textFill>
              </w:rPr>
              <w:t>环境管理与监控计划</w:t>
            </w:r>
          </w:p>
          <w:p w14:paraId="0B74E805">
            <w:pPr>
              <w:pStyle w:val="20"/>
              <w:keepNext w:val="0"/>
              <w:keepLines w:val="0"/>
              <w:pageBreakBefore w:val="0"/>
              <w:kinsoku/>
              <w:wordWrap/>
              <w:overflowPunct/>
              <w:bidi w:val="0"/>
              <w:adjustRightInd w:val="0"/>
              <w:snapToGrid w:val="0"/>
              <w:spacing w:before="0" w:beforeAutospacing="0" w:after="0" w:afterAutospacing="0" w:line="360" w:lineRule="auto"/>
              <w:ind w:firstLine="482" w:firstLineChars="200"/>
              <w:jc w:val="both"/>
              <w:rPr>
                <w:rFonts w:hint="default" w:ascii="Times New Roman" w:hAnsi="Times New Roman" w:eastAsia="仿宋" w:cs="Times New Roman"/>
                <w:b/>
                <w:snapToGrid w:val="0"/>
                <w:color w:val="000000" w:themeColor="text1"/>
                <w:sz w:val="24"/>
                <w:szCs w:val="24"/>
                <w:highlight w:val="none"/>
                <w14:textFill>
                  <w14:solidFill>
                    <w14:schemeClr w14:val="tx1"/>
                  </w14:solidFill>
                </w14:textFill>
              </w:rPr>
            </w:pPr>
            <w:r>
              <w:rPr>
                <w:rFonts w:hint="eastAsia" w:ascii="Times New Roman" w:hAnsi="Times New Roman" w:eastAsia="仿宋" w:cs="Times New Roman"/>
                <w:b/>
                <w:snapToGrid w:val="0"/>
                <w:color w:val="000000" w:themeColor="text1"/>
                <w:sz w:val="24"/>
                <w:szCs w:val="24"/>
                <w:highlight w:val="none"/>
                <w:lang w:val="en-US" w:eastAsia="zh-CN"/>
                <w14:textFill>
                  <w14:solidFill>
                    <w14:schemeClr w14:val="tx1"/>
                  </w14:solidFill>
                </w14:textFill>
              </w:rPr>
              <w:t>2</w:t>
            </w:r>
            <w:r>
              <w:rPr>
                <w:rFonts w:hint="default" w:ascii="Times New Roman" w:hAnsi="Times New Roman" w:eastAsia="仿宋" w:cs="Times New Roman"/>
                <w:b/>
                <w:snapToGrid w:val="0"/>
                <w:color w:val="000000" w:themeColor="text1"/>
                <w:sz w:val="24"/>
                <w:szCs w:val="24"/>
                <w:highlight w:val="none"/>
                <w:lang w:val="en-US" w:eastAsia="zh-CN"/>
                <w14:textFill>
                  <w14:solidFill>
                    <w14:schemeClr w14:val="tx1"/>
                  </w14:solidFill>
                </w14:textFill>
              </w:rPr>
              <w:t>.1</w:t>
            </w:r>
            <w:r>
              <w:rPr>
                <w:rFonts w:hint="default" w:ascii="Times New Roman" w:hAnsi="Times New Roman" w:eastAsia="仿宋" w:cs="Times New Roman"/>
                <w:b/>
                <w:snapToGrid w:val="0"/>
                <w:color w:val="000000" w:themeColor="text1"/>
                <w:sz w:val="24"/>
                <w:szCs w:val="24"/>
                <w:highlight w:val="none"/>
                <w14:textFill>
                  <w14:solidFill>
                    <w14:schemeClr w14:val="tx1"/>
                  </w14:solidFill>
                </w14:textFill>
              </w:rPr>
              <w:t>环境管理</w:t>
            </w:r>
          </w:p>
          <w:p w14:paraId="25EB6F50">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结合本项目运营特点与实际情况</w:t>
            </w:r>
            <w:r>
              <w:rPr>
                <w:rFonts w:hint="eastAsia" w:eastAsia="仿宋" w:cs="Times New Roman"/>
                <w:color w:val="000000" w:themeColor="text1"/>
                <w:kern w:val="0"/>
                <w:sz w:val="24"/>
                <w:szCs w:val="24"/>
                <w:highlight w:val="none"/>
                <w:lang w:eastAsia="zh-CN"/>
                <w14:textFill>
                  <w14:solidFill>
                    <w14:schemeClr w14:val="tx1"/>
                  </w14:solidFill>
                </w14:textFill>
              </w:rPr>
              <w:t>，将</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本项目环境管理纳入</w:t>
            </w:r>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建设单位</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的环境管理范畴，要求建设单位专门的环境管理机构，设总负责人1名，负责该项目运营期间的环境管理工作。同时，环境管理机构应接受当地生态环境主管部门的监督和指导，按照国家环保法规和标准等及时监督和掌握污染动态变化情况。</w:t>
            </w:r>
          </w:p>
          <w:p w14:paraId="2DAA666D">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lang w:eastAsia="zh-CN"/>
                <w14:textFill>
                  <w14:solidFill>
                    <w14:schemeClr w14:val="tx1"/>
                  </w14:solidFill>
                </w14:textFill>
              </w:rPr>
              <w:t>⑴</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环境管理原则</w:t>
            </w:r>
          </w:p>
          <w:p w14:paraId="7B58CEB5">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环境管理要确定正确的环境管理原则，具体如下：</w:t>
            </w:r>
          </w:p>
          <w:p w14:paraId="381A5CED">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①坚持</w:t>
            </w:r>
            <w:r>
              <w:rPr>
                <w:rFonts w:hint="eastAsia" w:ascii="Times New Roman" w:hAnsi="Times New Roman" w:eastAsia="仿宋" w:cs="Times New Roman"/>
                <w:color w:val="000000" w:themeColor="text1"/>
                <w:kern w:val="0"/>
                <w:sz w:val="24"/>
                <w:szCs w:val="24"/>
                <w:highlight w:val="none"/>
                <w:lang w:eastAsia="zh-CN"/>
                <w14:textFill>
                  <w14:solidFill>
                    <w14:schemeClr w14:val="tx1"/>
                  </w14:solidFill>
                </w14:textFill>
              </w:rPr>
              <w:t>法治</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原则和可持续发展的原则；</w:t>
            </w:r>
          </w:p>
          <w:p w14:paraId="5408C61B">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②坚持“开发促保护，保护为开发”的原则；</w:t>
            </w:r>
          </w:p>
          <w:p w14:paraId="7F8F8FCC">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③坚持经济、社会、环境协调统一的原则。</w:t>
            </w:r>
          </w:p>
          <w:p w14:paraId="651D7F8B">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lang w:eastAsia="zh-CN"/>
                <w14:textFill>
                  <w14:solidFill>
                    <w14:schemeClr w14:val="tx1"/>
                  </w14:solidFill>
                </w14:textFill>
              </w:rPr>
              <w:t>⑵</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环境管理制度</w:t>
            </w:r>
          </w:p>
          <w:p w14:paraId="084B36C0">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本次环评要求企业制定环境管理制度</w:t>
            </w:r>
            <w:r>
              <w:rPr>
                <w:rFonts w:hint="default" w:ascii="Times New Roman" w:hAnsi="Times New Roman" w:eastAsia="仿宋"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主要包括以下几方面内容：</w:t>
            </w:r>
          </w:p>
          <w:p w14:paraId="34DDF5B3">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①环境管理责任制，即由成立的环境管理机构总负责人负责运营期环境管理工作。</w:t>
            </w:r>
          </w:p>
          <w:p w14:paraId="3D0D9FEB">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②环境监测制度，即建立完善的环境监测体系，对</w:t>
            </w:r>
            <w:r>
              <w:rPr>
                <w:rFonts w:hint="default" w:ascii="Times New Roman" w:hAnsi="Times New Roman" w:eastAsia="仿宋" w:cs="Times New Roman"/>
                <w:color w:val="000000" w:themeColor="text1"/>
                <w:kern w:val="0"/>
                <w:sz w:val="24"/>
                <w:szCs w:val="24"/>
                <w:highlight w:val="none"/>
                <w:lang w:val="en-US" w:eastAsia="zh-CN"/>
                <w14:textFill>
                  <w14:solidFill>
                    <w14:schemeClr w14:val="tx1"/>
                  </w14:solidFill>
                </w14:textFill>
              </w:rPr>
              <w:t>运营期粉尘等废气</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、噪声等进行监测。</w:t>
            </w:r>
          </w:p>
          <w:p w14:paraId="0A30A177">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③污染治理制度，即对废气、噪声、废水和固体废物采取切实有效的污染防治措施。</w:t>
            </w:r>
          </w:p>
          <w:p w14:paraId="726B03CB">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④设备维护制度，即对主要环保设施、重要环节进行维护检修，杜绝意外事故排放。</w:t>
            </w:r>
          </w:p>
          <w:p w14:paraId="591322C4">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⑤资料存档上报制度，即对环保资料和数据等进行存档管理，并定期向上级汇报。</w:t>
            </w:r>
          </w:p>
          <w:p w14:paraId="2C7760D6">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⑥宣传教育制度，加强环保宣传教育，强化职工清洁生产和环境保护</w:t>
            </w:r>
            <w:r>
              <w:rPr>
                <w:rFonts w:hint="eastAsia" w:eastAsia="仿宋" w:cs="Times New Roman"/>
                <w:color w:val="000000" w:themeColor="text1"/>
                <w:kern w:val="0"/>
                <w:sz w:val="24"/>
                <w:szCs w:val="24"/>
                <w:highlight w:val="none"/>
                <w:lang w:eastAsia="zh-CN"/>
                <w14:textFill>
                  <w14:solidFill>
                    <w14:schemeClr w14:val="tx1"/>
                  </w14:solidFill>
                </w14:textFill>
              </w:rPr>
              <w:t>教育</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意识。</w:t>
            </w:r>
          </w:p>
          <w:p w14:paraId="58333967">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lang w:eastAsia="zh-CN"/>
                <w14:textFill>
                  <w14:solidFill>
                    <w14:schemeClr w14:val="tx1"/>
                  </w14:solidFill>
                </w14:textFill>
              </w:rPr>
              <w:t>⑶</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环境管理内容</w:t>
            </w:r>
          </w:p>
          <w:p w14:paraId="50734BAF">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项目设立的环境管理机构的环境管理职责主要包括以下几方面内容：</w:t>
            </w:r>
          </w:p>
          <w:p w14:paraId="5EE6CF87">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①建立完善的环境管理组织机构及管理体系，健全各项环保制度；宣传、贯彻执行国家及地方的环境保护</w:t>
            </w:r>
            <w:r>
              <w:rPr>
                <w:rFonts w:hint="eastAsia" w:eastAsia="仿宋" w:cs="Times New Roman"/>
                <w:color w:val="000000" w:themeColor="text1"/>
                <w:kern w:val="0"/>
                <w:sz w:val="24"/>
                <w:szCs w:val="24"/>
                <w:highlight w:val="none"/>
                <w:lang w:eastAsia="zh-CN"/>
                <w14:textFill>
                  <w14:solidFill>
                    <w14:schemeClr w14:val="tx1"/>
                  </w14:solidFill>
                </w14:textFill>
              </w:rPr>
              <w:t>法律法规</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和条例，并监督有关部门的执行情况。</w:t>
            </w:r>
          </w:p>
          <w:p w14:paraId="14E5501A">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②制定详细的设备或设施维护管理计划，确保生产设备和环保设施正常运行；委托有能力的单位定期对污染物排放情况进行监测，确保各污染物能达标排放。</w:t>
            </w:r>
          </w:p>
          <w:p w14:paraId="50AA5AF8">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③建立完善的污染源档案，环评资料、监测报告等存档备查</w:t>
            </w:r>
            <w:r>
              <w:rPr>
                <w:rFonts w:hint="eastAsia" w:ascii="Times New Roman" w:hAnsi="Times New Roman" w:eastAsia="仿宋" w:cs="Times New Roman"/>
                <w:color w:val="000000" w:themeColor="text1"/>
                <w:kern w:val="0"/>
                <w:sz w:val="24"/>
                <w:szCs w:val="24"/>
                <w:highlight w:val="none"/>
                <w:lang w:eastAsia="zh-CN"/>
                <w14:textFill>
                  <w14:solidFill>
                    <w14:schemeClr w14:val="tx1"/>
                  </w14:solidFill>
                </w14:textFill>
              </w:rPr>
              <w:t>，污</w:t>
            </w:r>
            <w:r>
              <w:rPr>
                <w:rFonts w:hint="default" w:ascii="Times New Roman" w:hAnsi="Times New Roman" w:eastAsia="仿宋" w:cs="Times New Roman"/>
                <w:color w:val="000000" w:themeColor="text1"/>
                <w:kern w:val="0"/>
                <w:sz w:val="24"/>
                <w:szCs w:val="24"/>
                <w:highlight w:val="none"/>
                <w:lang w:eastAsia="zh-CN"/>
                <w14:textFill>
                  <w14:solidFill>
                    <w14:schemeClr w14:val="tx1"/>
                  </w14:solidFill>
                </w14:textFill>
              </w:rPr>
              <w:t>染物种类、数量、浓度、排放去向，</w:t>
            </w:r>
            <w:r>
              <w:rPr>
                <w:rFonts w:hint="eastAsia" w:eastAsia="仿宋" w:cs="Times New Roman"/>
                <w:color w:val="000000" w:themeColor="text1"/>
                <w:kern w:val="0"/>
                <w:sz w:val="24"/>
                <w:szCs w:val="24"/>
                <w:highlight w:val="none"/>
                <w:lang w:eastAsia="zh-CN"/>
                <w14:textFill>
                  <w14:solidFill>
                    <w14:schemeClr w14:val="tx1"/>
                  </w14:solidFill>
                </w14:textFill>
              </w:rPr>
              <w:t>达标</w:t>
            </w:r>
            <w:r>
              <w:rPr>
                <w:rFonts w:hint="default" w:ascii="Times New Roman" w:hAnsi="Times New Roman" w:eastAsia="仿宋" w:cs="Times New Roman"/>
                <w:color w:val="000000" w:themeColor="text1"/>
                <w:kern w:val="0"/>
                <w:sz w:val="24"/>
                <w:szCs w:val="24"/>
                <w:highlight w:val="none"/>
                <w:lang w:eastAsia="zh-CN"/>
                <w14:textFill>
                  <w14:solidFill>
                    <w14:schemeClr w14:val="tx1"/>
                  </w14:solidFill>
                </w14:textFill>
              </w:rPr>
              <w:t>情况及设施运行情况记录于档案</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；接受当地环保主管部门的监督和指导。</w:t>
            </w:r>
          </w:p>
          <w:p w14:paraId="5A9C2BCB">
            <w:pPr>
              <w:keepNext w:val="0"/>
              <w:keepLines w:val="0"/>
              <w:pageBreakBefore w:val="0"/>
              <w:kinsoku/>
              <w:wordWrap/>
              <w:overflowPunct/>
              <w:bidi w:val="0"/>
              <w:adjustRightInd w:val="0"/>
              <w:snapToGrid w:val="0"/>
              <w:spacing w:line="360" w:lineRule="auto"/>
              <w:ind w:firstLine="480" w:firstLineChars="200"/>
              <w:jc w:val="both"/>
              <w:rPr>
                <w:rFonts w:hint="default" w:ascii="Times New Roman" w:hAnsi="Times New Roman" w:eastAsia="仿宋" w:cs="Times New Roman"/>
                <w:snapToGrid w:val="0"/>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④组织开展环境保护的宣传教育和培训工作，</w:t>
            </w:r>
            <w:r>
              <w:rPr>
                <w:rFonts w:hint="eastAsia" w:eastAsia="仿宋" w:cs="Times New Roman"/>
                <w:color w:val="000000" w:themeColor="text1"/>
                <w:kern w:val="0"/>
                <w:sz w:val="24"/>
                <w:szCs w:val="24"/>
                <w:highlight w:val="none"/>
                <w:lang w:eastAsia="zh-CN"/>
                <w14:textFill>
                  <w14:solidFill>
                    <w14:schemeClr w14:val="tx1"/>
                  </w14:solidFill>
                </w14:textFill>
              </w:rPr>
              <w:t>增强</w:t>
            </w:r>
            <w:r>
              <w:rPr>
                <w:rFonts w:hint="default" w:ascii="Times New Roman" w:hAnsi="Times New Roman" w:eastAsia="仿宋" w:cs="Times New Roman"/>
                <w:color w:val="000000" w:themeColor="text1"/>
                <w:kern w:val="0"/>
                <w:sz w:val="24"/>
                <w:szCs w:val="24"/>
                <w:highlight w:val="none"/>
                <w14:textFill>
                  <w14:solidFill>
                    <w14:schemeClr w14:val="tx1"/>
                  </w14:solidFill>
                </w14:textFill>
              </w:rPr>
              <w:t>全体职工的环境保护意识；接受个人或组织的环保投诉，并负责对投诉事件进行妥善处理。</w:t>
            </w:r>
          </w:p>
          <w:p w14:paraId="051E900F">
            <w:pPr>
              <w:pStyle w:val="20"/>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jc w:val="both"/>
              <w:textAlignment w:val="auto"/>
              <w:rPr>
                <w:rFonts w:hint="default" w:ascii="Times New Roman" w:hAnsi="Times New Roman" w:eastAsia="仿宋" w:cs="Times New Roman"/>
                <w:b/>
                <w:snapToGrid w:val="0"/>
                <w:color w:val="000000" w:themeColor="text1"/>
                <w:szCs w:val="24"/>
                <w:highlight w:val="none"/>
                <w14:textFill>
                  <w14:solidFill>
                    <w14:schemeClr w14:val="tx1"/>
                  </w14:solidFill>
                </w14:textFill>
              </w:rPr>
            </w:pPr>
            <w:r>
              <w:rPr>
                <w:rFonts w:hint="eastAsia" w:ascii="Times New Roman" w:hAnsi="Times New Roman" w:eastAsia="仿宋" w:cs="Times New Roman"/>
                <w:b/>
                <w:snapToGrid w:val="0"/>
                <w:color w:val="000000" w:themeColor="text1"/>
                <w:szCs w:val="24"/>
                <w:highlight w:val="none"/>
                <w:lang w:val="en-US" w:eastAsia="zh-CN"/>
                <w14:textFill>
                  <w14:solidFill>
                    <w14:schemeClr w14:val="tx1"/>
                  </w14:solidFill>
                </w14:textFill>
              </w:rPr>
              <w:t>3.</w:t>
            </w:r>
            <w:r>
              <w:rPr>
                <w:rFonts w:hint="default" w:ascii="Times New Roman" w:hAnsi="Times New Roman" w:eastAsia="仿宋" w:cs="Times New Roman"/>
                <w:b/>
                <w:snapToGrid w:val="0"/>
                <w:color w:val="000000" w:themeColor="text1"/>
                <w:szCs w:val="24"/>
                <w:highlight w:val="none"/>
                <w14:textFill>
                  <w14:solidFill>
                    <w14:schemeClr w14:val="tx1"/>
                  </w14:solidFill>
                </w14:textFill>
              </w:rPr>
              <w:t>排污许可管理</w:t>
            </w:r>
          </w:p>
          <w:p w14:paraId="5AEA9AB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outlineLvl w:val="9"/>
              <w:rPr>
                <w:rFonts w:hint="default" w:ascii="Times New Roman" w:hAnsi="Times New Roman" w:eastAsia="仿宋" w:cs="Times New Roman"/>
                <w:color w:val="000000" w:themeColor="text1"/>
                <w:kern w:val="0"/>
                <w:sz w:val="24"/>
                <w:szCs w:val="24"/>
                <w:highlight w:val="none"/>
                <w:lang w:val="en-US" w:eastAsia="zh-CN"/>
                <w14:textFill>
                  <w14:solidFill>
                    <w14:schemeClr w14:val="tx1"/>
                  </w14:solidFill>
                </w14:textFill>
              </w:rPr>
            </w:pPr>
            <w:r>
              <w:rPr>
                <w:rFonts w:hint="eastAsia" w:eastAsia="仿宋" w:cs="Times New Roman"/>
                <w:color w:val="000000" w:themeColor="text1"/>
                <w:sz w:val="24"/>
                <w:szCs w:val="24"/>
                <w:highlight w:val="none"/>
                <w:lang w:val="en-US" w:eastAsia="zh-CN"/>
                <w14:textFill>
                  <w14:solidFill>
                    <w14:schemeClr w14:val="tx1"/>
                  </w14:solidFill>
                </w14:textFill>
              </w:rPr>
              <w:t>本</w:t>
            </w:r>
            <w:r>
              <w:rPr>
                <w:rFonts w:hint="default" w:ascii="Times New Roman" w:hAnsi="Times New Roman" w:eastAsia="仿宋" w:cs="Times New Roman"/>
                <w:color w:val="000000" w:themeColor="text1"/>
                <w:sz w:val="24"/>
                <w:szCs w:val="24"/>
                <w:highlight w:val="none"/>
                <w14:textFill>
                  <w14:solidFill>
                    <w14:schemeClr w14:val="tx1"/>
                  </w14:solidFill>
                </w14:textFill>
              </w:rPr>
              <w:t>项目建成</w:t>
            </w:r>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后应</w:t>
            </w:r>
            <w:r>
              <w:rPr>
                <w:rFonts w:hint="default" w:ascii="Times New Roman" w:hAnsi="Times New Roman" w:eastAsia="仿宋" w:cs="Times New Roman"/>
                <w:snapToGrid w:val="0"/>
                <w:color w:val="000000" w:themeColor="text1"/>
                <w:sz w:val="24"/>
                <w:szCs w:val="24"/>
                <w:highlight w:val="none"/>
                <w14:textFill>
                  <w14:solidFill>
                    <w14:schemeClr w14:val="tx1"/>
                  </w14:solidFill>
                </w14:textFill>
              </w:rPr>
              <w:t>根据《固定污染源排污许可分类管理名录（2019版）》（部令第11号，2019年12月20日），</w:t>
            </w:r>
            <w:r>
              <w:rPr>
                <w:rFonts w:hint="default" w:ascii="Times New Roman" w:hAnsi="Times New Roman" w:eastAsia="仿宋" w:cs="Times New Roman"/>
                <w:color w:val="000000" w:themeColor="text1"/>
                <w:sz w:val="24"/>
                <w:szCs w:val="24"/>
                <w:highlight w:val="none"/>
                <w14:textFill>
                  <w14:solidFill>
                    <w14:schemeClr w14:val="tx1"/>
                  </w14:solidFill>
                </w14:textFill>
              </w:rPr>
              <w:t>进行企业的排污许可相关工作，建设单位应当在全国排污许可证管理信息平台上填报并提交排污许可证申请，同时向核发环保部门提交通过全国排污许可证管理信息平台印制的书面申请材料</w:t>
            </w:r>
            <w:r>
              <w:rPr>
                <w:rFonts w:hint="default" w:ascii="Times New Roman" w:hAnsi="Times New Roman" w:eastAsia="仿宋"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仿宋" w:cs="Times New Roman"/>
                <w:snapToGrid w:val="0"/>
                <w:color w:val="000000" w:themeColor="text1"/>
                <w:sz w:val="24"/>
                <w:szCs w:val="24"/>
                <w:highlight w:val="none"/>
                <w14:textFill>
                  <w14:solidFill>
                    <w14:schemeClr w14:val="tx1"/>
                  </w14:solidFill>
                </w14:textFill>
              </w:rPr>
              <w:t>做到依法持证排污。</w:t>
            </w:r>
          </w:p>
          <w:p w14:paraId="15E24BB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outlineLvl w:val="9"/>
              <w:rPr>
                <w:rFonts w:hint="default" w:ascii="Times New Roman" w:hAnsi="Times New Roman" w:eastAsia="仿宋" w:cs="Times New Roman"/>
                <w:color w:val="000000" w:themeColor="text1"/>
                <w:sz w:val="24"/>
                <w:szCs w:val="24"/>
                <w:highlight w:val="none"/>
                <w14:textFill>
                  <w14:solidFill>
                    <w14:schemeClr w14:val="tx1"/>
                  </w14:solidFill>
                </w14:textFill>
              </w:rPr>
            </w:pPr>
            <w:r>
              <w:rPr>
                <w:rFonts w:hint="default" w:ascii="Times New Roman" w:hAnsi="Times New Roman" w:eastAsia="仿宋" w:cs="Times New Roman"/>
                <w:color w:val="000000" w:themeColor="text1"/>
                <w:sz w:val="24"/>
                <w:szCs w:val="24"/>
                <w:highlight w:val="none"/>
                <w14:textFill>
                  <w14:solidFill>
                    <w14:schemeClr w14:val="tx1"/>
                  </w14:solidFill>
                </w14:textFill>
              </w:rPr>
              <w:t>根据《建设项目竣工环境保护验收暂行办法》，纳入排污许可管理的建设项目，无证排污或者不按证排污的，建设单位不得提出验收合格的意见。故建设单位</w:t>
            </w:r>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应</w:t>
            </w:r>
            <w:r>
              <w:rPr>
                <w:rFonts w:hint="default" w:ascii="Times New Roman" w:hAnsi="Times New Roman" w:eastAsia="仿宋" w:cs="Times New Roman"/>
                <w:color w:val="000000" w:themeColor="text1"/>
                <w:sz w:val="24"/>
                <w:szCs w:val="24"/>
                <w:highlight w:val="none"/>
                <w14:textFill>
                  <w14:solidFill>
                    <w14:schemeClr w14:val="tx1"/>
                  </w14:solidFill>
                </w14:textFill>
              </w:rPr>
              <w:t>在竣工环境保护验收前完成排污许可</w:t>
            </w:r>
            <w:r>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t>证</w:t>
            </w:r>
            <w:r>
              <w:rPr>
                <w:rFonts w:hint="default" w:ascii="Times New Roman" w:hAnsi="Times New Roman" w:eastAsia="仿宋" w:cs="Times New Roman"/>
                <w:color w:val="000000" w:themeColor="text1"/>
                <w:sz w:val="24"/>
                <w:szCs w:val="24"/>
                <w:highlight w:val="none"/>
                <w14:textFill>
                  <w14:solidFill>
                    <w14:schemeClr w14:val="tx1"/>
                  </w14:solidFill>
                </w14:textFill>
              </w:rPr>
              <w:t>申请填报工作。</w:t>
            </w:r>
          </w:p>
        </w:tc>
      </w:tr>
      <w:tr w14:paraId="068D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71ACC55D">
            <w:pPr>
              <w:bidi w:val="0"/>
              <w:jc w:val="center"/>
              <w:rPr>
                <w:rFonts w:hint="default" w:ascii="Times New Roman" w:hAnsi="Times New Roman" w:eastAsia="仿宋" w:cs="Times New Roman"/>
                <w:color w:val="auto"/>
                <w:spacing w:val="0"/>
                <w:sz w:val="24"/>
                <w:highlight w:val="none"/>
                <w:lang w:val="en-US" w:eastAsia="zh-CN"/>
              </w:rPr>
            </w:pPr>
            <w:r>
              <w:rPr>
                <w:rFonts w:hint="default" w:ascii="Times New Roman" w:hAnsi="Times New Roman" w:eastAsia="仿宋" w:cs="Times New Roman"/>
                <w:color w:val="auto"/>
                <w:spacing w:val="0"/>
                <w:sz w:val="24"/>
                <w:highlight w:val="none"/>
                <w:lang w:val="en-US" w:eastAsia="zh-CN"/>
              </w:rPr>
              <w:t>环保投资</w:t>
            </w:r>
          </w:p>
        </w:tc>
        <w:tc>
          <w:tcPr>
            <w:tcW w:w="7811" w:type="dxa"/>
          </w:tcPr>
          <w:p w14:paraId="1429E95C">
            <w:pPr>
              <w:keepNext w:val="0"/>
              <w:keepLines w:val="0"/>
              <w:pageBreakBefore w:val="0"/>
              <w:widowControl w:val="0"/>
              <w:kinsoku/>
              <w:wordWrap/>
              <w:overflowPunct/>
              <w:topLinePunct/>
              <w:autoSpaceDE/>
              <w:autoSpaceDN w:val="0"/>
              <w:bidi w:val="0"/>
              <w:adjustRightInd w:val="0"/>
              <w:snapToGrid w:val="0"/>
              <w:spacing w:line="360" w:lineRule="auto"/>
              <w:ind w:firstLine="480" w:firstLineChars="200"/>
              <w:textAlignment w:val="center"/>
              <w:rPr>
                <w:rFonts w:hint="default" w:ascii="Times New Roman" w:hAnsi="Times New Roman" w:eastAsia="仿宋" w:cs="Times New Roman"/>
                <w:color w:val="FF0000"/>
                <w:spacing w:val="0"/>
                <w:sz w:val="24"/>
                <w:highlight w:val="none"/>
              </w:rPr>
            </w:pPr>
            <w:r>
              <w:rPr>
                <w:rFonts w:hint="default" w:ascii="Times New Roman" w:hAnsi="Times New Roman" w:eastAsia="仿宋" w:cs="Times New Roman"/>
                <w:color w:val="FF0000"/>
                <w:spacing w:val="0"/>
                <w:sz w:val="24"/>
                <w:highlight w:val="none"/>
              </w:rPr>
              <w:t>本项目总投资</w:t>
            </w:r>
            <w:r>
              <w:rPr>
                <w:rFonts w:hint="eastAsia" w:eastAsia="仿宋" w:cs="Times New Roman"/>
                <w:color w:val="FF0000"/>
                <w:spacing w:val="0"/>
                <w:sz w:val="24"/>
                <w:highlight w:val="none"/>
                <w:lang w:val="en-US" w:eastAsia="zh-CN"/>
              </w:rPr>
              <w:t>1507</w:t>
            </w:r>
            <w:r>
              <w:rPr>
                <w:rFonts w:hint="default" w:ascii="Times New Roman" w:hAnsi="Times New Roman" w:eastAsia="仿宋" w:cs="Times New Roman"/>
                <w:color w:val="FF0000"/>
                <w:spacing w:val="0"/>
                <w:sz w:val="24"/>
                <w:highlight w:val="none"/>
                <w:lang w:val="en-US" w:eastAsia="zh-CN"/>
              </w:rPr>
              <w:t>万</w:t>
            </w:r>
            <w:r>
              <w:rPr>
                <w:rFonts w:hint="default" w:ascii="Times New Roman" w:hAnsi="Times New Roman" w:eastAsia="仿宋" w:cs="Times New Roman"/>
                <w:color w:val="FF0000"/>
                <w:spacing w:val="0"/>
                <w:sz w:val="24"/>
                <w:highlight w:val="none"/>
              </w:rPr>
              <w:t>元，</w:t>
            </w:r>
            <w:r>
              <w:rPr>
                <w:rFonts w:hint="default" w:ascii="Times New Roman" w:hAnsi="Times New Roman" w:eastAsia="仿宋" w:cs="Times New Roman"/>
                <w:color w:val="FF0000"/>
                <w:spacing w:val="0"/>
                <w:sz w:val="24"/>
                <w:highlight w:val="none"/>
                <w:lang w:val="en-US" w:eastAsia="zh-CN"/>
              </w:rPr>
              <w:t>其中</w:t>
            </w:r>
            <w:r>
              <w:rPr>
                <w:rFonts w:hint="default" w:ascii="Times New Roman" w:hAnsi="Times New Roman" w:eastAsia="仿宋" w:cs="Times New Roman"/>
                <w:color w:val="FF0000"/>
                <w:spacing w:val="0"/>
                <w:sz w:val="24"/>
                <w:highlight w:val="none"/>
              </w:rPr>
              <w:t>环保投资</w:t>
            </w:r>
            <w:r>
              <w:rPr>
                <w:rFonts w:hint="eastAsia" w:eastAsia="仿宋" w:cs="Times New Roman"/>
                <w:color w:val="FF0000"/>
                <w:spacing w:val="0"/>
                <w:sz w:val="24"/>
                <w:highlight w:val="none"/>
                <w:lang w:val="en-US" w:eastAsia="zh-CN"/>
              </w:rPr>
              <w:t>271.04</w:t>
            </w:r>
            <w:r>
              <w:rPr>
                <w:rFonts w:hint="default" w:ascii="Times New Roman" w:hAnsi="Times New Roman" w:eastAsia="仿宋" w:cs="Times New Roman"/>
                <w:color w:val="FF0000"/>
                <w:spacing w:val="0"/>
                <w:sz w:val="24"/>
                <w:highlight w:val="none"/>
              </w:rPr>
              <w:t>万元，</w:t>
            </w:r>
            <w:r>
              <w:rPr>
                <w:rFonts w:hint="default" w:ascii="Times New Roman" w:hAnsi="Times New Roman" w:eastAsia="仿宋" w:cs="Times New Roman"/>
                <w:color w:val="FF0000"/>
                <w:spacing w:val="0"/>
                <w:sz w:val="24"/>
                <w:highlight w:val="none"/>
                <w:lang w:val="en-US" w:eastAsia="zh-CN"/>
              </w:rPr>
              <w:t>占</w:t>
            </w:r>
            <w:r>
              <w:rPr>
                <w:rFonts w:hint="eastAsia" w:ascii="Times New Roman" w:hAnsi="Times New Roman" w:eastAsia="仿宋" w:cs="Times New Roman"/>
                <w:color w:val="FF0000"/>
                <w:spacing w:val="0"/>
                <w:sz w:val="24"/>
                <w:highlight w:val="none"/>
                <w:lang w:val="en-US" w:eastAsia="zh-CN"/>
              </w:rPr>
              <w:t>总投</w:t>
            </w:r>
            <w:r>
              <w:rPr>
                <w:rFonts w:hint="default" w:ascii="Times New Roman" w:hAnsi="Times New Roman" w:eastAsia="仿宋" w:cs="Times New Roman"/>
                <w:color w:val="FF0000"/>
                <w:spacing w:val="0"/>
                <w:sz w:val="24"/>
                <w:highlight w:val="none"/>
                <w:lang w:val="en-US" w:eastAsia="zh-CN"/>
              </w:rPr>
              <w:t>资的</w:t>
            </w:r>
            <w:r>
              <w:rPr>
                <w:rFonts w:hint="eastAsia" w:eastAsia="仿宋" w:cs="Times New Roman"/>
                <w:color w:val="FF0000"/>
                <w:spacing w:val="0"/>
                <w:sz w:val="24"/>
                <w:highlight w:val="none"/>
                <w:lang w:val="en-US" w:eastAsia="zh-CN"/>
              </w:rPr>
              <w:t>18</w:t>
            </w:r>
            <w:r>
              <w:rPr>
                <w:rFonts w:hint="default" w:ascii="Times New Roman" w:hAnsi="Times New Roman" w:eastAsia="仿宋" w:cs="Times New Roman"/>
                <w:color w:val="FF0000"/>
                <w:spacing w:val="0"/>
                <w:sz w:val="24"/>
                <w:highlight w:val="none"/>
                <w:lang w:val="en-US" w:eastAsia="zh-CN"/>
              </w:rPr>
              <w:t>%，</w:t>
            </w:r>
            <w:r>
              <w:rPr>
                <w:rFonts w:hint="default" w:ascii="Times New Roman" w:hAnsi="Times New Roman" w:eastAsia="仿宋" w:cs="Times New Roman"/>
                <w:color w:val="FF0000"/>
                <w:spacing w:val="0"/>
                <w:sz w:val="24"/>
                <w:highlight w:val="none"/>
              </w:rPr>
              <w:t>环保投资情况详见表</w:t>
            </w:r>
            <w:r>
              <w:rPr>
                <w:rFonts w:hint="eastAsia" w:eastAsia="仿宋" w:cs="Times New Roman"/>
                <w:color w:val="FF0000"/>
                <w:spacing w:val="0"/>
                <w:sz w:val="24"/>
                <w:highlight w:val="none"/>
                <w:lang w:val="en-US" w:eastAsia="zh-CN"/>
              </w:rPr>
              <w:t>55</w:t>
            </w:r>
            <w:r>
              <w:rPr>
                <w:rFonts w:hint="default" w:ascii="Times New Roman" w:hAnsi="Times New Roman" w:eastAsia="仿宋" w:cs="Times New Roman"/>
                <w:color w:val="FF0000"/>
                <w:spacing w:val="0"/>
                <w:sz w:val="24"/>
                <w:highlight w:val="none"/>
              </w:rPr>
              <w:t>。</w:t>
            </w:r>
          </w:p>
          <w:p w14:paraId="3F7CC5E6">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 w:cs="Times New Roman"/>
                <w:b/>
                <w:bCs/>
                <w:color w:val="FF0000"/>
                <w:szCs w:val="21"/>
              </w:rPr>
            </w:pPr>
            <w:r>
              <w:rPr>
                <w:rFonts w:hint="default" w:ascii="Times New Roman" w:hAnsi="Times New Roman" w:eastAsia="仿宋" w:cs="Times New Roman"/>
                <w:b/>
                <w:bCs/>
                <w:color w:val="FF0000"/>
                <w:szCs w:val="21"/>
              </w:rPr>
              <w:t>表</w:t>
            </w:r>
            <w:r>
              <w:rPr>
                <w:rFonts w:hint="eastAsia" w:eastAsia="仿宋" w:cs="Times New Roman"/>
                <w:b/>
                <w:bCs/>
                <w:color w:val="FF0000"/>
                <w:szCs w:val="21"/>
                <w:lang w:val="en-US" w:eastAsia="zh-CN"/>
              </w:rPr>
              <w:t>55</w:t>
            </w:r>
            <w:r>
              <w:rPr>
                <w:rFonts w:hint="default" w:ascii="Times New Roman" w:hAnsi="Times New Roman" w:eastAsia="仿宋" w:cs="Times New Roman"/>
                <w:b/>
                <w:bCs/>
                <w:color w:val="FF0000"/>
                <w:szCs w:val="21"/>
                <w:lang w:val="en-US" w:eastAsia="zh-CN"/>
              </w:rPr>
              <w:t xml:space="preserve">   </w:t>
            </w:r>
            <w:r>
              <w:rPr>
                <w:rFonts w:hint="default" w:ascii="Times New Roman" w:hAnsi="Times New Roman" w:eastAsia="仿宋" w:cs="Times New Roman"/>
                <w:b/>
                <w:bCs/>
                <w:color w:val="FF0000"/>
                <w:szCs w:val="21"/>
              </w:rPr>
              <w:t>环保投资估算一览表</w:t>
            </w:r>
          </w:p>
          <w:tbl>
            <w:tblPr>
              <w:tblStyle w:val="24"/>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32"/>
              <w:gridCol w:w="565"/>
              <w:gridCol w:w="1098"/>
              <w:gridCol w:w="3815"/>
              <w:gridCol w:w="1382"/>
            </w:tblGrid>
            <w:tr w14:paraId="465FAB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2" w:type="pct"/>
                  <w:tcBorders>
                    <w:tl2br w:val="nil"/>
                    <w:tr2bl w:val="nil"/>
                  </w:tcBorders>
                  <w:vAlign w:val="center"/>
                </w:tcPr>
                <w:p w14:paraId="65CEAF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阶段</w:t>
                  </w:r>
                </w:p>
              </w:tc>
              <w:tc>
                <w:tcPr>
                  <w:tcW w:w="1095" w:type="pct"/>
                  <w:gridSpan w:val="2"/>
                  <w:tcBorders>
                    <w:tl2br w:val="nil"/>
                    <w:tr2bl w:val="nil"/>
                  </w:tcBorders>
                  <w:vAlign w:val="center"/>
                </w:tcPr>
                <w:p w14:paraId="781F88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污染源</w:t>
                  </w:r>
                </w:p>
              </w:tc>
              <w:tc>
                <w:tcPr>
                  <w:tcW w:w="2512" w:type="pct"/>
                  <w:tcBorders>
                    <w:tl2br w:val="nil"/>
                    <w:tr2bl w:val="nil"/>
                  </w:tcBorders>
                  <w:vAlign w:val="center"/>
                </w:tcPr>
                <w:p w14:paraId="666858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措施</w:t>
                  </w:r>
                </w:p>
              </w:tc>
              <w:tc>
                <w:tcPr>
                  <w:tcW w:w="910" w:type="pct"/>
                  <w:tcBorders>
                    <w:tl2br w:val="nil"/>
                    <w:tr2bl w:val="nil"/>
                  </w:tcBorders>
                  <w:vAlign w:val="center"/>
                </w:tcPr>
                <w:p w14:paraId="4649AE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投资</w:t>
                  </w:r>
                </w:p>
                <w:p w14:paraId="01101A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（万元）</w:t>
                  </w:r>
                </w:p>
              </w:tc>
            </w:tr>
            <w:tr w14:paraId="5368B8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2" w:type="pct"/>
                  <w:vMerge w:val="restart"/>
                  <w:tcBorders>
                    <w:tl2br w:val="nil"/>
                    <w:tr2bl w:val="nil"/>
                  </w:tcBorders>
                  <w:vAlign w:val="center"/>
                </w:tcPr>
                <w:p w14:paraId="02919B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施</w:t>
                  </w:r>
                </w:p>
                <w:p w14:paraId="1CBFBF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工</w:t>
                  </w:r>
                </w:p>
                <w:p w14:paraId="4819D7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期</w:t>
                  </w:r>
                </w:p>
              </w:tc>
              <w:tc>
                <w:tcPr>
                  <w:tcW w:w="1095" w:type="pct"/>
                  <w:gridSpan w:val="2"/>
                  <w:tcBorders>
                    <w:tl2br w:val="nil"/>
                    <w:tr2bl w:val="nil"/>
                  </w:tcBorders>
                  <w:vAlign w:val="center"/>
                </w:tcPr>
                <w:p w14:paraId="58D1A4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大气</w:t>
                  </w:r>
                </w:p>
              </w:tc>
              <w:tc>
                <w:tcPr>
                  <w:tcW w:w="2512" w:type="pct"/>
                  <w:tcBorders>
                    <w:tl2br w:val="nil"/>
                    <w:tr2bl w:val="nil"/>
                  </w:tcBorders>
                  <w:vAlign w:val="center"/>
                </w:tcPr>
                <w:p w14:paraId="751C3C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eastAsia="仿宋"/>
                      <w:color w:val="FF0000"/>
                      <w:szCs w:val="21"/>
                    </w:rPr>
                    <w:t>洒水降尘、土方和施工材料临时覆盖等</w:t>
                  </w:r>
                </w:p>
              </w:tc>
              <w:tc>
                <w:tcPr>
                  <w:tcW w:w="910" w:type="pct"/>
                  <w:tcBorders>
                    <w:tl2br w:val="nil"/>
                    <w:tr2bl w:val="nil"/>
                  </w:tcBorders>
                  <w:vAlign w:val="center"/>
                </w:tcPr>
                <w:p w14:paraId="4E765A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1.5</w:t>
                  </w:r>
                </w:p>
              </w:tc>
            </w:tr>
            <w:tr w14:paraId="3670EF7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2" w:type="pct"/>
                  <w:vMerge w:val="continue"/>
                  <w:tcBorders>
                    <w:tl2br w:val="nil"/>
                    <w:tr2bl w:val="nil"/>
                  </w:tcBorders>
                  <w:vAlign w:val="center"/>
                </w:tcPr>
                <w:p w14:paraId="24EB96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1095" w:type="pct"/>
                  <w:gridSpan w:val="2"/>
                  <w:tcBorders>
                    <w:tl2br w:val="nil"/>
                    <w:tr2bl w:val="nil"/>
                  </w:tcBorders>
                  <w:vAlign w:val="center"/>
                </w:tcPr>
                <w:p w14:paraId="6CAD38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废水</w:t>
                  </w:r>
                </w:p>
              </w:tc>
              <w:tc>
                <w:tcPr>
                  <w:tcW w:w="2512" w:type="pct"/>
                  <w:tcBorders>
                    <w:tl2br w:val="nil"/>
                    <w:tr2bl w:val="nil"/>
                  </w:tcBorders>
                  <w:vAlign w:val="center"/>
                </w:tcPr>
                <w:p w14:paraId="297EC8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临时沉淀池、环保型厕所1座</w:t>
                  </w:r>
                </w:p>
              </w:tc>
              <w:tc>
                <w:tcPr>
                  <w:tcW w:w="910" w:type="pct"/>
                  <w:tcBorders>
                    <w:tl2br w:val="nil"/>
                    <w:tr2bl w:val="nil"/>
                  </w:tcBorders>
                  <w:vAlign w:val="center"/>
                </w:tcPr>
                <w:p w14:paraId="39689B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1.0</w:t>
                  </w:r>
                </w:p>
              </w:tc>
            </w:tr>
            <w:tr w14:paraId="2830BA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2" w:type="pct"/>
                  <w:vMerge w:val="continue"/>
                  <w:tcBorders>
                    <w:tl2br w:val="nil"/>
                    <w:tr2bl w:val="nil"/>
                  </w:tcBorders>
                  <w:vAlign w:val="center"/>
                </w:tcPr>
                <w:p w14:paraId="2F09F0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1095" w:type="pct"/>
                  <w:gridSpan w:val="2"/>
                  <w:tcBorders>
                    <w:tl2br w:val="nil"/>
                    <w:tr2bl w:val="nil"/>
                  </w:tcBorders>
                  <w:vAlign w:val="center"/>
                </w:tcPr>
                <w:p w14:paraId="1A0AC2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噪声</w:t>
                  </w:r>
                </w:p>
              </w:tc>
              <w:tc>
                <w:tcPr>
                  <w:tcW w:w="2512" w:type="pct"/>
                  <w:tcBorders>
                    <w:tl2br w:val="nil"/>
                    <w:tr2bl w:val="nil"/>
                  </w:tcBorders>
                  <w:vAlign w:val="center"/>
                </w:tcPr>
                <w:p w14:paraId="0EAA27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设备检修、设备维护等</w:t>
                  </w:r>
                </w:p>
              </w:tc>
              <w:tc>
                <w:tcPr>
                  <w:tcW w:w="910" w:type="pct"/>
                  <w:tcBorders>
                    <w:tl2br w:val="nil"/>
                    <w:tr2bl w:val="nil"/>
                  </w:tcBorders>
                  <w:vAlign w:val="center"/>
                </w:tcPr>
                <w:p w14:paraId="6C03D3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1.0</w:t>
                  </w:r>
                </w:p>
              </w:tc>
            </w:tr>
            <w:tr w14:paraId="4E09BAC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2" w:type="pct"/>
                  <w:vMerge w:val="continue"/>
                  <w:tcBorders>
                    <w:tl2br w:val="nil"/>
                    <w:tr2bl w:val="nil"/>
                  </w:tcBorders>
                  <w:vAlign w:val="center"/>
                </w:tcPr>
                <w:p w14:paraId="1F99BD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1095" w:type="pct"/>
                  <w:gridSpan w:val="2"/>
                  <w:tcBorders>
                    <w:tl2br w:val="nil"/>
                    <w:tr2bl w:val="nil"/>
                  </w:tcBorders>
                  <w:vAlign w:val="center"/>
                </w:tcPr>
                <w:p w14:paraId="5FBDEB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固废</w:t>
                  </w:r>
                </w:p>
              </w:tc>
              <w:tc>
                <w:tcPr>
                  <w:tcW w:w="2512" w:type="pct"/>
                  <w:tcBorders>
                    <w:tl2br w:val="nil"/>
                    <w:tr2bl w:val="nil"/>
                  </w:tcBorders>
                  <w:vAlign w:val="center"/>
                </w:tcPr>
                <w:p w14:paraId="309288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eastAsia="仿宋"/>
                      <w:color w:val="FF0000"/>
                      <w:szCs w:val="21"/>
                    </w:rPr>
                    <w:t>生活垃圾、建筑垃圾收集与清运</w:t>
                  </w:r>
                </w:p>
              </w:tc>
              <w:tc>
                <w:tcPr>
                  <w:tcW w:w="910" w:type="pct"/>
                  <w:tcBorders>
                    <w:tl2br w:val="nil"/>
                    <w:tr2bl w:val="nil"/>
                  </w:tcBorders>
                  <w:vAlign w:val="center"/>
                </w:tcPr>
                <w:p w14:paraId="6D04F0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0.5</w:t>
                  </w:r>
                </w:p>
              </w:tc>
            </w:tr>
            <w:tr w14:paraId="6B9E78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82" w:type="pct"/>
                  <w:vMerge w:val="restart"/>
                  <w:tcBorders>
                    <w:tl2br w:val="nil"/>
                    <w:tr2bl w:val="nil"/>
                  </w:tcBorders>
                  <w:vAlign w:val="center"/>
                </w:tcPr>
                <w:p w14:paraId="0E1516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运</w:t>
                  </w:r>
                </w:p>
                <w:p w14:paraId="27FDC3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营</w:t>
                  </w:r>
                </w:p>
                <w:p w14:paraId="66D720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期</w:t>
                  </w:r>
                </w:p>
              </w:tc>
              <w:tc>
                <w:tcPr>
                  <w:tcW w:w="372" w:type="pct"/>
                  <w:vMerge w:val="restart"/>
                  <w:tcBorders>
                    <w:tl2br w:val="nil"/>
                    <w:tr2bl w:val="nil"/>
                  </w:tcBorders>
                  <w:vAlign w:val="center"/>
                </w:tcPr>
                <w:p w14:paraId="7448CB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大气</w:t>
                  </w:r>
                </w:p>
              </w:tc>
              <w:tc>
                <w:tcPr>
                  <w:tcW w:w="723" w:type="pct"/>
                  <w:tcBorders>
                    <w:tl2br w:val="nil"/>
                    <w:tr2bl w:val="nil"/>
                  </w:tcBorders>
                  <w:vAlign w:val="center"/>
                </w:tcPr>
                <w:p w14:paraId="460498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rPr>
                  </w:pPr>
                  <w:r>
                    <w:rPr>
                      <w:rFonts w:hint="default" w:ascii="Times New Roman" w:hAnsi="Times New Roman" w:eastAsia="仿宋" w:cs="Times New Roman"/>
                      <w:color w:val="FF0000"/>
                      <w:spacing w:val="0"/>
                      <w:sz w:val="21"/>
                      <w:szCs w:val="21"/>
                      <w:highlight w:val="none"/>
                      <w:lang w:val="en-US" w:eastAsia="zh-CN"/>
                    </w:rPr>
                    <w:t>矿区开采</w:t>
                  </w:r>
                  <w:r>
                    <w:rPr>
                      <w:rFonts w:hint="default" w:ascii="Times New Roman" w:hAnsi="Times New Roman" w:eastAsia="仿宋" w:cs="Times New Roman"/>
                      <w:color w:val="FF0000"/>
                      <w:spacing w:val="0"/>
                      <w:sz w:val="21"/>
                      <w:szCs w:val="21"/>
                      <w:highlight w:val="none"/>
                      <w:lang w:eastAsia="zh-CN"/>
                    </w:rPr>
                    <w:t>粉尘</w:t>
                  </w:r>
                </w:p>
              </w:tc>
              <w:tc>
                <w:tcPr>
                  <w:tcW w:w="2512" w:type="pct"/>
                  <w:tcBorders>
                    <w:tl2br w:val="nil"/>
                    <w:tr2bl w:val="nil"/>
                  </w:tcBorders>
                  <w:vAlign w:val="center"/>
                </w:tcPr>
                <w:p w14:paraId="3BBFD8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rPr>
                  </w:pPr>
                  <w:r>
                    <w:rPr>
                      <w:rFonts w:hint="default" w:ascii="Times New Roman" w:hAnsi="Times New Roman" w:eastAsia="仿宋" w:cs="Times New Roman"/>
                      <w:color w:val="FF0000"/>
                      <w:spacing w:val="0"/>
                      <w:sz w:val="21"/>
                      <w:szCs w:val="21"/>
                      <w:highlight w:val="none"/>
                      <w:lang w:eastAsia="zh-CN"/>
                    </w:rPr>
                    <w:t>洒水降尘</w:t>
                  </w:r>
                  <w:r>
                    <w:rPr>
                      <w:rFonts w:hint="eastAsia" w:eastAsia="仿宋" w:cs="Times New Roman"/>
                      <w:color w:val="FF0000"/>
                      <w:spacing w:val="0"/>
                      <w:sz w:val="21"/>
                      <w:szCs w:val="21"/>
                      <w:highlight w:val="none"/>
                      <w:lang w:eastAsia="zh-CN"/>
                    </w:rPr>
                    <w:t>（</w:t>
                  </w:r>
                  <w:r>
                    <w:rPr>
                      <w:rFonts w:hint="eastAsia" w:eastAsia="仿宋" w:cs="Times New Roman"/>
                      <w:color w:val="FF0000"/>
                      <w:spacing w:val="0"/>
                      <w:sz w:val="21"/>
                      <w:szCs w:val="21"/>
                      <w:highlight w:val="none"/>
                      <w:lang w:val="en-US" w:eastAsia="zh-CN"/>
                    </w:rPr>
                    <w:t>洒水车1台</w:t>
                  </w:r>
                  <w:r>
                    <w:rPr>
                      <w:rFonts w:hint="eastAsia" w:eastAsia="仿宋" w:cs="Times New Roman"/>
                      <w:color w:val="FF0000"/>
                      <w:spacing w:val="0"/>
                      <w:sz w:val="21"/>
                      <w:szCs w:val="21"/>
                      <w:highlight w:val="none"/>
                      <w:lang w:eastAsia="zh-CN"/>
                    </w:rPr>
                    <w:t>）、</w:t>
                  </w:r>
                  <w:r>
                    <w:rPr>
                      <w:rFonts w:hint="eastAsia" w:eastAsia="仿宋" w:cs="Times New Roman"/>
                      <w:color w:val="FF0000"/>
                      <w:spacing w:val="0"/>
                      <w:sz w:val="21"/>
                      <w:szCs w:val="21"/>
                      <w:highlight w:val="none"/>
                      <w:lang w:val="en-US" w:eastAsia="zh-CN"/>
                    </w:rPr>
                    <w:t>雾炮机4台</w:t>
                  </w:r>
                </w:p>
              </w:tc>
              <w:tc>
                <w:tcPr>
                  <w:tcW w:w="910" w:type="pct"/>
                  <w:tcBorders>
                    <w:tl2br w:val="nil"/>
                    <w:tr2bl w:val="nil"/>
                  </w:tcBorders>
                  <w:vAlign w:val="center"/>
                </w:tcPr>
                <w:p w14:paraId="20BA33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10.0</w:t>
                  </w:r>
                </w:p>
              </w:tc>
            </w:tr>
            <w:tr w14:paraId="50E396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00" w:hRule="atLeast"/>
                <w:jc w:val="center"/>
              </w:trPr>
              <w:tc>
                <w:tcPr>
                  <w:tcW w:w="482" w:type="pct"/>
                  <w:vMerge w:val="continue"/>
                  <w:tcBorders>
                    <w:tl2br w:val="nil"/>
                    <w:tr2bl w:val="nil"/>
                  </w:tcBorders>
                  <w:vAlign w:val="center"/>
                </w:tcPr>
                <w:p w14:paraId="26182F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372" w:type="pct"/>
                  <w:vMerge w:val="continue"/>
                  <w:tcBorders>
                    <w:tl2br w:val="nil"/>
                    <w:tr2bl w:val="nil"/>
                  </w:tcBorders>
                  <w:vAlign w:val="center"/>
                </w:tcPr>
                <w:p w14:paraId="24F71D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723" w:type="pct"/>
                  <w:tcBorders>
                    <w:tl2br w:val="nil"/>
                    <w:tr2bl w:val="nil"/>
                  </w:tcBorders>
                  <w:vAlign w:val="center"/>
                </w:tcPr>
                <w:p w14:paraId="6C1470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FF0000"/>
                      <w:spacing w:val="0"/>
                      <w:sz w:val="21"/>
                      <w:szCs w:val="21"/>
                      <w:highlight w:val="none"/>
                      <w:lang w:val="en-US" w:eastAsia="zh-CN"/>
                    </w:rPr>
                  </w:pPr>
                  <w:r>
                    <w:rPr>
                      <w:rFonts w:hint="eastAsia" w:eastAsia="仿宋" w:cs="Times New Roman"/>
                      <w:color w:val="FF0000"/>
                      <w:spacing w:val="0"/>
                      <w:sz w:val="21"/>
                      <w:szCs w:val="21"/>
                      <w:highlight w:val="none"/>
                      <w:lang w:val="en-US" w:eastAsia="zh-CN"/>
                    </w:rPr>
                    <w:t>排土场</w:t>
                  </w:r>
                </w:p>
              </w:tc>
              <w:tc>
                <w:tcPr>
                  <w:tcW w:w="2512" w:type="pct"/>
                  <w:tcBorders>
                    <w:tl2br w:val="nil"/>
                    <w:tr2bl w:val="nil"/>
                  </w:tcBorders>
                  <w:vAlign w:val="center"/>
                </w:tcPr>
                <w:p w14:paraId="1806D3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FF0000"/>
                      <w:spacing w:val="0"/>
                      <w:sz w:val="21"/>
                      <w:szCs w:val="21"/>
                      <w:highlight w:val="none"/>
                      <w:lang w:val="en-US" w:eastAsia="zh-CN"/>
                    </w:rPr>
                  </w:pPr>
                  <w:r>
                    <w:rPr>
                      <w:rFonts w:hint="default" w:ascii="Times New Roman" w:hAnsi="Times New Roman" w:eastAsia="仿宋" w:cs="Times New Roman"/>
                      <w:color w:val="FF0000"/>
                      <w:spacing w:val="0"/>
                      <w:sz w:val="21"/>
                      <w:szCs w:val="21"/>
                      <w:highlight w:val="none"/>
                      <w:lang w:val="en-US" w:eastAsia="zh-CN"/>
                    </w:rPr>
                    <w:t>防尘网</w:t>
                  </w:r>
                </w:p>
              </w:tc>
              <w:tc>
                <w:tcPr>
                  <w:tcW w:w="910" w:type="pct"/>
                  <w:tcBorders>
                    <w:tl2br w:val="nil"/>
                    <w:tr2bl w:val="nil"/>
                  </w:tcBorders>
                  <w:vAlign w:val="center"/>
                </w:tcPr>
                <w:p w14:paraId="6421D7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3.0</w:t>
                  </w:r>
                </w:p>
              </w:tc>
            </w:tr>
            <w:tr w14:paraId="7ACFB9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2" w:type="pct"/>
                  <w:vMerge w:val="continue"/>
                  <w:tcBorders>
                    <w:tl2br w:val="nil"/>
                    <w:tr2bl w:val="nil"/>
                  </w:tcBorders>
                  <w:vAlign w:val="center"/>
                </w:tcPr>
                <w:p w14:paraId="3EAB9D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372" w:type="pct"/>
                  <w:vMerge w:val="continue"/>
                  <w:tcBorders>
                    <w:tl2br w:val="nil"/>
                    <w:tr2bl w:val="nil"/>
                  </w:tcBorders>
                  <w:vAlign w:val="center"/>
                </w:tcPr>
                <w:p w14:paraId="438535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723" w:type="pct"/>
                  <w:tcBorders>
                    <w:tl2br w:val="nil"/>
                    <w:tr2bl w:val="nil"/>
                  </w:tcBorders>
                  <w:vAlign w:val="center"/>
                </w:tcPr>
                <w:p w14:paraId="5001C6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FF0000"/>
                      <w:spacing w:val="0"/>
                      <w:sz w:val="21"/>
                      <w:szCs w:val="21"/>
                      <w:highlight w:val="none"/>
                      <w:lang w:val="en-US" w:eastAsia="zh-CN"/>
                    </w:rPr>
                  </w:pPr>
                  <w:r>
                    <w:rPr>
                      <w:rFonts w:hint="eastAsia" w:eastAsia="仿宋"/>
                      <w:color w:val="FF0000"/>
                      <w:szCs w:val="21"/>
                      <w:lang w:val="en-US" w:eastAsia="zh-CN"/>
                    </w:rPr>
                    <w:t>石料生产线投料、破碎、</w:t>
                  </w:r>
                </w:p>
              </w:tc>
              <w:tc>
                <w:tcPr>
                  <w:tcW w:w="2512" w:type="pct"/>
                  <w:tcBorders>
                    <w:tl2br w:val="nil"/>
                    <w:tr2bl w:val="nil"/>
                  </w:tcBorders>
                  <w:vAlign w:val="center"/>
                </w:tcPr>
                <w:p w14:paraId="7B54C2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FF0000"/>
                      <w:spacing w:val="0"/>
                      <w:sz w:val="21"/>
                      <w:szCs w:val="21"/>
                      <w:highlight w:val="none"/>
                      <w:lang w:val="en-US" w:eastAsia="zh-CN"/>
                    </w:rPr>
                  </w:pPr>
                  <w:r>
                    <w:rPr>
                      <w:rFonts w:hint="eastAsia" w:eastAsia="仿宋"/>
                      <w:color w:val="FF0000"/>
                      <w:szCs w:val="21"/>
                      <w:lang w:val="en-US" w:eastAsia="zh-CN"/>
                    </w:rPr>
                    <w:t>集气罩4个+1个布袋除尘器+1根15m排气筒</w:t>
                  </w:r>
                </w:p>
              </w:tc>
              <w:tc>
                <w:tcPr>
                  <w:tcW w:w="910" w:type="pct"/>
                  <w:tcBorders>
                    <w:tl2br w:val="nil"/>
                    <w:tr2bl w:val="nil"/>
                  </w:tcBorders>
                  <w:vAlign w:val="center"/>
                </w:tcPr>
                <w:p w14:paraId="11F6E4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15.0</w:t>
                  </w:r>
                </w:p>
              </w:tc>
            </w:tr>
            <w:tr w14:paraId="4C18BB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2" w:type="pct"/>
                  <w:vMerge w:val="continue"/>
                  <w:tcBorders>
                    <w:tl2br w:val="nil"/>
                    <w:tr2bl w:val="nil"/>
                  </w:tcBorders>
                  <w:vAlign w:val="center"/>
                </w:tcPr>
                <w:p w14:paraId="506F62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372" w:type="pct"/>
                  <w:vMerge w:val="continue"/>
                  <w:tcBorders>
                    <w:tl2br w:val="nil"/>
                    <w:tr2bl w:val="nil"/>
                  </w:tcBorders>
                  <w:vAlign w:val="center"/>
                </w:tcPr>
                <w:p w14:paraId="60DCFC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723" w:type="pct"/>
                  <w:tcBorders>
                    <w:tl2br w:val="nil"/>
                    <w:tr2bl w:val="nil"/>
                  </w:tcBorders>
                  <w:vAlign w:val="center"/>
                </w:tcPr>
                <w:p w14:paraId="1CB588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仿宋"/>
                      <w:color w:val="FF0000"/>
                      <w:szCs w:val="21"/>
                      <w:lang w:val="en-US" w:eastAsia="zh-CN"/>
                    </w:rPr>
                  </w:pPr>
                  <w:r>
                    <w:rPr>
                      <w:rFonts w:hint="eastAsia" w:eastAsia="仿宋"/>
                      <w:color w:val="FF0000"/>
                      <w:szCs w:val="21"/>
                      <w:lang w:val="en-US" w:eastAsia="zh-CN"/>
                    </w:rPr>
                    <w:t>筛分</w:t>
                  </w:r>
                </w:p>
              </w:tc>
              <w:tc>
                <w:tcPr>
                  <w:tcW w:w="2512" w:type="pct"/>
                  <w:tcBorders>
                    <w:tl2br w:val="nil"/>
                    <w:tr2bl w:val="nil"/>
                  </w:tcBorders>
                  <w:vAlign w:val="center"/>
                </w:tcPr>
                <w:p w14:paraId="10044B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仿宋"/>
                      <w:color w:val="FF0000"/>
                      <w:szCs w:val="21"/>
                      <w:lang w:val="en-US" w:eastAsia="zh-CN"/>
                    </w:rPr>
                  </w:pPr>
                  <w:r>
                    <w:rPr>
                      <w:rFonts w:hint="eastAsia" w:eastAsia="仿宋"/>
                      <w:color w:val="FF0000"/>
                      <w:szCs w:val="21"/>
                      <w:lang w:val="en-US" w:eastAsia="zh-CN"/>
                    </w:rPr>
                    <w:t>集气罩3个+1个布袋除尘器+1根15m排气筒</w:t>
                  </w:r>
                </w:p>
              </w:tc>
              <w:tc>
                <w:tcPr>
                  <w:tcW w:w="910" w:type="pct"/>
                  <w:tcBorders>
                    <w:tl2br w:val="nil"/>
                    <w:tr2bl w:val="nil"/>
                  </w:tcBorders>
                  <w:vAlign w:val="center"/>
                </w:tcPr>
                <w:p w14:paraId="7F28F6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15.0</w:t>
                  </w:r>
                </w:p>
              </w:tc>
            </w:tr>
            <w:tr w14:paraId="45622F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2" w:type="pct"/>
                  <w:vMerge w:val="continue"/>
                  <w:tcBorders>
                    <w:tl2br w:val="nil"/>
                    <w:tr2bl w:val="nil"/>
                  </w:tcBorders>
                  <w:vAlign w:val="center"/>
                </w:tcPr>
                <w:p w14:paraId="4DA7D1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372" w:type="pct"/>
                  <w:vMerge w:val="continue"/>
                  <w:tcBorders>
                    <w:tl2br w:val="nil"/>
                    <w:tr2bl w:val="nil"/>
                  </w:tcBorders>
                  <w:vAlign w:val="center"/>
                </w:tcPr>
                <w:p w14:paraId="65F226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723" w:type="pct"/>
                  <w:tcBorders>
                    <w:tl2br w:val="nil"/>
                    <w:tr2bl w:val="nil"/>
                  </w:tcBorders>
                  <w:vAlign w:val="center"/>
                </w:tcPr>
                <w:p w14:paraId="4CFE26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仿宋"/>
                      <w:color w:val="FF0000"/>
                      <w:szCs w:val="21"/>
                      <w:lang w:val="en-US" w:eastAsia="zh-CN"/>
                    </w:rPr>
                  </w:pPr>
                  <w:r>
                    <w:rPr>
                      <w:rFonts w:hint="eastAsia" w:eastAsia="仿宋"/>
                      <w:color w:val="FF0000"/>
                      <w:szCs w:val="21"/>
                      <w:lang w:val="en-US" w:eastAsia="zh-CN"/>
                    </w:rPr>
                    <w:t>成品堆场</w:t>
                  </w:r>
                </w:p>
              </w:tc>
              <w:tc>
                <w:tcPr>
                  <w:tcW w:w="2512" w:type="pct"/>
                  <w:tcBorders>
                    <w:tl2br w:val="nil"/>
                    <w:tr2bl w:val="nil"/>
                  </w:tcBorders>
                  <w:vAlign w:val="center"/>
                </w:tcPr>
                <w:p w14:paraId="3D8E61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仿宋"/>
                      <w:color w:val="FF0000"/>
                      <w:szCs w:val="21"/>
                      <w:lang w:val="en-US" w:eastAsia="zh-CN"/>
                    </w:rPr>
                  </w:pPr>
                  <w:r>
                    <w:rPr>
                      <w:rFonts w:hint="eastAsia" w:eastAsia="仿宋" w:cs="Times New Roman"/>
                      <w:color w:val="FF0000"/>
                      <w:sz w:val="21"/>
                      <w:szCs w:val="21"/>
                      <w:highlight w:val="none"/>
                      <w:lang w:val="en-US" w:eastAsia="zh-CN"/>
                    </w:rPr>
                    <w:t>三面围挡（竖型防风网）+顶部苫盖</w:t>
                  </w:r>
                </w:p>
              </w:tc>
              <w:tc>
                <w:tcPr>
                  <w:tcW w:w="910" w:type="pct"/>
                  <w:tcBorders>
                    <w:tl2br w:val="nil"/>
                    <w:tr2bl w:val="nil"/>
                  </w:tcBorders>
                  <w:vAlign w:val="center"/>
                </w:tcPr>
                <w:p w14:paraId="575574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10.0</w:t>
                  </w:r>
                </w:p>
              </w:tc>
            </w:tr>
            <w:tr w14:paraId="760D2EB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2" w:type="pct"/>
                  <w:vMerge w:val="continue"/>
                  <w:tcBorders>
                    <w:tl2br w:val="nil"/>
                    <w:tr2bl w:val="nil"/>
                  </w:tcBorders>
                  <w:vAlign w:val="center"/>
                </w:tcPr>
                <w:p w14:paraId="6666A4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372" w:type="pct"/>
                  <w:tcBorders>
                    <w:tl2br w:val="nil"/>
                    <w:tr2bl w:val="nil"/>
                  </w:tcBorders>
                  <w:vAlign w:val="center"/>
                </w:tcPr>
                <w:p w14:paraId="1690F6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废水</w:t>
                  </w:r>
                </w:p>
              </w:tc>
              <w:tc>
                <w:tcPr>
                  <w:tcW w:w="723" w:type="pct"/>
                  <w:tcBorders>
                    <w:tl2br w:val="nil"/>
                    <w:tr2bl w:val="nil"/>
                  </w:tcBorders>
                  <w:vAlign w:val="center"/>
                </w:tcPr>
                <w:p w14:paraId="526391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仿宋"/>
                      <w:color w:val="FF0000"/>
                      <w:szCs w:val="21"/>
                      <w:lang w:val="en-US" w:eastAsia="zh-CN"/>
                    </w:rPr>
                  </w:pPr>
                  <w:r>
                    <w:rPr>
                      <w:rFonts w:hint="eastAsia" w:eastAsia="仿宋"/>
                      <w:color w:val="FF0000"/>
                      <w:szCs w:val="21"/>
                      <w:lang w:val="en-US" w:eastAsia="zh-CN"/>
                    </w:rPr>
                    <w:t>生活污水</w:t>
                  </w:r>
                </w:p>
              </w:tc>
              <w:tc>
                <w:tcPr>
                  <w:tcW w:w="2512" w:type="pct"/>
                  <w:tcBorders>
                    <w:tl2br w:val="nil"/>
                    <w:tr2bl w:val="nil"/>
                  </w:tcBorders>
                  <w:vAlign w:val="center"/>
                </w:tcPr>
                <w:p w14:paraId="208634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 w:cs="Times New Roman"/>
                      <w:color w:val="FF0000"/>
                      <w:kern w:val="0"/>
                      <w:sz w:val="21"/>
                      <w:szCs w:val="21"/>
                      <w:highlight w:val="none"/>
                      <w:lang w:val="en-US" w:eastAsia="zh-CN"/>
                    </w:rPr>
                  </w:pPr>
                  <w:r>
                    <w:rPr>
                      <w:rFonts w:hint="eastAsia" w:ascii="仿宋" w:hAnsi="仿宋" w:eastAsia="仿宋"/>
                      <w:color w:val="FF0000"/>
                    </w:rPr>
                    <w:t>环保型厕所</w:t>
                  </w:r>
                  <w:r>
                    <w:rPr>
                      <w:rFonts w:hint="eastAsia" w:eastAsia="仿宋"/>
                      <w:color w:val="FF0000"/>
                    </w:rPr>
                    <w:t>1</w:t>
                  </w:r>
                  <w:r>
                    <w:rPr>
                      <w:rFonts w:hint="eastAsia" w:ascii="仿宋" w:hAnsi="仿宋" w:eastAsia="仿宋"/>
                      <w:color w:val="FF0000"/>
                    </w:rPr>
                    <w:t>座</w:t>
                  </w:r>
                </w:p>
              </w:tc>
              <w:tc>
                <w:tcPr>
                  <w:tcW w:w="910" w:type="pct"/>
                  <w:tcBorders>
                    <w:tl2br w:val="nil"/>
                    <w:tr2bl w:val="nil"/>
                  </w:tcBorders>
                  <w:vAlign w:val="center"/>
                </w:tcPr>
                <w:p w14:paraId="20E33C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利用施工期</w:t>
                  </w:r>
                </w:p>
              </w:tc>
            </w:tr>
            <w:tr w14:paraId="2455DA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2" w:type="pct"/>
                  <w:vMerge w:val="continue"/>
                  <w:tcBorders>
                    <w:tl2br w:val="nil"/>
                    <w:tr2bl w:val="nil"/>
                  </w:tcBorders>
                  <w:vAlign w:val="center"/>
                </w:tcPr>
                <w:p w14:paraId="15F178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372" w:type="pct"/>
                  <w:vMerge w:val="restart"/>
                  <w:tcBorders>
                    <w:tl2br w:val="nil"/>
                    <w:tr2bl w:val="nil"/>
                  </w:tcBorders>
                  <w:vAlign w:val="center"/>
                </w:tcPr>
                <w:p w14:paraId="754EF5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噪声</w:t>
                  </w:r>
                </w:p>
              </w:tc>
              <w:tc>
                <w:tcPr>
                  <w:tcW w:w="723" w:type="pct"/>
                  <w:tcBorders>
                    <w:tl2br w:val="nil"/>
                    <w:tr2bl w:val="nil"/>
                  </w:tcBorders>
                  <w:vAlign w:val="center"/>
                </w:tcPr>
                <w:p w14:paraId="486497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FF0000"/>
                      <w:spacing w:val="0"/>
                      <w:sz w:val="21"/>
                      <w:szCs w:val="21"/>
                      <w:highlight w:val="none"/>
                      <w:lang w:val="en-US" w:eastAsia="zh-CN"/>
                    </w:rPr>
                  </w:pPr>
                  <w:r>
                    <w:rPr>
                      <w:rFonts w:hint="default" w:ascii="Times New Roman" w:hAnsi="Times New Roman" w:eastAsia="仿宋" w:cs="Times New Roman"/>
                      <w:color w:val="FF0000"/>
                      <w:spacing w:val="0"/>
                      <w:sz w:val="21"/>
                      <w:szCs w:val="21"/>
                      <w:highlight w:val="none"/>
                      <w:lang w:val="en-US" w:eastAsia="zh-CN"/>
                    </w:rPr>
                    <w:t>机械噪声</w:t>
                  </w:r>
                </w:p>
              </w:tc>
              <w:tc>
                <w:tcPr>
                  <w:tcW w:w="2512" w:type="pct"/>
                  <w:tcBorders>
                    <w:tl2br w:val="nil"/>
                    <w:tr2bl w:val="nil"/>
                  </w:tcBorders>
                  <w:vAlign w:val="center"/>
                </w:tcPr>
                <w:p w14:paraId="2B727F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FF0000"/>
                      <w:spacing w:val="0"/>
                      <w:sz w:val="21"/>
                      <w:szCs w:val="21"/>
                      <w:highlight w:val="none"/>
                      <w:lang w:eastAsia="zh-CN"/>
                    </w:rPr>
                  </w:pPr>
                  <w:r>
                    <w:rPr>
                      <w:rFonts w:hint="default" w:ascii="Times New Roman" w:hAnsi="Times New Roman" w:eastAsia="仿宋" w:cs="Times New Roman"/>
                      <w:color w:val="FF0000"/>
                      <w:spacing w:val="0"/>
                      <w:sz w:val="21"/>
                      <w:szCs w:val="21"/>
                      <w:highlight w:val="none"/>
                      <w:lang w:val="en-US" w:eastAsia="zh-CN"/>
                    </w:rPr>
                    <w:t>基础减振、</w:t>
                  </w:r>
                  <w:r>
                    <w:rPr>
                      <w:rFonts w:hint="eastAsia" w:eastAsia="仿宋" w:cs="Times New Roman"/>
                      <w:color w:val="FF0000"/>
                      <w:spacing w:val="0"/>
                      <w:sz w:val="21"/>
                      <w:szCs w:val="21"/>
                      <w:highlight w:val="none"/>
                      <w:lang w:val="en-US" w:eastAsia="zh-CN"/>
                    </w:rPr>
                    <w:t>建筑隔声</w:t>
                  </w:r>
                </w:p>
              </w:tc>
              <w:tc>
                <w:tcPr>
                  <w:tcW w:w="910" w:type="pct"/>
                  <w:vMerge w:val="restart"/>
                  <w:tcBorders>
                    <w:tl2br w:val="nil"/>
                    <w:tr2bl w:val="nil"/>
                  </w:tcBorders>
                  <w:vAlign w:val="center"/>
                </w:tcPr>
                <w:p w14:paraId="050CA4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1.5</w:t>
                  </w:r>
                </w:p>
              </w:tc>
            </w:tr>
            <w:tr w14:paraId="65ACB0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82" w:type="pct"/>
                  <w:vMerge w:val="continue"/>
                  <w:tcBorders>
                    <w:tl2br w:val="nil"/>
                    <w:tr2bl w:val="nil"/>
                  </w:tcBorders>
                  <w:vAlign w:val="center"/>
                </w:tcPr>
                <w:p w14:paraId="401D8D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372" w:type="pct"/>
                  <w:vMerge w:val="continue"/>
                  <w:tcBorders>
                    <w:tl2br w:val="nil"/>
                    <w:tr2bl w:val="nil"/>
                  </w:tcBorders>
                  <w:vAlign w:val="center"/>
                </w:tcPr>
                <w:p w14:paraId="2FAFBC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723" w:type="pct"/>
                  <w:tcBorders>
                    <w:tl2br w:val="nil"/>
                    <w:tr2bl w:val="nil"/>
                  </w:tcBorders>
                  <w:vAlign w:val="center"/>
                </w:tcPr>
                <w:p w14:paraId="41CF67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FF0000"/>
                      <w:spacing w:val="0"/>
                      <w:sz w:val="21"/>
                      <w:szCs w:val="21"/>
                      <w:highlight w:val="none"/>
                      <w:lang w:val="en-US" w:eastAsia="zh-CN"/>
                    </w:rPr>
                  </w:pPr>
                  <w:r>
                    <w:rPr>
                      <w:rFonts w:hint="default" w:ascii="Times New Roman" w:hAnsi="Times New Roman" w:eastAsia="仿宋" w:cs="Times New Roman"/>
                      <w:color w:val="FF0000"/>
                      <w:spacing w:val="0"/>
                      <w:sz w:val="21"/>
                      <w:szCs w:val="21"/>
                      <w:highlight w:val="none"/>
                    </w:rPr>
                    <w:t>运输噪声</w:t>
                  </w:r>
                </w:p>
              </w:tc>
              <w:tc>
                <w:tcPr>
                  <w:tcW w:w="2512" w:type="pct"/>
                  <w:tcBorders>
                    <w:tl2br w:val="nil"/>
                    <w:tr2bl w:val="nil"/>
                  </w:tcBorders>
                  <w:vAlign w:val="center"/>
                </w:tcPr>
                <w:p w14:paraId="4C2048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FF0000"/>
                      <w:spacing w:val="0"/>
                      <w:sz w:val="21"/>
                      <w:szCs w:val="21"/>
                      <w:highlight w:val="none"/>
                      <w:lang w:eastAsia="zh-CN"/>
                    </w:rPr>
                  </w:pPr>
                  <w:r>
                    <w:rPr>
                      <w:rFonts w:hint="default" w:ascii="Times New Roman" w:hAnsi="Times New Roman" w:eastAsia="仿宋" w:cs="Times New Roman"/>
                      <w:color w:val="FF0000"/>
                      <w:spacing w:val="0"/>
                      <w:sz w:val="21"/>
                      <w:szCs w:val="21"/>
                      <w:highlight w:val="none"/>
                    </w:rPr>
                    <w:t>加强管理</w:t>
                  </w:r>
                </w:p>
              </w:tc>
              <w:tc>
                <w:tcPr>
                  <w:tcW w:w="910" w:type="pct"/>
                  <w:vMerge w:val="continue"/>
                  <w:tcBorders>
                    <w:tl2br w:val="nil"/>
                    <w:tr2bl w:val="nil"/>
                  </w:tcBorders>
                  <w:vAlign w:val="center"/>
                </w:tcPr>
                <w:p w14:paraId="7492FD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r>
            <w:tr w14:paraId="548037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482" w:type="pct"/>
                  <w:vMerge w:val="continue"/>
                  <w:tcBorders>
                    <w:tl2br w:val="nil"/>
                    <w:tr2bl w:val="nil"/>
                  </w:tcBorders>
                  <w:vAlign w:val="center"/>
                </w:tcPr>
                <w:p w14:paraId="176A71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372" w:type="pct"/>
                  <w:tcBorders>
                    <w:tl2br w:val="nil"/>
                    <w:tr2bl w:val="nil"/>
                  </w:tcBorders>
                  <w:vAlign w:val="center"/>
                </w:tcPr>
                <w:p w14:paraId="5C9CA3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eastAsia="zh-CN"/>
                    </w:rPr>
                    <w:t>固废</w:t>
                  </w:r>
                </w:p>
              </w:tc>
              <w:tc>
                <w:tcPr>
                  <w:tcW w:w="723" w:type="pct"/>
                  <w:tcBorders>
                    <w:bottom w:val="single" w:color="auto" w:sz="4" w:space="0"/>
                    <w:tl2br w:val="nil"/>
                    <w:tr2bl w:val="nil"/>
                  </w:tcBorders>
                  <w:shd w:val="clear" w:color="auto" w:fill="auto"/>
                  <w:vAlign w:val="center"/>
                </w:tcPr>
                <w:p w14:paraId="36C223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FF0000"/>
                      <w:spacing w:val="0"/>
                      <w:kern w:val="2"/>
                      <w:sz w:val="21"/>
                      <w:szCs w:val="21"/>
                      <w:highlight w:val="none"/>
                      <w:lang w:val="en-US" w:eastAsia="zh-CN" w:bidi="ar-SA"/>
                    </w:rPr>
                  </w:pPr>
                  <w:r>
                    <w:rPr>
                      <w:rFonts w:hint="eastAsia" w:eastAsia="仿宋"/>
                      <w:color w:val="FF0000"/>
                      <w:szCs w:val="21"/>
                      <w:lang w:val="en-US" w:eastAsia="zh-CN"/>
                    </w:rPr>
                    <w:t>危废贮存点</w:t>
                  </w:r>
                </w:p>
              </w:tc>
              <w:tc>
                <w:tcPr>
                  <w:tcW w:w="2512" w:type="pct"/>
                  <w:tcBorders>
                    <w:bottom w:val="single" w:color="auto" w:sz="4" w:space="0"/>
                    <w:tl2br w:val="nil"/>
                    <w:tr2bl w:val="nil"/>
                  </w:tcBorders>
                  <w:shd w:val="clear" w:color="auto" w:fill="auto"/>
                  <w:vAlign w:val="center"/>
                </w:tcPr>
                <w:p w14:paraId="306E6C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 w:val="0"/>
                      <w:bCs w:val="0"/>
                      <w:color w:val="FF0000"/>
                      <w:kern w:val="2"/>
                      <w:sz w:val="21"/>
                      <w:szCs w:val="21"/>
                      <w:highlight w:val="none"/>
                      <w:vertAlign w:val="baseline"/>
                      <w:lang w:val="en-US" w:eastAsia="zh-CN" w:bidi="ar-SA"/>
                    </w:rPr>
                  </w:pPr>
                  <w:r>
                    <w:rPr>
                      <w:rFonts w:hint="eastAsia" w:eastAsia="仿宋"/>
                      <w:color w:val="FF0000"/>
                      <w:szCs w:val="21"/>
                      <w:lang w:val="en-US" w:eastAsia="zh-CN"/>
                    </w:rPr>
                    <w:t>1个危废贮存点5</w:t>
                  </w:r>
                  <w:r>
                    <w:rPr>
                      <w:rFonts w:hint="eastAsia" w:eastAsia="仿宋"/>
                      <w:color w:val="FF0000"/>
                      <w:szCs w:val="21"/>
                    </w:rPr>
                    <w:t>m</w:t>
                  </w:r>
                  <w:r>
                    <w:rPr>
                      <w:rFonts w:eastAsia="仿宋"/>
                      <w:color w:val="FF0000"/>
                      <w:szCs w:val="21"/>
                      <w:vertAlign w:val="superscript"/>
                    </w:rPr>
                    <w:t>2</w:t>
                  </w:r>
                  <w:r>
                    <w:rPr>
                      <w:rFonts w:hint="eastAsia" w:eastAsia="仿宋"/>
                      <w:color w:val="FF0000"/>
                      <w:szCs w:val="21"/>
                    </w:rPr>
                    <w:t>（防渗）</w:t>
                  </w:r>
                </w:p>
              </w:tc>
              <w:tc>
                <w:tcPr>
                  <w:tcW w:w="910" w:type="pct"/>
                  <w:tcBorders>
                    <w:bottom w:val="single" w:color="auto" w:sz="4" w:space="0"/>
                    <w:tl2br w:val="nil"/>
                    <w:tr2bl w:val="nil"/>
                  </w:tcBorders>
                  <w:vAlign w:val="center"/>
                </w:tcPr>
                <w:p w14:paraId="6949B6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1.0</w:t>
                  </w:r>
                </w:p>
              </w:tc>
            </w:tr>
            <w:tr w14:paraId="1E72200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77" w:type="pct"/>
                  <w:gridSpan w:val="3"/>
                  <w:tcBorders>
                    <w:tl2br w:val="nil"/>
                    <w:tr2bl w:val="nil"/>
                  </w:tcBorders>
                  <w:vAlign w:val="center"/>
                </w:tcPr>
                <w:p w14:paraId="4B12B4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生态恢复治理</w:t>
                  </w:r>
                </w:p>
              </w:tc>
              <w:tc>
                <w:tcPr>
                  <w:tcW w:w="2512" w:type="pct"/>
                  <w:tcBorders>
                    <w:tl2br w:val="nil"/>
                    <w:tr2bl w:val="nil"/>
                  </w:tcBorders>
                  <w:vAlign w:val="center"/>
                </w:tcPr>
                <w:p w14:paraId="3EE086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color w:val="FF0000"/>
                      <w:kern w:val="2"/>
                      <w:sz w:val="21"/>
                      <w:szCs w:val="21"/>
                      <w:highlight w:val="none"/>
                      <w:lang w:val="en-US" w:eastAsia="zh-CN"/>
                    </w:rPr>
                    <w:t>露天采场安全平台、清扫平台和采坑坑底实施平整；按照“因地制宜”的原则，采用人工植被恢复+自然恢复；</w:t>
                  </w:r>
                  <w:r>
                    <w:rPr>
                      <w:rFonts w:hint="eastAsia" w:eastAsia="仿宋" w:cs="Times New Roman"/>
                      <w:color w:val="FF0000"/>
                      <w:kern w:val="2"/>
                      <w:sz w:val="21"/>
                      <w:szCs w:val="21"/>
                      <w:highlight w:val="none"/>
                      <w:lang w:val="en-US" w:eastAsia="zh-CN"/>
                    </w:rPr>
                    <w:t>排土场内表土用于生态恢复后，</w:t>
                  </w:r>
                  <w:r>
                    <w:rPr>
                      <w:rFonts w:hint="default" w:ascii="Times New Roman" w:hAnsi="Times New Roman" w:eastAsia="仿宋" w:cs="Times New Roman"/>
                      <w:color w:val="FF0000"/>
                      <w:kern w:val="2"/>
                      <w:sz w:val="21"/>
                      <w:szCs w:val="21"/>
                      <w:highlight w:val="none"/>
                      <w:lang w:val="en-US" w:eastAsia="zh-CN"/>
                    </w:rPr>
                    <w:t>采用人工植被恢复+自然恢复</w:t>
                  </w:r>
                  <w:r>
                    <w:rPr>
                      <w:rFonts w:hint="eastAsia" w:eastAsia="仿宋" w:cs="Times New Roman"/>
                      <w:color w:val="FF0000"/>
                      <w:kern w:val="2"/>
                      <w:sz w:val="21"/>
                      <w:szCs w:val="21"/>
                      <w:highlight w:val="none"/>
                      <w:lang w:val="en-US" w:eastAsia="zh-CN"/>
                    </w:rPr>
                    <w:t>恢复排土场生态、拆除建筑物等</w:t>
                  </w:r>
                </w:p>
              </w:tc>
              <w:tc>
                <w:tcPr>
                  <w:tcW w:w="910" w:type="pct"/>
                  <w:tcBorders>
                    <w:tl2br w:val="nil"/>
                    <w:tr2bl w:val="nil"/>
                  </w:tcBorders>
                  <w:vAlign w:val="center"/>
                </w:tcPr>
                <w:p w14:paraId="150D67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211.54</w:t>
                  </w:r>
                </w:p>
              </w:tc>
            </w:tr>
            <w:tr w14:paraId="3996E6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89" w:type="pct"/>
                  <w:gridSpan w:val="4"/>
                  <w:tcBorders>
                    <w:tl2br w:val="nil"/>
                    <w:tr2bl w:val="nil"/>
                  </w:tcBorders>
                  <w:vAlign w:val="center"/>
                </w:tcPr>
                <w:p w14:paraId="090665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合计</w:t>
                  </w:r>
                </w:p>
              </w:tc>
              <w:tc>
                <w:tcPr>
                  <w:tcW w:w="910" w:type="pct"/>
                  <w:tcBorders>
                    <w:tl2br w:val="nil"/>
                    <w:tr2bl w:val="nil"/>
                  </w:tcBorders>
                  <w:vAlign w:val="center"/>
                </w:tcPr>
                <w:p w14:paraId="59D7CF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271.04</w:t>
                  </w:r>
                </w:p>
              </w:tc>
            </w:tr>
          </w:tbl>
          <w:p w14:paraId="14DEECA2">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
                <w:bCs/>
                <w:color w:val="000000" w:themeColor="text1"/>
                <w:szCs w:val="21"/>
                <w:lang w:val="en-US" w:eastAsia="zh-CN"/>
                <w14:textFill>
                  <w14:solidFill>
                    <w14:schemeClr w14:val="tx1"/>
                  </w14:solidFill>
                </w14:textFill>
              </w:rPr>
            </w:pPr>
          </w:p>
          <w:p w14:paraId="12744B62">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
                <w:bCs/>
                <w:color w:val="000000" w:themeColor="text1"/>
                <w:szCs w:val="21"/>
                <w:lang w:val="en-US" w:eastAsia="zh-CN"/>
                <w14:textFill>
                  <w14:solidFill>
                    <w14:schemeClr w14:val="tx1"/>
                  </w14:solidFill>
                </w14:textFill>
              </w:rPr>
            </w:pPr>
          </w:p>
          <w:p w14:paraId="677C3A86">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
                <w:bCs/>
                <w:color w:val="000000" w:themeColor="text1"/>
                <w:szCs w:val="21"/>
                <w:lang w:val="en-US" w:eastAsia="zh-CN"/>
                <w14:textFill>
                  <w14:solidFill>
                    <w14:schemeClr w14:val="tx1"/>
                  </w14:solidFill>
                </w14:textFill>
              </w:rPr>
            </w:pPr>
          </w:p>
          <w:p w14:paraId="362195C0">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
                <w:bCs/>
                <w:color w:val="000000" w:themeColor="text1"/>
                <w:szCs w:val="21"/>
                <w:lang w:val="en-US" w:eastAsia="zh-CN"/>
                <w14:textFill>
                  <w14:solidFill>
                    <w14:schemeClr w14:val="tx1"/>
                  </w14:solidFill>
                </w14:textFill>
              </w:rPr>
            </w:pPr>
          </w:p>
          <w:p w14:paraId="32BA1C7F">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
                <w:bCs/>
                <w:color w:val="000000" w:themeColor="text1"/>
                <w:szCs w:val="21"/>
                <w:lang w:val="en-US" w:eastAsia="zh-CN"/>
                <w14:textFill>
                  <w14:solidFill>
                    <w14:schemeClr w14:val="tx1"/>
                  </w14:solidFill>
                </w14:textFill>
              </w:rPr>
            </w:pPr>
          </w:p>
          <w:p w14:paraId="2A6A8EC7">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
                <w:bCs/>
                <w:color w:val="000000" w:themeColor="text1"/>
                <w:szCs w:val="21"/>
                <w:lang w:val="en-US" w:eastAsia="zh-CN"/>
                <w14:textFill>
                  <w14:solidFill>
                    <w14:schemeClr w14:val="tx1"/>
                  </w14:solidFill>
                </w14:textFill>
              </w:rPr>
            </w:pPr>
          </w:p>
          <w:p w14:paraId="2ACCD2BB">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
                <w:bCs/>
                <w:color w:val="000000" w:themeColor="text1"/>
                <w:szCs w:val="21"/>
                <w:lang w:val="en-US" w:eastAsia="zh-CN"/>
                <w14:textFill>
                  <w14:solidFill>
                    <w14:schemeClr w14:val="tx1"/>
                  </w14:solidFill>
                </w14:textFill>
              </w:rPr>
            </w:pPr>
          </w:p>
          <w:p w14:paraId="0618F8F4">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
                <w:bCs/>
                <w:color w:val="000000" w:themeColor="text1"/>
                <w:szCs w:val="21"/>
                <w:lang w:val="en-US" w:eastAsia="zh-CN"/>
                <w14:textFill>
                  <w14:solidFill>
                    <w14:schemeClr w14:val="tx1"/>
                  </w14:solidFill>
                </w14:textFill>
              </w:rPr>
            </w:pPr>
          </w:p>
          <w:p w14:paraId="2E936F23">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
                <w:bCs/>
                <w:color w:val="000000" w:themeColor="text1"/>
                <w:szCs w:val="21"/>
                <w:lang w:val="en-US" w:eastAsia="zh-CN"/>
                <w14:textFill>
                  <w14:solidFill>
                    <w14:schemeClr w14:val="tx1"/>
                  </w14:solidFill>
                </w14:textFill>
              </w:rPr>
            </w:pPr>
          </w:p>
          <w:p w14:paraId="15EE1717">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
                <w:bCs/>
                <w:color w:val="000000" w:themeColor="text1"/>
                <w:szCs w:val="21"/>
                <w:lang w:val="en-US" w:eastAsia="zh-CN"/>
                <w14:textFill>
                  <w14:solidFill>
                    <w14:schemeClr w14:val="tx1"/>
                  </w14:solidFill>
                </w14:textFill>
              </w:rPr>
            </w:pPr>
          </w:p>
          <w:p w14:paraId="1034948C">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
                <w:bCs/>
                <w:color w:val="000000" w:themeColor="text1"/>
                <w:szCs w:val="21"/>
                <w:lang w:val="en-US" w:eastAsia="zh-CN"/>
                <w14:textFill>
                  <w14:solidFill>
                    <w14:schemeClr w14:val="tx1"/>
                  </w14:solidFill>
                </w14:textFill>
              </w:rPr>
            </w:pPr>
          </w:p>
          <w:p w14:paraId="5A9E825C">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仿宋" w:cs="Times New Roman"/>
                <w:b/>
                <w:bCs/>
                <w:color w:val="FF0000"/>
                <w:szCs w:val="21"/>
                <w:lang w:eastAsia="zh-CN"/>
              </w:rPr>
            </w:pPr>
            <w:r>
              <w:rPr>
                <w:rFonts w:hint="eastAsia" w:ascii="Times New Roman" w:hAnsi="Times New Roman" w:eastAsia="仿宋" w:cs="Times New Roman"/>
                <w:b/>
                <w:bCs/>
                <w:color w:val="FF0000"/>
                <w:szCs w:val="21"/>
                <w:lang w:val="en-US" w:eastAsia="zh-CN"/>
              </w:rPr>
              <w:t>表</w:t>
            </w:r>
            <w:r>
              <w:rPr>
                <w:rFonts w:hint="eastAsia" w:eastAsia="仿宋" w:cs="Times New Roman"/>
                <w:b/>
                <w:bCs/>
                <w:color w:val="FF0000"/>
                <w:szCs w:val="21"/>
                <w:lang w:val="en-US" w:eastAsia="zh-CN"/>
              </w:rPr>
              <w:t>56</w:t>
            </w:r>
            <w:r>
              <w:rPr>
                <w:rFonts w:hint="eastAsia" w:ascii="Times New Roman" w:hAnsi="Times New Roman" w:eastAsia="仿宋" w:cs="Times New Roman"/>
                <w:b/>
                <w:bCs/>
                <w:color w:val="FF0000"/>
                <w:szCs w:val="21"/>
                <w:lang w:val="en-US" w:eastAsia="zh-CN"/>
              </w:rPr>
              <w:t xml:space="preserve">  </w:t>
            </w:r>
            <w:r>
              <w:rPr>
                <w:rFonts w:hint="eastAsia" w:ascii="Times New Roman" w:hAnsi="Times New Roman" w:eastAsia="仿宋" w:cs="Times New Roman"/>
                <w:b/>
                <w:bCs/>
                <w:color w:val="FF0000"/>
                <w:szCs w:val="21"/>
                <w:lang w:eastAsia="zh-CN"/>
              </w:rPr>
              <w:t>“</w:t>
            </w:r>
            <w:r>
              <w:rPr>
                <w:rFonts w:hint="eastAsia" w:ascii="Times New Roman" w:hAnsi="Times New Roman" w:eastAsia="仿宋" w:cs="Times New Roman"/>
                <w:b/>
                <w:bCs/>
                <w:color w:val="FF0000"/>
                <w:szCs w:val="21"/>
                <w:lang w:val="en-US" w:eastAsia="zh-CN"/>
              </w:rPr>
              <w:t>三本账</w:t>
            </w:r>
            <w:r>
              <w:rPr>
                <w:rFonts w:hint="eastAsia" w:ascii="Times New Roman" w:hAnsi="Times New Roman" w:eastAsia="仿宋" w:cs="Times New Roman"/>
                <w:b/>
                <w:bCs/>
                <w:color w:val="FF0000"/>
                <w:szCs w:val="21"/>
                <w:lang w:eastAsia="zh-CN"/>
              </w:rPr>
              <w:t>”</w:t>
            </w:r>
          </w:p>
          <w:tbl>
            <w:tblPr>
              <w:tblStyle w:val="23"/>
              <w:tblW w:w="7595"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485"/>
              <w:gridCol w:w="694"/>
              <w:gridCol w:w="1149"/>
              <w:gridCol w:w="336"/>
              <w:gridCol w:w="550"/>
              <w:gridCol w:w="1239"/>
              <w:gridCol w:w="554"/>
              <w:gridCol w:w="1239"/>
              <w:gridCol w:w="1349"/>
            </w:tblGrid>
            <w:tr w14:paraId="6F1328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502" w:type="dxa"/>
                  <w:tcBorders>
                    <w:tl2br w:val="nil"/>
                    <w:tr2bl w:val="nil"/>
                  </w:tcBorders>
                  <w:tcMar>
                    <w:left w:w="28" w:type="dxa"/>
                    <w:right w:w="28" w:type="dxa"/>
                  </w:tcMar>
                  <w:vAlign w:val="center"/>
                </w:tcPr>
                <w:p w14:paraId="0791FD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项目</w:t>
                  </w:r>
                </w:p>
                <w:p w14:paraId="74FFE8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分类</w:t>
                  </w:r>
                </w:p>
              </w:tc>
              <w:tc>
                <w:tcPr>
                  <w:tcW w:w="710" w:type="dxa"/>
                  <w:tcBorders>
                    <w:tl2br w:val="nil"/>
                    <w:tr2bl w:val="nil"/>
                  </w:tcBorders>
                  <w:tcMar>
                    <w:left w:w="28" w:type="dxa"/>
                    <w:right w:w="28" w:type="dxa"/>
                  </w:tcMar>
                  <w:vAlign w:val="center"/>
                </w:tcPr>
                <w:p w14:paraId="4A0CD7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污染物名称</w:t>
                  </w:r>
                </w:p>
              </w:tc>
              <w:tc>
                <w:tcPr>
                  <w:tcW w:w="1156" w:type="dxa"/>
                  <w:tcBorders>
                    <w:tl2br w:val="nil"/>
                    <w:tr2bl w:val="nil"/>
                  </w:tcBorders>
                  <w:tcMar>
                    <w:left w:w="28" w:type="dxa"/>
                    <w:right w:w="28" w:type="dxa"/>
                  </w:tcMar>
                  <w:vAlign w:val="center"/>
                </w:tcPr>
                <w:p w14:paraId="4BBE36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现有工程</w:t>
                  </w:r>
                </w:p>
                <w:p w14:paraId="7711FC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排放量（固体废物产生量）</w:t>
                  </w:r>
                  <w:r>
                    <w:rPr>
                      <w:rFonts w:hint="default" w:ascii="Times New Roman" w:hAnsi="Times New Roman" w:eastAsia="仿宋" w:cs="Times New Roman"/>
                      <w:bCs/>
                      <w:color w:val="FF0000"/>
                      <w:spacing w:val="0"/>
                      <w:sz w:val="21"/>
                      <w:szCs w:val="21"/>
                      <w:highlight w:val="none"/>
                      <w:lang w:val="en-US" w:eastAsia="zh-CN"/>
                    </w:rPr>
                    <w:fldChar w:fldCharType="begin"/>
                  </w:r>
                  <w:r>
                    <w:rPr>
                      <w:rFonts w:hint="default" w:ascii="Times New Roman" w:hAnsi="Times New Roman" w:eastAsia="仿宋" w:cs="Times New Roman"/>
                      <w:bCs/>
                      <w:color w:val="FF0000"/>
                      <w:spacing w:val="0"/>
                      <w:sz w:val="21"/>
                      <w:szCs w:val="21"/>
                      <w:highlight w:val="none"/>
                      <w:lang w:val="en-US" w:eastAsia="zh-CN"/>
                    </w:rPr>
                    <w:instrText xml:space="preserve"> = 1 \* GB3 \* MERGEFORMAT </w:instrText>
                  </w:r>
                  <w:r>
                    <w:rPr>
                      <w:rFonts w:hint="default" w:ascii="Times New Roman" w:hAnsi="Times New Roman" w:eastAsia="仿宋" w:cs="Times New Roman"/>
                      <w:bCs/>
                      <w:color w:val="FF0000"/>
                      <w:spacing w:val="0"/>
                      <w:sz w:val="21"/>
                      <w:szCs w:val="21"/>
                      <w:highlight w:val="none"/>
                      <w:lang w:val="en-US" w:eastAsia="zh-CN"/>
                    </w:rPr>
                    <w:fldChar w:fldCharType="separate"/>
                  </w:r>
                  <w:r>
                    <w:rPr>
                      <w:rFonts w:hint="default" w:ascii="Times New Roman" w:hAnsi="Times New Roman" w:eastAsia="仿宋" w:cs="Times New Roman"/>
                      <w:bCs/>
                      <w:color w:val="FF0000"/>
                      <w:spacing w:val="0"/>
                      <w:sz w:val="21"/>
                      <w:szCs w:val="21"/>
                      <w:highlight w:val="none"/>
                      <w:lang w:val="en-US" w:eastAsia="zh-CN"/>
                    </w:rPr>
                    <w:t>①</w:t>
                  </w:r>
                  <w:r>
                    <w:rPr>
                      <w:rFonts w:hint="default" w:ascii="Times New Roman" w:hAnsi="Times New Roman" w:eastAsia="仿宋" w:cs="Times New Roman"/>
                      <w:bCs/>
                      <w:color w:val="FF0000"/>
                      <w:spacing w:val="0"/>
                      <w:sz w:val="21"/>
                      <w:szCs w:val="21"/>
                      <w:highlight w:val="none"/>
                      <w:lang w:val="en-US" w:eastAsia="zh-CN"/>
                    </w:rPr>
                    <w:fldChar w:fldCharType="end"/>
                  </w:r>
                </w:p>
              </w:tc>
              <w:tc>
                <w:tcPr>
                  <w:tcW w:w="353" w:type="dxa"/>
                  <w:tcBorders>
                    <w:tl2br w:val="nil"/>
                    <w:tr2bl w:val="nil"/>
                  </w:tcBorders>
                  <w:tcMar>
                    <w:left w:w="28" w:type="dxa"/>
                    <w:right w:w="28" w:type="dxa"/>
                  </w:tcMar>
                  <w:vAlign w:val="center"/>
                </w:tcPr>
                <w:p w14:paraId="26A71B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现有工程</w:t>
                  </w:r>
                </w:p>
                <w:p w14:paraId="3995CF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许可排放量</w:t>
                  </w:r>
                </w:p>
                <w:p w14:paraId="53D0C6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fldChar w:fldCharType="begin"/>
                  </w:r>
                  <w:r>
                    <w:rPr>
                      <w:rFonts w:hint="default" w:ascii="Times New Roman" w:hAnsi="Times New Roman" w:eastAsia="仿宋" w:cs="Times New Roman"/>
                      <w:bCs/>
                      <w:color w:val="FF0000"/>
                      <w:spacing w:val="0"/>
                      <w:sz w:val="21"/>
                      <w:szCs w:val="21"/>
                      <w:highlight w:val="none"/>
                      <w:lang w:val="en-US" w:eastAsia="zh-CN"/>
                    </w:rPr>
                    <w:instrText xml:space="preserve"> = 2 \* GB3 \* MERGEFORMAT </w:instrText>
                  </w:r>
                  <w:r>
                    <w:rPr>
                      <w:rFonts w:hint="default" w:ascii="Times New Roman" w:hAnsi="Times New Roman" w:eastAsia="仿宋" w:cs="Times New Roman"/>
                      <w:bCs/>
                      <w:color w:val="FF0000"/>
                      <w:spacing w:val="0"/>
                      <w:sz w:val="21"/>
                      <w:szCs w:val="21"/>
                      <w:highlight w:val="none"/>
                      <w:lang w:val="en-US" w:eastAsia="zh-CN"/>
                    </w:rPr>
                    <w:fldChar w:fldCharType="separate"/>
                  </w:r>
                  <w:r>
                    <w:rPr>
                      <w:rFonts w:hint="default" w:ascii="Times New Roman" w:hAnsi="Times New Roman" w:eastAsia="仿宋" w:cs="Times New Roman"/>
                      <w:bCs/>
                      <w:color w:val="FF0000"/>
                      <w:spacing w:val="0"/>
                      <w:sz w:val="21"/>
                      <w:szCs w:val="21"/>
                      <w:highlight w:val="none"/>
                      <w:lang w:val="en-US" w:eastAsia="zh-CN"/>
                    </w:rPr>
                    <w:t>②</w:t>
                  </w:r>
                  <w:r>
                    <w:rPr>
                      <w:rFonts w:hint="default" w:ascii="Times New Roman" w:hAnsi="Times New Roman" w:eastAsia="仿宋" w:cs="Times New Roman"/>
                      <w:bCs/>
                      <w:color w:val="FF0000"/>
                      <w:spacing w:val="0"/>
                      <w:sz w:val="21"/>
                      <w:szCs w:val="21"/>
                      <w:highlight w:val="none"/>
                      <w:lang w:val="en-US" w:eastAsia="zh-CN"/>
                    </w:rPr>
                    <w:fldChar w:fldCharType="end"/>
                  </w:r>
                </w:p>
              </w:tc>
              <w:tc>
                <w:tcPr>
                  <w:tcW w:w="571" w:type="dxa"/>
                  <w:tcBorders>
                    <w:tl2br w:val="nil"/>
                    <w:tr2bl w:val="nil"/>
                  </w:tcBorders>
                  <w:tcMar>
                    <w:left w:w="28" w:type="dxa"/>
                    <w:right w:w="28" w:type="dxa"/>
                  </w:tcMar>
                  <w:vAlign w:val="center"/>
                </w:tcPr>
                <w:p w14:paraId="0D8C4C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在建工程</w:t>
                  </w:r>
                </w:p>
                <w:p w14:paraId="646570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排放量（固体废物产生量）</w:t>
                  </w:r>
                  <w:r>
                    <w:rPr>
                      <w:rFonts w:hint="default" w:ascii="Times New Roman" w:hAnsi="Times New Roman" w:eastAsia="仿宋" w:cs="Times New Roman"/>
                      <w:bCs/>
                      <w:color w:val="FF0000"/>
                      <w:spacing w:val="0"/>
                      <w:sz w:val="21"/>
                      <w:szCs w:val="21"/>
                      <w:highlight w:val="none"/>
                      <w:lang w:val="en-US" w:eastAsia="zh-CN"/>
                    </w:rPr>
                    <w:fldChar w:fldCharType="begin"/>
                  </w:r>
                  <w:r>
                    <w:rPr>
                      <w:rFonts w:hint="default" w:ascii="Times New Roman" w:hAnsi="Times New Roman" w:eastAsia="仿宋" w:cs="Times New Roman"/>
                      <w:bCs/>
                      <w:color w:val="FF0000"/>
                      <w:spacing w:val="0"/>
                      <w:sz w:val="21"/>
                      <w:szCs w:val="21"/>
                      <w:highlight w:val="none"/>
                      <w:lang w:val="en-US" w:eastAsia="zh-CN"/>
                    </w:rPr>
                    <w:instrText xml:space="preserve"> = 3 \* GB3 \* MERGEFORMAT </w:instrText>
                  </w:r>
                  <w:r>
                    <w:rPr>
                      <w:rFonts w:hint="default" w:ascii="Times New Roman" w:hAnsi="Times New Roman" w:eastAsia="仿宋" w:cs="Times New Roman"/>
                      <w:bCs/>
                      <w:color w:val="FF0000"/>
                      <w:spacing w:val="0"/>
                      <w:sz w:val="21"/>
                      <w:szCs w:val="21"/>
                      <w:highlight w:val="none"/>
                      <w:lang w:val="en-US" w:eastAsia="zh-CN"/>
                    </w:rPr>
                    <w:fldChar w:fldCharType="separate"/>
                  </w:r>
                  <w:r>
                    <w:rPr>
                      <w:rFonts w:hint="default" w:ascii="Times New Roman" w:hAnsi="Times New Roman" w:eastAsia="仿宋" w:cs="Times New Roman"/>
                      <w:bCs/>
                      <w:color w:val="FF0000"/>
                      <w:spacing w:val="0"/>
                      <w:sz w:val="21"/>
                      <w:szCs w:val="21"/>
                      <w:highlight w:val="none"/>
                      <w:lang w:val="en-US" w:eastAsia="zh-CN"/>
                    </w:rPr>
                    <w:t>③</w:t>
                  </w:r>
                  <w:r>
                    <w:rPr>
                      <w:rFonts w:hint="default" w:ascii="Times New Roman" w:hAnsi="Times New Roman" w:eastAsia="仿宋" w:cs="Times New Roman"/>
                      <w:bCs/>
                      <w:color w:val="FF0000"/>
                      <w:spacing w:val="0"/>
                      <w:sz w:val="21"/>
                      <w:szCs w:val="21"/>
                      <w:highlight w:val="none"/>
                      <w:lang w:val="en-US" w:eastAsia="zh-CN"/>
                    </w:rPr>
                    <w:fldChar w:fldCharType="end"/>
                  </w:r>
                </w:p>
              </w:tc>
              <w:tc>
                <w:tcPr>
                  <w:tcW w:w="1242" w:type="dxa"/>
                  <w:tcBorders>
                    <w:tl2br w:val="nil"/>
                    <w:tr2bl w:val="nil"/>
                  </w:tcBorders>
                  <w:tcMar>
                    <w:left w:w="28" w:type="dxa"/>
                    <w:right w:w="28" w:type="dxa"/>
                  </w:tcMar>
                  <w:vAlign w:val="center"/>
                </w:tcPr>
                <w:p w14:paraId="5CF41C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本项目</w:t>
                  </w:r>
                </w:p>
                <w:p w14:paraId="57EDD6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排放量（固体废物产生量）</w:t>
                  </w:r>
                  <w:r>
                    <w:rPr>
                      <w:rFonts w:hint="default" w:ascii="Times New Roman" w:hAnsi="Times New Roman" w:eastAsia="仿宋" w:cs="Times New Roman"/>
                      <w:bCs/>
                      <w:color w:val="FF0000"/>
                      <w:spacing w:val="0"/>
                      <w:sz w:val="21"/>
                      <w:szCs w:val="21"/>
                      <w:highlight w:val="none"/>
                      <w:lang w:val="en-US" w:eastAsia="zh-CN"/>
                    </w:rPr>
                    <w:fldChar w:fldCharType="begin"/>
                  </w:r>
                  <w:r>
                    <w:rPr>
                      <w:rFonts w:hint="default" w:ascii="Times New Roman" w:hAnsi="Times New Roman" w:eastAsia="仿宋" w:cs="Times New Roman"/>
                      <w:bCs/>
                      <w:color w:val="FF0000"/>
                      <w:spacing w:val="0"/>
                      <w:sz w:val="21"/>
                      <w:szCs w:val="21"/>
                      <w:highlight w:val="none"/>
                      <w:lang w:val="en-US" w:eastAsia="zh-CN"/>
                    </w:rPr>
                    <w:instrText xml:space="preserve"> = 4 \* GB3 \* MERGEFORMAT </w:instrText>
                  </w:r>
                  <w:r>
                    <w:rPr>
                      <w:rFonts w:hint="default" w:ascii="Times New Roman" w:hAnsi="Times New Roman" w:eastAsia="仿宋" w:cs="Times New Roman"/>
                      <w:bCs/>
                      <w:color w:val="FF0000"/>
                      <w:spacing w:val="0"/>
                      <w:sz w:val="21"/>
                      <w:szCs w:val="21"/>
                      <w:highlight w:val="none"/>
                      <w:lang w:val="en-US" w:eastAsia="zh-CN"/>
                    </w:rPr>
                    <w:fldChar w:fldCharType="separate"/>
                  </w:r>
                  <w:r>
                    <w:rPr>
                      <w:rFonts w:hint="default" w:ascii="Times New Roman" w:hAnsi="Times New Roman" w:eastAsia="仿宋" w:cs="Times New Roman"/>
                      <w:bCs/>
                      <w:color w:val="FF0000"/>
                      <w:spacing w:val="0"/>
                      <w:sz w:val="21"/>
                      <w:szCs w:val="21"/>
                      <w:highlight w:val="none"/>
                      <w:lang w:val="en-US" w:eastAsia="zh-CN"/>
                    </w:rPr>
                    <w:t>④</w:t>
                  </w:r>
                  <w:r>
                    <w:rPr>
                      <w:rFonts w:hint="default" w:ascii="Times New Roman" w:hAnsi="Times New Roman" w:eastAsia="仿宋" w:cs="Times New Roman"/>
                      <w:bCs/>
                      <w:color w:val="FF0000"/>
                      <w:spacing w:val="0"/>
                      <w:sz w:val="21"/>
                      <w:szCs w:val="21"/>
                      <w:highlight w:val="none"/>
                      <w:lang w:val="en-US" w:eastAsia="zh-CN"/>
                    </w:rPr>
                    <w:fldChar w:fldCharType="end"/>
                  </w:r>
                </w:p>
              </w:tc>
              <w:tc>
                <w:tcPr>
                  <w:tcW w:w="576" w:type="dxa"/>
                  <w:tcBorders>
                    <w:tl2br w:val="nil"/>
                    <w:tr2bl w:val="nil"/>
                  </w:tcBorders>
                  <w:tcMar>
                    <w:left w:w="28" w:type="dxa"/>
                    <w:right w:w="28" w:type="dxa"/>
                  </w:tcMar>
                  <w:vAlign w:val="center"/>
                </w:tcPr>
                <w:p w14:paraId="3B3B87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以新带老削减量</w:t>
                  </w:r>
                </w:p>
                <w:p w14:paraId="7E0E02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（新建项目不填）</w:t>
                  </w:r>
                  <w:r>
                    <w:rPr>
                      <w:rFonts w:hint="default" w:ascii="Times New Roman" w:hAnsi="Times New Roman" w:eastAsia="仿宋" w:cs="Times New Roman"/>
                      <w:bCs/>
                      <w:color w:val="FF0000"/>
                      <w:spacing w:val="0"/>
                      <w:sz w:val="21"/>
                      <w:szCs w:val="21"/>
                      <w:highlight w:val="none"/>
                      <w:lang w:val="en-US" w:eastAsia="zh-CN"/>
                    </w:rPr>
                    <w:fldChar w:fldCharType="begin"/>
                  </w:r>
                  <w:r>
                    <w:rPr>
                      <w:rFonts w:hint="default" w:ascii="Times New Roman" w:hAnsi="Times New Roman" w:eastAsia="仿宋" w:cs="Times New Roman"/>
                      <w:bCs/>
                      <w:color w:val="FF0000"/>
                      <w:spacing w:val="0"/>
                      <w:sz w:val="21"/>
                      <w:szCs w:val="21"/>
                      <w:highlight w:val="none"/>
                      <w:lang w:val="en-US" w:eastAsia="zh-CN"/>
                    </w:rPr>
                    <w:instrText xml:space="preserve"> = 5 \* GB3 \* MERGEFORMAT </w:instrText>
                  </w:r>
                  <w:r>
                    <w:rPr>
                      <w:rFonts w:hint="default" w:ascii="Times New Roman" w:hAnsi="Times New Roman" w:eastAsia="仿宋" w:cs="Times New Roman"/>
                      <w:bCs/>
                      <w:color w:val="FF0000"/>
                      <w:spacing w:val="0"/>
                      <w:sz w:val="21"/>
                      <w:szCs w:val="21"/>
                      <w:highlight w:val="none"/>
                      <w:lang w:val="en-US" w:eastAsia="zh-CN"/>
                    </w:rPr>
                    <w:fldChar w:fldCharType="separate"/>
                  </w:r>
                  <w:r>
                    <w:rPr>
                      <w:rFonts w:hint="default" w:ascii="Times New Roman" w:hAnsi="Times New Roman" w:eastAsia="仿宋" w:cs="Times New Roman"/>
                      <w:bCs/>
                      <w:color w:val="FF0000"/>
                      <w:spacing w:val="0"/>
                      <w:sz w:val="21"/>
                      <w:szCs w:val="21"/>
                      <w:highlight w:val="none"/>
                      <w:lang w:val="en-US" w:eastAsia="zh-CN"/>
                    </w:rPr>
                    <w:t>⑤</w:t>
                  </w:r>
                  <w:r>
                    <w:rPr>
                      <w:rFonts w:hint="default" w:ascii="Times New Roman" w:hAnsi="Times New Roman" w:eastAsia="仿宋" w:cs="Times New Roman"/>
                      <w:bCs/>
                      <w:color w:val="FF0000"/>
                      <w:spacing w:val="0"/>
                      <w:sz w:val="21"/>
                      <w:szCs w:val="21"/>
                      <w:highlight w:val="none"/>
                      <w:lang w:val="en-US" w:eastAsia="zh-CN"/>
                    </w:rPr>
                    <w:fldChar w:fldCharType="end"/>
                  </w:r>
                </w:p>
              </w:tc>
              <w:tc>
                <w:tcPr>
                  <w:tcW w:w="1242" w:type="dxa"/>
                  <w:tcBorders>
                    <w:tl2br w:val="nil"/>
                    <w:tr2bl w:val="nil"/>
                  </w:tcBorders>
                  <w:tcMar>
                    <w:left w:w="28" w:type="dxa"/>
                    <w:right w:w="28" w:type="dxa"/>
                  </w:tcMar>
                  <w:vAlign w:val="center"/>
                </w:tcPr>
                <w:p w14:paraId="56CB7A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本项目建成后全厂排放量（固体废物产生量）</w:t>
                  </w:r>
                  <w:r>
                    <w:rPr>
                      <w:rFonts w:hint="default" w:ascii="Times New Roman" w:hAnsi="Times New Roman" w:eastAsia="仿宋" w:cs="Times New Roman"/>
                      <w:bCs/>
                      <w:color w:val="FF0000"/>
                      <w:spacing w:val="0"/>
                      <w:sz w:val="21"/>
                      <w:szCs w:val="21"/>
                      <w:highlight w:val="none"/>
                      <w:lang w:val="en-US" w:eastAsia="zh-CN"/>
                    </w:rPr>
                    <w:fldChar w:fldCharType="begin"/>
                  </w:r>
                  <w:r>
                    <w:rPr>
                      <w:rFonts w:hint="default" w:ascii="Times New Roman" w:hAnsi="Times New Roman" w:eastAsia="仿宋" w:cs="Times New Roman"/>
                      <w:bCs/>
                      <w:color w:val="FF0000"/>
                      <w:spacing w:val="0"/>
                      <w:sz w:val="21"/>
                      <w:szCs w:val="21"/>
                      <w:highlight w:val="none"/>
                      <w:lang w:val="en-US" w:eastAsia="zh-CN"/>
                    </w:rPr>
                    <w:instrText xml:space="preserve"> = 6 \* GB3 \* MERGEFORMAT </w:instrText>
                  </w:r>
                  <w:r>
                    <w:rPr>
                      <w:rFonts w:hint="default" w:ascii="Times New Roman" w:hAnsi="Times New Roman" w:eastAsia="仿宋" w:cs="Times New Roman"/>
                      <w:bCs/>
                      <w:color w:val="FF0000"/>
                      <w:spacing w:val="0"/>
                      <w:sz w:val="21"/>
                      <w:szCs w:val="21"/>
                      <w:highlight w:val="none"/>
                      <w:lang w:val="en-US" w:eastAsia="zh-CN"/>
                    </w:rPr>
                    <w:fldChar w:fldCharType="separate"/>
                  </w:r>
                  <w:r>
                    <w:rPr>
                      <w:rFonts w:hint="default" w:ascii="Times New Roman" w:hAnsi="Times New Roman" w:eastAsia="仿宋" w:cs="Times New Roman"/>
                      <w:bCs/>
                      <w:color w:val="FF0000"/>
                      <w:spacing w:val="0"/>
                      <w:sz w:val="21"/>
                      <w:szCs w:val="21"/>
                      <w:highlight w:val="none"/>
                      <w:lang w:val="en-US" w:eastAsia="zh-CN"/>
                    </w:rPr>
                    <w:t>⑥</w:t>
                  </w:r>
                  <w:r>
                    <w:rPr>
                      <w:rFonts w:hint="default" w:ascii="Times New Roman" w:hAnsi="Times New Roman" w:eastAsia="仿宋" w:cs="Times New Roman"/>
                      <w:bCs/>
                      <w:color w:val="FF0000"/>
                      <w:spacing w:val="0"/>
                      <w:sz w:val="21"/>
                      <w:szCs w:val="21"/>
                      <w:highlight w:val="none"/>
                      <w:lang w:val="en-US" w:eastAsia="zh-CN"/>
                    </w:rPr>
                    <w:fldChar w:fldCharType="end"/>
                  </w:r>
                </w:p>
              </w:tc>
              <w:tc>
                <w:tcPr>
                  <w:tcW w:w="1243" w:type="dxa"/>
                  <w:tcBorders>
                    <w:tl2br w:val="nil"/>
                    <w:tr2bl w:val="nil"/>
                  </w:tcBorders>
                  <w:tcMar>
                    <w:left w:w="28" w:type="dxa"/>
                    <w:right w:w="28" w:type="dxa"/>
                  </w:tcMar>
                  <w:vAlign w:val="center"/>
                </w:tcPr>
                <w:p w14:paraId="7C35C8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变化量</w:t>
                  </w:r>
                </w:p>
                <w:p w14:paraId="7AA4E6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fldChar w:fldCharType="begin"/>
                  </w:r>
                  <w:r>
                    <w:rPr>
                      <w:rFonts w:hint="default" w:ascii="Times New Roman" w:hAnsi="Times New Roman" w:eastAsia="仿宋" w:cs="Times New Roman"/>
                      <w:bCs/>
                      <w:color w:val="FF0000"/>
                      <w:spacing w:val="0"/>
                      <w:sz w:val="21"/>
                      <w:szCs w:val="21"/>
                      <w:highlight w:val="none"/>
                      <w:lang w:val="en-US" w:eastAsia="zh-CN"/>
                    </w:rPr>
                    <w:instrText xml:space="preserve"> = 7 \* GB3 \* MERGEFORMAT </w:instrText>
                  </w:r>
                  <w:r>
                    <w:rPr>
                      <w:rFonts w:hint="default" w:ascii="Times New Roman" w:hAnsi="Times New Roman" w:eastAsia="仿宋" w:cs="Times New Roman"/>
                      <w:bCs/>
                      <w:color w:val="FF0000"/>
                      <w:spacing w:val="0"/>
                      <w:sz w:val="21"/>
                      <w:szCs w:val="21"/>
                      <w:highlight w:val="none"/>
                      <w:lang w:val="en-US" w:eastAsia="zh-CN"/>
                    </w:rPr>
                    <w:fldChar w:fldCharType="separate"/>
                  </w:r>
                  <w:r>
                    <w:rPr>
                      <w:rFonts w:hint="default" w:ascii="Times New Roman" w:hAnsi="Times New Roman" w:eastAsia="仿宋" w:cs="Times New Roman"/>
                      <w:bCs/>
                      <w:color w:val="FF0000"/>
                      <w:spacing w:val="0"/>
                      <w:sz w:val="21"/>
                      <w:szCs w:val="21"/>
                      <w:highlight w:val="none"/>
                      <w:lang w:val="en-US" w:eastAsia="zh-CN"/>
                    </w:rPr>
                    <w:t>⑦</w:t>
                  </w:r>
                  <w:r>
                    <w:rPr>
                      <w:rFonts w:hint="default" w:ascii="Times New Roman" w:hAnsi="Times New Roman" w:eastAsia="仿宋" w:cs="Times New Roman"/>
                      <w:bCs/>
                      <w:color w:val="FF0000"/>
                      <w:spacing w:val="0"/>
                      <w:sz w:val="21"/>
                      <w:szCs w:val="21"/>
                      <w:highlight w:val="none"/>
                      <w:lang w:val="en-US" w:eastAsia="zh-CN"/>
                    </w:rPr>
                    <w:fldChar w:fldCharType="end"/>
                  </w:r>
                </w:p>
              </w:tc>
            </w:tr>
            <w:tr w14:paraId="610FDB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4" w:hRule="atLeast"/>
                <w:jc w:val="center"/>
              </w:trPr>
              <w:tc>
                <w:tcPr>
                  <w:tcW w:w="502" w:type="dxa"/>
                  <w:vMerge w:val="restart"/>
                  <w:tcBorders>
                    <w:tl2br w:val="nil"/>
                    <w:tr2bl w:val="nil"/>
                  </w:tcBorders>
                  <w:vAlign w:val="center"/>
                </w:tcPr>
                <w:p w14:paraId="3AB318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废气</w:t>
                  </w:r>
                </w:p>
              </w:tc>
              <w:tc>
                <w:tcPr>
                  <w:tcW w:w="710" w:type="dxa"/>
                  <w:tcBorders>
                    <w:tl2br w:val="nil"/>
                    <w:tr2bl w:val="nil"/>
                  </w:tcBorders>
                  <w:vAlign w:val="center"/>
                </w:tcPr>
                <w:p w14:paraId="54614C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有组织颗粒物</w:t>
                  </w:r>
                </w:p>
              </w:tc>
              <w:tc>
                <w:tcPr>
                  <w:tcW w:w="1156" w:type="dxa"/>
                  <w:tcBorders>
                    <w:tl2br w:val="nil"/>
                    <w:tr2bl w:val="nil"/>
                  </w:tcBorders>
                  <w:vAlign w:val="center"/>
                </w:tcPr>
                <w:p w14:paraId="578DED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w:t>
                  </w:r>
                </w:p>
              </w:tc>
              <w:tc>
                <w:tcPr>
                  <w:tcW w:w="353" w:type="dxa"/>
                  <w:tcBorders>
                    <w:tl2br w:val="nil"/>
                    <w:tr2bl w:val="nil"/>
                  </w:tcBorders>
                  <w:vAlign w:val="center"/>
                </w:tcPr>
                <w:p w14:paraId="1010C5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571" w:type="dxa"/>
                  <w:tcBorders>
                    <w:tl2br w:val="nil"/>
                    <w:tr2bl w:val="nil"/>
                  </w:tcBorders>
                  <w:vAlign w:val="center"/>
                </w:tcPr>
                <w:p w14:paraId="031D55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2B2D04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3.0</w:t>
                  </w:r>
                  <w:r>
                    <w:rPr>
                      <w:rFonts w:hint="default" w:ascii="Times New Roman" w:hAnsi="Times New Roman" w:eastAsia="仿宋" w:cs="Times New Roman"/>
                      <w:bCs/>
                      <w:color w:val="FF0000"/>
                      <w:spacing w:val="0"/>
                      <w:sz w:val="21"/>
                      <w:szCs w:val="21"/>
                      <w:highlight w:val="none"/>
                      <w:lang w:val="en-US" w:eastAsia="zh-CN"/>
                    </w:rPr>
                    <w:t>t/a</w:t>
                  </w:r>
                </w:p>
              </w:tc>
              <w:tc>
                <w:tcPr>
                  <w:tcW w:w="576" w:type="dxa"/>
                  <w:tcBorders>
                    <w:tl2br w:val="nil"/>
                    <w:tr2bl w:val="nil"/>
                  </w:tcBorders>
                  <w:vAlign w:val="center"/>
                </w:tcPr>
                <w:p w14:paraId="63FA96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61A5FE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3.0</w:t>
                  </w:r>
                  <w:r>
                    <w:rPr>
                      <w:rFonts w:hint="default" w:ascii="Times New Roman" w:hAnsi="Times New Roman" w:eastAsia="仿宋" w:cs="Times New Roman"/>
                      <w:bCs/>
                      <w:color w:val="FF0000"/>
                      <w:spacing w:val="0"/>
                      <w:sz w:val="21"/>
                      <w:szCs w:val="21"/>
                      <w:highlight w:val="none"/>
                      <w:lang w:val="en-US" w:eastAsia="zh-CN"/>
                    </w:rPr>
                    <w:t>t/a</w:t>
                  </w:r>
                </w:p>
              </w:tc>
              <w:tc>
                <w:tcPr>
                  <w:tcW w:w="1243" w:type="dxa"/>
                  <w:tcBorders>
                    <w:tl2br w:val="nil"/>
                    <w:tr2bl w:val="nil"/>
                  </w:tcBorders>
                  <w:vAlign w:val="center"/>
                </w:tcPr>
                <w:p w14:paraId="0AC008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r>
                    <w:rPr>
                      <w:rFonts w:hint="eastAsia" w:eastAsia="仿宋" w:cs="Times New Roman"/>
                      <w:bCs/>
                      <w:color w:val="FF0000"/>
                      <w:spacing w:val="0"/>
                      <w:sz w:val="21"/>
                      <w:szCs w:val="21"/>
                      <w:highlight w:val="none"/>
                      <w:lang w:val="en-US" w:eastAsia="zh-CN"/>
                    </w:rPr>
                    <w:t>3.0</w:t>
                  </w:r>
                  <w:r>
                    <w:rPr>
                      <w:rFonts w:hint="default" w:ascii="Times New Roman" w:hAnsi="Times New Roman" w:eastAsia="仿宋" w:cs="Times New Roman"/>
                      <w:bCs/>
                      <w:color w:val="FF0000"/>
                      <w:spacing w:val="0"/>
                      <w:sz w:val="21"/>
                      <w:szCs w:val="21"/>
                      <w:highlight w:val="none"/>
                      <w:lang w:val="en-US" w:eastAsia="zh-CN"/>
                    </w:rPr>
                    <w:t>t/a</w:t>
                  </w:r>
                </w:p>
              </w:tc>
            </w:tr>
            <w:tr w14:paraId="32D6B6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4" w:hRule="atLeast"/>
                <w:jc w:val="center"/>
              </w:trPr>
              <w:tc>
                <w:tcPr>
                  <w:tcW w:w="502" w:type="dxa"/>
                  <w:vMerge w:val="continue"/>
                  <w:tcBorders>
                    <w:tl2br w:val="nil"/>
                    <w:tr2bl w:val="nil"/>
                  </w:tcBorders>
                  <w:vAlign w:val="center"/>
                </w:tcPr>
                <w:p w14:paraId="69A6D2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710" w:type="dxa"/>
                  <w:tcBorders>
                    <w:tl2br w:val="nil"/>
                    <w:tr2bl w:val="nil"/>
                  </w:tcBorders>
                  <w:vAlign w:val="center"/>
                </w:tcPr>
                <w:p w14:paraId="366132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无组织颗粒物</w:t>
                  </w:r>
                </w:p>
              </w:tc>
              <w:tc>
                <w:tcPr>
                  <w:tcW w:w="1156" w:type="dxa"/>
                  <w:tcBorders>
                    <w:tl2br w:val="nil"/>
                    <w:tr2bl w:val="nil"/>
                  </w:tcBorders>
                  <w:vAlign w:val="center"/>
                </w:tcPr>
                <w:p w14:paraId="57B351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8.275</w:t>
                  </w:r>
                  <w:r>
                    <w:rPr>
                      <w:rFonts w:hint="default" w:ascii="Times New Roman" w:hAnsi="Times New Roman" w:eastAsia="仿宋" w:cs="Times New Roman"/>
                      <w:bCs/>
                      <w:color w:val="FF0000"/>
                      <w:spacing w:val="0"/>
                      <w:sz w:val="21"/>
                      <w:szCs w:val="21"/>
                      <w:highlight w:val="none"/>
                      <w:lang w:val="en-US" w:eastAsia="zh-CN"/>
                    </w:rPr>
                    <w:t>t/a</w:t>
                  </w:r>
                </w:p>
              </w:tc>
              <w:tc>
                <w:tcPr>
                  <w:tcW w:w="353" w:type="dxa"/>
                  <w:tcBorders>
                    <w:tl2br w:val="nil"/>
                    <w:tr2bl w:val="nil"/>
                  </w:tcBorders>
                  <w:vAlign w:val="center"/>
                </w:tcPr>
                <w:p w14:paraId="23E799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571" w:type="dxa"/>
                  <w:tcBorders>
                    <w:tl2br w:val="nil"/>
                    <w:tr2bl w:val="nil"/>
                  </w:tcBorders>
                  <w:vAlign w:val="center"/>
                </w:tcPr>
                <w:p w14:paraId="530A43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485393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17.63</w:t>
                  </w:r>
                  <w:r>
                    <w:rPr>
                      <w:rFonts w:hint="default" w:ascii="Times New Roman" w:hAnsi="Times New Roman" w:eastAsia="仿宋" w:cs="Times New Roman"/>
                      <w:bCs/>
                      <w:color w:val="FF0000"/>
                      <w:spacing w:val="0"/>
                      <w:sz w:val="21"/>
                      <w:szCs w:val="21"/>
                      <w:highlight w:val="none"/>
                      <w:lang w:val="en-US" w:eastAsia="zh-CN"/>
                    </w:rPr>
                    <w:t>t/a</w:t>
                  </w:r>
                </w:p>
              </w:tc>
              <w:tc>
                <w:tcPr>
                  <w:tcW w:w="576" w:type="dxa"/>
                  <w:tcBorders>
                    <w:tl2br w:val="nil"/>
                    <w:tr2bl w:val="nil"/>
                  </w:tcBorders>
                  <w:vAlign w:val="center"/>
                </w:tcPr>
                <w:p w14:paraId="0A6F2F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2781D3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17.63</w:t>
                  </w:r>
                  <w:r>
                    <w:rPr>
                      <w:rFonts w:hint="default" w:ascii="Times New Roman" w:hAnsi="Times New Roman" w:eastAsia="仿宋" w:cs="Times New Roman"/>
                      <w:bCs/>
                      <w:color w:val="FF0000"/>
                      <w:spacing w:val="0"/>
                      <w:sz w:val="21"/>
                      <w:szCs w:val="21"/>
                      <w:highlight w:val="none"/>
                      <w:lang w:val="en-US" w:eastAsia="zh-CN"/>
                    </w:rPr>
                    <w:t>t/a</w:t>
                  </w:r>
                </w:p>
              </w:tc>
              <w:tc>
                <w:tcPr>
                  <w:tcW w:w="1243" w:type="dxa"/>
                  <w:tcBorders>
                    <w:tl2br w:val="nil"/>
                    <w:tr2bl w:val="nil"/>
                  </w:tcBorders>
                  <w:vAlign w:val="center"/>
                </w:tcPr>
                <w:p w14:paraId="7D2D82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+9.355</w:t>
                  </w:r>
                  <w:r>
                    <w:rPr>
                      <w:rFonts w:hint="default" w:ascii="Times New Roman" w:hAnsi="Times New Roman" w:eastAsia="仿宋" w:cs="Times New Roman"/>
                      <w:bCs/>
                      <w:color w:val="FF0000"/>
                      <w:spacing w:val="0"/>
                      <w:sz w:val="21"/>
                      <w:szCs w:val="21"/>
                      <w:highlight w:val="none"/>
                      <w:lang w:val="en-US" w:eastAsia="zh-CN"/>
                    </w:rPr>
                    <w:t>t/a</w:t>
                  </w:r>
                </w:p>
              </w:tc>
            </w:tr>
            <w:tr w14:paraId="02BF13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4" w:hRule="atLeast"/>
                <w:jc w:val="center"/>
              </w:trPr>
              <w:tc>
                <w:tcPr>
                  <w:tcW w:w="502" w:type="dxa"/>
                  <w:vMerge w:val="continue"/>
                  <w:tcBorders>
                    <w:tl2br w:val="nil"/>
                    <w:tr2bl w:val="nil"/>
                  </w:tcBorders>
                  <w:vAlign w:val="center"/>
                </w:tcPr>
                <w:p w14:paraId="33ED1F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710" w:type="dxa"/>
                  <w:tcBorders>
                    <w:tl2br w:val="nil"/>
                    <w:tr2bl w:val="nil"/>
                  </w:tcBorders>
                  <w:vAlign w:val="center"/>
                </w:tcPr>
                <w:p w14:paraId="08E900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食堂油烟</w:t>
                  </w:r>
                </w:p>
              </w:tc>
              <w:tc>
                <w:tcPr>
                  <w:tcW w:w="1156" w:type="dxa"/>
                  <w:tcBorders>
                    <w:tl2br w:val="nil"/>
                    <w:tr2bl w:val="nil"/>
                  </w:tcBorders>
                  <w:vAlign w:val="center"/>
                </w:tcPr>
                <w:p w14:paraId="3C8A5F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0.00108t/a</w:t>
                  </w:r>
                </w:p>
              </w:tc>
              <w:tc>
                <w:tcPr>
                  <w:tcW w:w="353" w:type="dxa"/>
                  <w:tcBorders>
                    <w:tl2br w:val="nil"/>
                    <w:tr2bl w:val="nil"/>
                  </w:tcBorders>
                  <w:vAlign w:val="center"/>
                </w:tcPr>
                <w:p w14:paraId="721E84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571" w:type="dxa"/>
                  <w:tcBorders>
                    <w:tl2br w:val="nil"/>
                    <w:tr2bl w:val="nil"/>
                  </w:tcBorders>
                  <w:vAlign w:val="center"/>
                </w:tcPr>
                <w:p w14:paraId="367F33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11F2BF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0</w:t>
                  </w:r>
                </w:p>
              </w:tc>
              <w:tc>
                <w:tcPr>
                  <w:tcW w:w="576" w:type="dxa"/>
                  <w:tcBorders>
                    <w:tl2br w:val="nil"/>
                    <w:tr2bl w:val="nil"/>
                  </w:tcBorders>
                  <w:vAlign w:val="center"/>
                </w:tcPr>
                <w:p w14:paraId="517EAD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22BBF1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0.00108t/a</w:t>
                  </w:r>
                </w:p>
              </w:tc>
              <w:tc>
                <w:tcPr>
                  <w:tcW w:w="1243" w:type="dxa"/>
                  <w:tcBorders>
                    <w:tl2br w:val="nil"/>
                    <w:tr2bl w:val="nil"/>
                  </w:tcBorders>
                  <w:vAlign w:val="center"/>
                </w:tcPr>
                <w:p w14:paraId="67C0AD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0</w:t>
                  </w:r>
                </w:p>
              </w:tc>
            </w:tr>
            <w:tr w14:paraId="41E9FD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50" w:hRule="atLeast"/>
                <w:jc w:val="center"/>
              </w:trPr>
              <w:tc>
                <w:tcPr>
                  <w:tcW w:w="502" w:type="dxa"/>
                  <w:tcBorders>
                    <w:tl2br w:val="nil"/>
                    <w:tr2bl w:val="nil"/>
                  </w:tcBorders>
                  <w:vAlign w:val="center"/>
                </w:tcPr>
                <w:p w14:paraId="48AF47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废水</w:t>
                  </w:r>
                </w:p>
              </w:tc>
              <w:tc>
                <w:tcPr>
                  <w:tcW w:w="710" w:type="dxa"/>
                  <w:tcBorders>
                    <w:tl2br w:val="nil"/>
                    <w:tr2bl w:val="nil"/>
                  </w:tcBorders>
                  <w:shd w:val="clear" w:color="auto" w:fill="auto"/>
                  <w:vAlign w:val="center"/>
                </w:tcPr>
                <w:p w14:paraId="4BC012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生活污水</w:t>
                  </w:r>
                </w:p>
              </w:tc>
              <w:tc>
                <w:tcPr>
                  <w:tcW w:w="1156" w:type="dxa"/>
                  <w:tcBorders>
                    <w:tl2br w:val="nil"/>
                    <w:tr2bl w:val="nil"/>
                  </w:tcBorders>
                  <w:shd w:val="clear" w:color="auto" w:fill="auto"/>
                  <w:vAlign w:val="center"/>
                </w:tcPr>
                <w:p w14:paraId="715A59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80</w:t>
                  </w:r>
                  <w:r>
                    <w:rPr>
                      <w:rFonts w:hint="default" w:ascii="Times New Roman" w:hAnsi="Times New Roman" w:eastAsia="仿宋" w:cs="Times New Roman"/>
                      <w:bCs/>
                      <w:color w:val="FF0000"/>
                      <w:spacing w:val="0"/>
                      <w:sz w:val="21"/>
                      <w:szCs w:val="21"/>
                      <w:highlight w:val="none"/>
                      <w:lang w:val="en-US" w:eastAsia="zh-CN"/>
                    </w:rPr>
                    <w:t>m</w:t>
                  </w:r>
                  <w:r>
                    <w:rPr>
                      <w:rFonts w:hint="default" w:ascii="Times New Roman" w:hAnsi="Times New Roman" w:eastAsia="仿宋" w:cs="Times New Roman"/>
                      <w:bCs/>
                      <w:color w:val="FF0000"/>
                      <w:spacing w:val="0"/>
                      <w:sz w:val="21"/>
                      <w:szCs w:val="21"/>
                      <w:highlight w:val="none"/>
                      <w:vertAlign w:val="superscript"/>
                      <w:lang w:val="en-US" w:eastAsia="zh-CN"/>
                    </w:rPr>
                    <w:t>3</w:t>
                  </w:r>
                  <w:r>
                    <w:rPr>
                      <w:rFonts w:hint="default" w:ascii="Times New Roman" w:hAnsi="Times New Roman" w:eastAsia="仿宋" w:cs="Times New Roman"/>
                      <w:bCs/>
                      <w:color w:val="FF0000"/>
                      <w:spacing w:val="0"/>
                      <w:sz w:val="21"/>
                      <w:szCs w:val="21"/>
                      <w:highlight w:val="none"/>
                      <w:lang w:val="en-US" w:eastAsia="zh-CN"/>
                    </w:rPr>
                    <w:t>/a</w:t>
                  </w:r>
                </w:p>
              </w:tc>
              <w:tc>
                <w:tcPr>
                  <w:tcW w:w="353" w:type="dxa"/>
                  <w:tcBorders>
                    <w:tl2br w:val="nil"/>
                    <w:tr2bl w:val="nil"/>
                  </w:tcBorders>
                  <w:shd w:val="clear" w:color="auto" w:fill="auto"/>
                  <w:vAlign w:val="center"/>
                </w:tcPr>
                <w:p w14:paraId="61034D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571" w:type="dxa"/>
                  <w:tcBorders>
                    <w:tl2br w:val="nil"/>
                    <w:tr2bl w:val="nil"/>
                  </w:tcBorders>
                  <w:shd w:val="clear" w:color="auto" w:fill="auto"/>
                  <w:vAlign w:val="center"/>
                </w:tcPr>
                <w:p w14:paraId="26D7C0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7408F8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240</w:t>
                  </w:r>
                  <w:r>
                    <w:rPr>
                      <w:rFonts w:hint="default" w:ascii="Times New Roman" w:hAnsi="Times New Roman" w:eastAsia="仿宋" w:cs="Times New Roman"/>
                      <w:bCs/>
                      <w:color w:val="FF0000"/>
                      <w:spacing w:val="0"/>
                      <w:sz w:val="21"/>
                      <w:szCs w:val="21"/>
                      <w:highlight w:val="none"/>
                      <w:lang w:val="en-US" w:eastAsia="zh-CN"/>
                    </w:rPr>
                    <w:t>m</w:t>
                  </w:r>
                  <w:r>
                    <w:rPr>
                      <w:rFonts w:hint="default" w:ascii="Times New Roman" w:hAnsi="Times New Roman" w:eastAsia="仿宋" w:cs="Times New Roman"/>
                      <w:bCs/>
                      <w:color w:val="FF0000"/>
                      <w:spacing w:val="0"/>
                      <w:sz w:val="21"/>
                      <w:szCs w:val="21"/>
                      <w:highlight w:val="none"/>
                      <w:vertAlign w:val="superscript"/>
                      <w:lang w:val="en-US" w:eastAsia="zh-CN"/>
                    </w:rPr>
                    <w:t>3</w:t>
                  </w:r>
                  <w:r>
                    <w:rPr>
                      <w:rFonts w:hint="default" w:ascii="Times New Roman" w:hAnsi="Times New Roman" w:eastAsia="仿宋" w:cs="Times New Roman"/>
                      <w:bCs/>
                      <w:color w:val="FF0000"/>
                      <w:spacing w:val="0"/>
                      <w:sz w:val="21"/>
                      <w:szCs w:val="21"/>
                      <w:highlight w:val="none"/>
                      <w:lang w:val="en-US" w:eastAsia="zh-CN"/>
                    </w:rPr>
                    <w:t>/a</w:t>
                  </w:r>
                </w:p>
              </w:tc>
              <w:tc>
                <w:tcPr>
                  <w:tcW w:w="576" w:type="dxa"/>
                  <w:tcBorders>
                    <w:tl2br w:val="nil"/>
                    <w:tr2bl w:val="nil"/>
                  </w:tcBorders>
                  <w:vAlign w:val="center"/>
                </w:tcPr>
                <w:p w14:paraId="7F6C2C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60A658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240</w:t>
                  </w:r>
                  <w:r>
                    <w:rPr>
                      <w:rFonts w:hint="default" w:ascii="Times New Roman" w:hAnsi="Times New Roman" w:eastAsia="仿宋" w:cs="Times New Roman"/>
                      <w:bCs/>
                      <w:color w:val="FF0000"/>
                      <w:spacing w:val="0"/>
                      <w:sz w:val="21"/>
                      <w:szCs w:val="21"/>
                      <w:highlight w:val="none"/>
                      <w:lang w:val="en-US" w:eastAsia="zh-CN"/>
                    </w:rPr>
                    <w:t>m</w:t>
                  </w:r>
                  <w:r>
                    <w:rPr>
                      <w:rFonts w:hint="default" w:ascii="Times New Roman" w:hAnsi="Times New Roman" w:eastAsia="仿宋" w:cs="Times New Roman"/>
                      <w:bCs/>
                      <w:color w:val="FF0000"/>
                      <w:spacing w:val="0"/>
                      <w:sz w:val="21"/>
                      <w:szCs w:val="21"/>
                      <w:highlight w:val="none"/>
                      <w:vertAlign w:val="superscript"/>
                      <w:lang w:val="en-US" w:eastAsia="zh-CN"/>
                    </w:rPr>
                    <w:t>3</w:t>
                  </w:r>
                  <w:r>
                    <w:rPr>
                      <w:rFonts w:hint="default" w:ascii="Times New Roman" w:hAnsi="Times New Roman" w:eastAsia="仿宋" w:cs="Times New Roman"/>
                      <w:bCs/>
                      <w:color w:val="FF0000"/>
                      <w:spacing w:val="0"/>
                      <w:sz w:val="21"/>
                      <w:szCs w:val="21"/>
                      <w:highlight w:val="none"/>
                      <w:lang w:val="en-US" w:eastAsia="zh-CN"/>
                    </w:rPr>
                    <w:t>/a</w:t>
                  </w:r>
                </w:p>
              </w:tc>
              <w:tc>
                <w:tcPr>
                  <w:tcW w:w="1243" w:type="dxa"/>
                  <w:tcBorders>
                    <w:tl2br w:val="nil"/>
                    <w:tr2bl w:val="nil"/>
                  </w:tcBorders>
                  <w:vAlign w:val="center"/>
                </w:tcPr>
                <w:p w14:paraId="44B695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w:t>
                  </w:r>
                  <w:r>
                    <w:rPr>
                      <w:rFonts w:hint="eastAsia" w:ascii="Times New Roman" w:hAnsi="Times New Roman" w:eastAsia="仿宋" w:cs="Times New Roman"/>
                      <w:bCs/>
                      <w:color w:val="FF0000"/>
                      <w:spacing w:val="0"/>
                      <w:sz w:val="21"/>
                      <w:szCs w:val="21"/>
                      <w:highlight w:val="none"/>
                      <w:lang w:val="en-US" w:eastAsia="zh-CN"/>
                    </w:rPr>
                    <w:t>160</w:t>
                  </w:r>
                  <w:r>
                    <w:rPr>
                      <w:rFonts w:hint="default" w:ascii="Times New Roman" w:hAnsi="Times New Roman" w:eastAsia="仿宋" w:cs="Times New Roman"/>
                      <w:bCs/>
                      <w:color w:val="FF0000"/>
                      <w:spacing w:val="0"/>
                      <w:sz w:val="21"/>
                      <w:szCs w:val="21"/>
                      <w:highlight w:val="none"/>
                      <w:lang w:val="en-US" w:eastAsia="zh-CN"/>
                    </w:rPr>
                    <w:t>m</w:t>
                  </w:r>
                  <w:r>
                    <w:rPr>
                      <w:rFonts w:hint="default" w:ascii="Times New Roman" w:hAnsi="Times New Roman" w:eastAsia="仿宋" w:cs="Times New Roman"/>
                      <w:bCs/>
                      <w:color w:val="FF0000"/>
                      <w:spacing w:val="0"/>
                      <w:sz w:val="21"/>
                      <w:szCs w:val="21"/>
                      <w:highlight w:val="none"/>
                      <w:vertAlign w:val="superscript"/>
                      <w:lang w:val="en-US" w:eastAsia="zh-CN"/>
                    </w:rPr>
                    <w:t>3</w:t>
                  </w:r>
                  <w:r>
                    <w:rPr>
                      <w:rFonts w:hint="default" w:ascii="Times New Roman" w:hAnsi="Times New Roman" w:eastAsia="仿宋" w:cs="Times New Roman"/>
                      <w:bCs/>
                      <w:color w:val="FF0000"/>
                      <w:spacing w:val="0"/>
                      <w:sz w:val="21"/>
                      <w:szCs w:val="21"/>
                      <w:highlight w:val="none"/>
                      <w:lang w:val="en-US" w:eastAsia="zh-CN"/>
                    </w:rPr>
                    <w:t>/a</w:t>
                  </w:r>
                </w:p>
              </w:tc>
            </w:tr>
            <w:tr w14:paraId="135E42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0" w:hRule="atLeast"/>
                <w:jc w:val="center"/>
              </w:trPr>
              <w:tc>
                <w:tcPr>
                  <w:tcW w:w="502" w:type="dxa"/>
                  <w:vMerge w:val="restart"/>
                  <w:tcBorders>
                    <w:tl2br w:val="nil"/>
                    <w:tr2bl w:val="nil"/>
                  </w:tcBorders>
                  <w:vAlign w:val="center"/>
                </w:tcPr>
                <w:p w14:paraId="2144A5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一般工业</w:t>
                  </w:r>
                </w:p>
                <w:p w14:paraId="64540C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固体废物</w:t>
                  </w:r>
                </w:p>
              </w:tc>
              <w:tc>
                <w:tcPr>
                  <w:tcW w:w="710" w:type="dxa"/>
                  <w:tcBorders>
                    <w:tl2br w:val="nil"/>
                    <w:tr2bl w:val="nil"/>
                  </w:tcBorders>
                  <w:shd w:val="clear" w:color="auto" w:fill="auto"/>
                  <w:vAlign w:val="center"/>
                </w:tcPr>
                <w:p w14:paraId="22F0A3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剥离表土</w:t>
                  </w:r>
                </w:p>
              </w:tc>
              <w:tc>
                <w:tcPr>
                  <w:tcW w:w="1156" w:type="dxa"/>
                  <w:tcBorders>
                    <w:tl2br w:val="nil"/>
                    <w:tr2bl w:val="nil"/>
                  </w:tcBorders>
                  <w:vAlign w:val="center"/>
                </w:tcPr>
                <w:p w14:paraId="39A93A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1530m</w:t>
                  </w:r>
                  <w:r>
                    <w:rPr>
                      <w:rFonts w:hint="eastAsia" w:ascii="Times New Roman" w:hAnsi="Times New Roman" w:eastAsia="仿宋" w:cs="Times New Roman"/>
                      <w:bCs/>
                      <w:color w:val="FF0000"/>
                      <w:spacing w:val="0"/>
                      <w:sz w:val="21"/>
                      <w:szCs w:val="21"/>
                      <w:highlight w:val="none"/>
                      <w:vertAlign w:val="superscript"/>
                      <w:lang w:val="en-US" w:eastAsia="zh-CN"/>
                    </w:rPr>
                    <w:t>3</w:t>
                  </w:r>
                  <w:r>
                    <w:rPr>
                      <w:rFonts w:hint="eastAsia" w:ascii="Times New Roman" w:hAnsi="Times New Roman" w:eastAsia="仿宋" w:cs="Times New Roman"/>
                      <w:bCs/>
                      <w:color w:val="FF0000"/>
                      <w:spacing w:val="0"/>
                      <w:sz w:val="21"/>
                      <w:szCs w:val="21"/>
                      <w:highlight w:val="none"/>
                      <w:lang w:val="en-US" w:eastAsia="zh-CN"/>
                    </w:rPr>
                    <w:t>/a</w:t>
                  </w:r>
                </w:p>
              </w:tc>
              <w:tc>
                <w:tcPr>
                  <w:tcW w:w="353" w:type="dxa"/>
                  <w:tcBorders>
                    <w:tl2br w:val="nil"/>
                    <w:tr2bl w:val="nil"/>
                  </w:tcBorders>
                  <w:vAlign w:val="center"/>
                </w:tcPr>
                <w:p w14:paraId="33FEF2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571" w:type="dxa"/>
                  <w:tcBorders>
                    <w:tl2br w:val="nil"/>
                    <w:tr2bl w:val="nil"/>
                  </w:tcBorders>
                  <w:vAlign w:val="center"/>
                </w:tcPr>
                <w:p w14:paraId="5A52CD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00E11D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14423m</w:t>
                  </w:r>
                  <w:r>
                    <w:rPr>
                      <w:rFonts w:hint="eastAsia" w:ascii="Times New Roman" w:hAnsi="Times New Roman" w:eastAsia="仿宋" w:cs="Times New Roman"/>
                      <w:bCs/>
                      <w:color w:val="FF0000"/>
                      <w:spacing w:val="0"/>
                      <w:sz w:val="21"/>
                      <w:szCs w:val="21"/>
                      <w:highlight w:val="none"/>
                      <w:vertAlign w:val="superscript"/>
                      <w:lang w:val="en-US" w:eastAsia="zh-CN"/>
                    </w:rPr>
                    <w:t>3</w:t>
                  </w:r>
                  <w:r>
                    <w:rPr>
                      <w:rFonts w:hint="eastAsia" w:ascii="Times New Roman" w:hAnsi="Times New Roman" w:eastAsia="仿宋" w:cs="Times New Roman"/>
                      <w:bCs/>
                      <w:color w:val="FF0000"/>
                      <w:spacing w:val="0"/>
                      <w:sz w:val="21"/>
                      <w:szCs w:val="21"/>
                      <w:highlight w:val="none"/>
                      <w:lang w:val="en-US" w:eastAsia="zh-CN"/>
                    </w:rPr>
                    <w:t>/a</w:t>
                  </w:r>
                </w:p>
              </w:tc>
              <w:tc>
                <w:tcPr>
                  <w:tcW w:w="576" w:type="dxa"/>
                  <w:tcBorders>
                    <w:tl2br w:val="nil"/>
                    <w:tr2bl w:val="nil"/>
                  </w:tcBorders>
                  <w:vAlign w:val="center"/>
                </w:tcPr>
                <w:p w14:paraId="5D9B96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2F4BF4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14423m</w:t>
                  </w:r>
                  <w:r>
                    <w:rPr>
                      <w:rFonts w:hint="eastAsia" w:ascii="Times New Roman" w:hAnsi="Times New Roman" w:eastAsia="仿宋" w:cs="Times New Roman"/>
                      <w:bCs/>
                      <w:color w:val="FF0000"/>
                      <w:spacing w:val="0"/>
                      <w:sz w:val="21"/>
                      <w:szCs w:val="21"/>
                      <w:highlight w:val="none"/>
                      <w:vertAlign w:val="superscript"/>
                      <w:lang w:val="en-US" w:eastAsia="zh-CN"/>
                    </w:rPr>
                    <w:t>3</w:t>
                  </w:r>
                  <w:r>
                    <w:rPr>
                      <w:rFonts w:hint="eastAsia" w:ascii="Times New Roman" w:hAnsi="Times New Roman" w:eastAsia="仿宋" w:cs="Times New Roman"/>
                      <w:bCs/>
                      <w:color w:val="FF0000"/>
                      <w:spacing w:val="0"/>
                      <w:sz w:val="21"/>
                      <w:szCs w:val="21"/>
                      <w:highlight w:val="none"/>
                      <w:lang w:val="en-US" w:eastAsia="zh-CN"/>
                    </w:rPr>
                    <w:t>/a</w:t>
                  </w:r>
                </w:p>
              </w:tc>
              <w:tc>
                <w:tcPr>
                  <w:tcW w:w="1243" w:type="dxa"/>
                  <w:tcBorders>
                    <w:tl2br w:val="nil"/>
                    <w:tr2bl w:val="nil"/>
                  </w:tcBorders>
                  <w:vAlign w:val="center"/>
                </w:tcPr>
                <w:p w14:paraId="1F8276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+12893m</w:t>
                  </w:r>
                  <w:r>
                    <w:rPr>
                      <w:rFonts w:hint="eastAsia" w:ascii="Times New Roman" w:hAnsi="Times New Roman" w:eastAsia="仿宋" w:cs="Times New Roman"/>
                      <w:bCs/>
                      <w:color w:val="FF0000"/>
                      <w:spacing w:val="0"/>
                      <w:sz w:val="21"/>
                      <w:szCs w:val="21"/>
                      <w:highlight w:val="none"/>
                      <w:vertAlign w:val="superscript"/>
                      <w:lang w:val="en-US" w:eastAsia="zh-CN"/>
                    </w:rPr>
                    <w:t>3</w:t>
                  </w:r>
                  <w:r>
                    <w:rPr>
                      <w:rFonts w:hint="eastAsia" w:ascii="Times New Roman" w:hAnsi="Times New Roman" w:eastAsia="仿宋" w:cs="Times New Roman"/>
                      <w:bCs/>
                      <w:color w:val="FF0000"/>
                      <w:spacing w:val="0"/>
                      <w:sz w:val="21"/>
                      <w:szCs w:val="21"/>
                      <w:highlight w:val="none"/>
                      <w:lang w:val="en-US" w:eastAsia="zh-CN"/>
                    </w:rPr>
                    <w:t>/a</w:t>
                  </w:r>
                </w:p>
              </w:tc>
            </w:tr>
            <w:tr w14:paraId="1D7D418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0" w:hRule="atLeast"/>
                <w:jc w:val="center"/>
              </w:trPr>
              <w:tc>
                <w:tcPr>
                  <w:tcW w:w="502" w:type="dxa"/>
                  <w:vMerge w:val="continue"/>
                  <w:tcBorders>
                    <w:tl2br w:val="nil"/>
                    <w:tr2bl w:val="nil"/>
                  </w:tcBorders>
                  <w:vAlign w:val="center"/>
                </w:tcPr>
                <w:p w14:paraId="1BA11D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710" w:type="dxa"/>
                  <w:tcBorders>
                    <w:tl2br w:val="nil"/>
                    <w:tr2bl w:val="nil"/>
                  </w:tcBorders>
                  <w:shd w:val="clear" w:color="auto" w:fill="auto"/>
                  <w:vAlign w:val="center"/>
                </w:tcPr>
                <w:p w14:paraId="2D46F9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剥离废石</w:t>
                  </w:r>
                </w:p>
              </w:tc>
              <w:tc>
                <w:tcPr>
                  <w:tcW w:w="1156" w:type="dxa"/>
                  <w:tcBorders>
                    <w:tl2br w:val="nil"/>
                    <w:tr2bl w:val="nil"/>
                  </w:tcBorders>
                  <w:vAlign w:val="center"/>
                </w:tcPr>
                <w:p w14:paraId="61EE99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13770m</w:t>
                  </w:r>
                  <w:r>
                    <w:rPr>
                      <w:rFonts w:hint="eastAsia" w:ascii="Times New Roman" w:hAnsi="Times New Roman" w:eastAsia="仿宋" w:cs="Times New Roman"/>
                      <w:bCs/>
                      <w:color w:val="FF0000"/>
                      <w:spacing w:val="0"/>
                      <w:sz w:val="21"/>
                      <w:szCs w:val="21"/>
                      <w:highlight w:val="none"/>
                      <w:vertAlign w:val="superscript"/>
                      <w:lang w:val="en-US" w:eastAsia="zh-CN"/>
                    </w:rPr>
                    <w:t>3</w:t>
                  </w:r>
                  <w:r>
                    <w:rPr>
                      <w:rFonts w:hint="eastAsia" w:ascii="Times New Roman" w:hAnsi="Times New Roman" w:eastAsia="仿宋" w:cs="Times New Roman"/>
                      <w:bCs/>
                      <w:color w:val="FF0000"/>
                      <w:spacing w:val="0"/>
                      <w:sz w:val="21"/>
                      <w:szCs w:val="21"/>
                      <w:highlight w:val="none"/>
                      <w:lang w:val="en-US" w:eastAsia="zh-CN"/>
                    </w:rPr>
                    <w:t>/a</w:t>
                  </w:r>
                </w:p>
              </w:tc>
              <w:tc>
                <w:tcPr>
                  <w:tcW w:w="353" w:type="dxa"/>
                  <w:tcBorders>
                    <w:tl2br w:val="nil"/>
                    <w:tr2bl w:val="nil"/>
                  </w:tcBorders>
                  <w:vAlign w:val="center"/>
                </w:tcPr>
                <w:p w14:paraId="38EDB8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571" w:type="dxa"/>
                  <w:tcBorders>
                    <w:tl2br w:val="nil"/>
                    <w:tr2bl w:val="nil"/>
                  </w:tcBorders>
                  <w:vAlign w:val="center"/>
                </w:tcPr>
                <w:p w14:paraId="2DA08D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2E12A6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210058m</w:t>
                  </w:r>
                  <w:r>
                    <w:rPr>
                      <w:rFonts w:hint="eastAsia" w:ascii="Times New Roman" w:hAnsi="Times New Roman" w:eastAsia="仿宋" w:cs="Times New Roman"/>
                      <w:bCs/>
                      <w:color w:val="FF0000"/>
                      <w:spacing w:val="0"/>
                      <w:sz w:val="21"/>
                      <w:szCs w:val="21"/>
                      <w:highlight w:val="none"/>
                      <w:vertAlign w:val="superscript"/>
                      <w:lang w:val="en-US" w:eastAsia="zh-CN"/>
                    </w:rPr>
                    <w:t>3</w:t>
                  </w:r>
                  <w:r>
                    <w:rPr>
                      <w:rFonts w:hint="eastAsia" w:ascii="Times New Roman" w:hAnsi="Times New Roman" w:eastAsia="仿宋" w:cs="Times New Roman"/>
                      <w:bCs/>
                      <w:color w:val="FF0000"/>
                      <w:spacing w:val="0"/>
                      <w:sz w:val="21"/>
                      <w:szCs w:val="21"/>
                      <w:highlight w:val="none"/>
                      <w:lang w:val="en-US" w:eastAsia="zh-CN"/>
                    </w:rPr>
                    <w:t>/a</w:t>
                  </w:r>
                </w:p>
              </w:tc>
              <w:tc>
                <w:tcPr>
                  <w:tcW w:w="576" w:type="dxa"/>
                  <w:tcBorders>
                    <w:tl2br w:val="nil"/>
                    <w:tr2bl w:val="nil"/>
                  </w:tcBorders>
                  <w:vAlign w:val="center"/>
                </w:tcPr>
                <w:p w14:paraId="28E74B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4A435E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210058m</w:t>
                  </w:r>
                  <w:r>
                    <w:rPr>
                      <w:rFonts w:hint="eastAsia" w:ascii="Times New Roman" w:hAnsi="Times New Roman" w:eastAsia="仿宋" w:cs="Times New Roman"/>
                      <w:bCs/>
                      <w:color w:val="FF0000"/>
                      <w:spacing w:val="0"/>
                      <w:sz w:val="21"/>
                      <w:szCs w:val="21"/>
                      <w:highlight w:val="none"/>
                      <w:vertAlign w:val="superscript"/>
                      <w:lang w:val="en-US" w:eastAsia="zh-CN"/>
                    </w:rPr>
                    <w:t>3</w:t>
                  </w:r>
                  <w:r>
                    <w:rPr>
                      <w:rFonts w:hint="eastAsia" w:ascii="Times New Roman" w:hAnsi="Times New Roman" w:eastAsia="仿宋" w:cs="Times New Roman"/>
                      <w:bCs/>
                      <w:color w:val="FF0000"/>
                      <w:spacing w:val="0"/>
                      <w:sz w:val="21"/>
                      <w:szCs w:val="21"/>
                      <w:highlight w:val="none"/>
                      <w:lang w:val="en-US" w:eastAsia="zh-CN"/>
                    </w:rPr>
                    <w:t>/a</w:t>
                  </w:r>
                </w:p>
              </w:tc>
              <w:tc>
                <w:tcPr>
                  <w:tcW w:w="1243" w:type="dxa"/>
                  <w:tcBorders>
                    <w:tl2br w:val="nil"/>
                    <w:tr2bl w:val="nil"/>
                  </w:tcBorders>
                  <w:vAlign w:val="center"/>
                </w:tcPr>
                <w:p w14:paraId="7DDB81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+196288m</w:t>
                  </w:r>
                  <w:r>
                    <w:rPr>
                      <w:rFonts w:hint="eastAsia" w:ascii="Times New Roman" w:hAnsi="Times New Roman" w:eastAsia="仿宋" w:cs="Times New Roman"/>
                      <w:bCs/>
                      <w:color w:val="FF0000"/>
                      <w:spacing w:val="0"/>
                      <w:sz w:val="21"/>
                      <w:szCs w:val="21"/>
                      <w:highlight w:val="none"/>
                      <w:vertAlign w:val="superscript"/>
                      <w:lang w:val="en-US" w:eastAsia="zh-CN"/>
                    </w:rPr>
                    <w:t>3</w:t>
                  </w:r>
                  <w:r>
                    <w:rPr>
                      <w:rFonts w:hint="eastAsia" w:ascii="Times New Roman" w:hAnsi="Times New Roman" w:eastAsia="仿宋" w:cs="Times New Roman"/>
                      <w:bCs/>
                      <w:color w:val="FF0000"/>
                      <w:spacing w:val="0"/>
                      <w:sz w:val="21"/>
                      <w:szCs w:val="21"/>
                      <w:highlight w:val="none"/>
                      <w:lang w:val="en-US" w:eastAsia="zh-CN"/>
                    </w:rPr>
                    <w:t>/a</w:t>
                  </w:r>
                </w:p>
              </w:tc>
            </w:tr>
            <w:tr w14:paraId="5D7138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0" w:hRule="atLeast"/>
                <w:jc w:val="center"/>
              </w:trPr>
              <w:tc>
                <w:tcPr>
                  <w:tcW w:w="502" w:type="dxa"/>
                  <w:vMerge w:val="continue"/>
                  <w:tcBorders>
                    <w:tl2br w:val="nil"/>
                    <w:tr2bl w:val="nil"/>
                  </w:tcBorders>
                  <w:vAlign w:val="center"/>
                </w:tcPr>
                <w:p w14:paraId="57AB69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710" w:type="dxa"/>
                  <w:tcBorders>
                    <w:tl2br w:val="nil"/>
                    <w:tr2bl w:val="nil"/>
                  </w:tcBorders>
                  <w:shd w:val="clear" w:color="auto" w:fill="auto"/>
                  <w:vAlign w:val="center"/>
                </w:tcPr>
                <w:p w14:paraId="023B3B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收尘灰</w:t>
                  </w:r>
                </w:p>
              </w:tc>
              <w:tc>
                <w:tcPr>
                  <w:tcW w:w="1156" w:type="dxa"/>
                  <w:tcBorders>
                    <w:tl2br w:val="nil"/>
                    <w:tr2bl w:val="nil"/>
                  </w:tcBorders>
                  <w:vAlign w:val="center"/>
                </w:tcPr>
                <w:p w14:paraId="2DF07F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353" w:type="dxa"/>
                  <w:tcBorders>
                    <w:tl2br w:val="nil"/>
                    <w:tr2bl w:val="nil"/>
                  </w:tcBorders>
                  <w:vAlign w:val="center"/>
                </w:tcPr>
                <w:p w14:paraId="40816D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571" w:type="dxa"/>
                  <w:tcBorders>
                    <w:tl2br w:val="nil"/>
                    <w:tr2bl w:val="nil"/>
                  </w:tcBorders>
                  <w:vAlign w:val="center"/>
                </w:tcPr>
                <w:p w14:paraId="7C09C7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33BEB1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301</w:t>
                  </w:r>
                  <w:r>
                    <w:rPr>
                      <w:rFonts w:hint="eastAsia" w:ascii="Times New Roman" w:hAnsi="Times New Roman" w:eastAsia="仿宋" w:cs="Times New Roman"/>
                      <w:bCs/>
                      <w:color w:val="FF0000"/>
                      <w:spacing w:val="0"/>
                      <w:sz w:val="21"/>
                      <w:szCs w:val="21"/>
                      <w:highlight w:val="none"/>
                      <w:lang w:val="en-US" w:eastAsia="zh-CN"/>
                    </w:rPr>
                    <w:t>t/a</w:t>
                  </w:r>
                </w:p>
              </w:tc>
              <w:tc>
                <w:tcPr>
                  <w:tcW w:w="576" w:type="dxa"/>
                  <w:tcBorders>
                    <w:tl2br w:val="nil"/>
                    <w:tr2bl w:val="nil"/>
                  </w:tcBorders>
                  <w:vAlign w:val="center"/>
                </w:tcPr>
                <w:p w14:paraId="337C12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7B7F36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301</w:t>
                  </w:r>
                  <w:r>
                    <w:rPr>
                      <w:rFonts w:hint="eastAsia" w:ascii="Times New Roman" w:hAnsi="Times New Roman" w:eastAsia="仿宋" w:cs="Times New Roman"/>
                      <w:bCs/>
                      <w:color w:val="FF0000"/>
                      <w:spacing w:val="0"/>
                      <w:sz w:val="21"/>
                      <w:szCs w:val="21"/>
                      <w:highlight w:val="none"/>
                      <w:lang w:val="en-US" w:eastAsia="zh-CN"/>
                    </w:rPr>
                    <w:t>t/a</w:t>
                  </w:r>
                </w:p>
              </w:tc>
              <w:tc>
                <w:tcPr>
                  <w:tcW w:w="1243" w:type="dxa"/>
                  <w:tcBorders>
                    <w:tl2br w:val="nil"/>
                    <w:tr2bl w:val="nil"/>
                  </w:tcBorders>
                  <w:vAlign w:val="center"/>
                </w:tcPr>
                <w:p w14:paraId="5A0FE7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w:t>
                  </w:r>
                  <w:r>
                    <w:rPr>
                      <w:rFonts w:hint="eastAsia" w:eastAsia="仿宋" w:cs="Times New Roman"/>
                      <w:bCs/>
                      <w:color w:val="FF0000"/>
                      <w:spacing w:val="0"/>
                      <w:sz w:val="21"/>
                      <w:szCs w:val="21"/>
                      <w:highlight w:val="none"/>
                      <w:lang w:val="en-US" w:eastAsia="zh-CN"/>
                    </w:rPr>
                    <w:t>301</w:t>
                  </w:r>
                  <w:r>
                    <w:rPr>
                      <w:rFonts w:hint="eastAsia" w:ascii="Times New Roman" w:hAnsi="Times New Roman" w:eastAsia="仿宋" w:cs="Times New Roman"/>
                      <w:bCs/>
                      <w:color w:val="FF0000"/>
                      <w:spacing w:val="0"/>
                      <w:sz w:val="21"/>
                      <w:szCs w:val="21"/>
                      <w:highlight w:val="none"/>
                      <w:lang w:val="en-US" w:eastAsia="zh-CN"/>
                    </w:rPr>
                    <w:t>t/a</w:t>
                  </w:r>
                </w:p>
              </w:tc>
            </w:tr>
            <w:tr w14:paraId="7B916A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0" w:hRule="atLeast"/>
                <w:jc w:val="center"/>
              </w:trPr>
              <w:tc>
                <w:tcPr>
                  <w:tcW w:w="502" w:type="dxa"/>
                  <w:vMerge w:val="continue"/>
                  <w:tcBorders>
                    <w:tl2br w:val="nil"/>
                    <w:tr2bl w:val="nil"/>
                  </w:tcBorders>
                  <w:vAlign w:val="center"/>
                </w:tcPr>
                <w:p w14:paraId="4A3E81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p>
              </w:tc>
              <w:tc>
                <w:tcPr>
                  <w:tcW w:w="710" w:type="dxa"/>
                  <w:tcBorders>
                    <w:tl2br w:val="nil"/>
                    <w:tr2bl w:val="nil"/>
                  </w:tcBorders>
                  <w:shd w:val="clear" w:color="auto" w:fill="auto"/>
                  <w:vAlign w:val="center"/>
                </w:tcPr>
                <w:p w14:paraId="14C4CB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废布袋</w:t>
                  </w:r>
                </w:p>
              </w:tc>
              <w:tc>
                <w:tcPr>
                  <w:tcW w:w="1156" w:type="dxa"/>
                  <w:tcBorders>
                    <w:tl2br w:val="nil"/>
                    <w:tr2bl w:val="nil"/>
                  </w:tcBorders>
                  <w:vAlign w:val="center"/>
                </w:tcPr>
                <w:p w14:paraId="56959C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353" w:type="dxa"/>
                  <w:tcBorders>
                    <w:tl2br w:val="nil"/>
                    <w:tr2bl w:val="nil"/>
                  </w:tcBorders>
                  <w:vAlign w:val="center"/>
                </w:tcPr>
                <w:p w14:paraId="2E4637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571" w:type="dxa"/>
                  <w:tcBorders>
                    <w:tl2br w:val="nil"/>
                    <w:tr2bl w:val="nil"/>
                  </w:tcBorders>
                  <w:vAlign w:val="center"/>
                </w:tcPr>
                <w:p w14:paraId="3C3780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32D1DC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2个</w:t>
                  </w:r>
                  <w:r>
                    <w:rPr>
                      <w:rFonts w:hint="default" w:ascii="Times New Roman" w:hAnsi="Times New Roman" w:eastAsia="仿宋" w:cs="Times New Roman"/>
                      <w:bCs/>
                      <w:color w:val="FF0000"/>
                      <w:spacing w:val="0"/>
                      <w:sz w:val="21"/>
                      <w:szCs w:val="21"/>
                      <w:highlight w:val="none"/>
                      <w:lang w:val="en-US" w:eastAsia="zh-CN"/>
                    </w:rPr>
                    <w:t>/</w:t>
                  </w:r>
                  <w:r>
                    <w:rPr>
                      <w:rFonts w:hint="eastAsia" w:eastAsia="仿宋" w:cs="Times New Roman"/>
                      <w:bCs/>
                      <w:color w:val="FF0000"/>
                      <w:spacing w:val="0"/>
                      <w:sz w:val="21"/>
                      <w:szCs w:val="21"/>
                      <w:highlight w:val="none"/>
                      <w:lang w:val="en-US" w:eastAsia="zh-CN"/>
                    </w:rPr>
                    <w:t>次</w:t>
                  </w:r>
                </w:p>
              </w:tc>
              <w:tc>
                <w:tcPr>
                  <w:tcW w:w="576" w:type="dxa"/>
                  <w:tcBorders>
                    <w:tl2br w:val="nil"/>
                    <w:tr2bl w:val="nil"/>
                  </w:tcBorders>
                  <w:vAlign w:val="center"/>
                </w:tcPr>
                <w:p w14:paraId="536F22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6DEF55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eastAsia="仿宋" w:cs="Times New Roman"/>
                      <w:bCs/>
                      <w:color w:val="FF0000"/>
                      <w:spacing w:val="0"/>
                      <w:sz w:val="21"/>
                      <w:szCs w:val="21"/>
                      <w:highlight w:val="none"/>
                      <w:lang w:val="en-US" w:eastAsia="zh-CN"/>
                    </w:rPr>
                    <w:t>2个</w:t>
                  </w:r>
                  <w:r>
                    <w:rPr>
                      <w:rFonts w:hint="default" w:ascii="Times New Roman" w:hAnsi="Times New Roman" w:eastAsia="仿宋" w:cs="Times New Roman"/>
                      <w:bCs/>
                      <w:color w:val="FF0000"/>
                      <w:spacing w:val="0"/>
                      <w:sz w:val="21"/>
                      <w:szCs w:val="21"/>
                      <w:highlight w:val="none"/>
                      <w:lang w:val="en-US" w:eastAsia="zh-CN"/>
                    </w:rPr>
                    <w:t>/</w:t>
                  </w:r>
                  <w:r>
                    <w:rPr>
                      <w:rFonts w:hint="eastAsia" w:eastAsia="仿宋" w:cs="Times New Roman"/>
                      <w:bCs/>
                      <w:color w:val="FF0000"/>
                      <w:spacing w:val="0"/>
                      <w:sz w:val="21"/>
                      <w:szCs w:val="21"/>
                      <w:highlight w:val="none"/>
                      <w:lang w:val="en-US" w:eastAsia="zh-CN"/>
                    </w:rPr>
                    <w:t>次</w:t>
                  </w:r>
                </w:p>
              </w:tc>
              <w:tc>
                <w:tcPr>
                  <w:tcW w:w="1243" w:type="dxa"/>
                  <w:tcBorders>
                    <w:tl2br w:val="nil"/>
                    <w:tr2bl w:val="nil"/>
                  </w:tcBorders>
                  <w:vAlign w:val="center"/>
                </w:tcPr>
                <w:p w14:paraId="68CFB9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r>
                    <w:rPr>
                      <w:rFonts w:hint="eastAsia" w:eastAsia="仿宋" w:cs="Times New Roman"/>
                      <w:bCs/>
                      <w:color w:val="FF0000"/>
                      <w:spacing w:val="0"/>
                      <w:sz w:val="21"/>
                      <w:szCs w:val="21"/>
                      <w:highlight w:val="none"/>
                      <w:lang w:val="en-US" w:eastAsia="zh-CN"/>
                    </w:rPr>
                    <w:t>2个</w:t>
                  </w:r>
                  <w:r>
                    <w:rPr>
                      <w:rFonts w:hint="default" w:ascii="Times New Roman" w:hAnsi="Times New Roman" w:eastAsia="仿宋" w:cs="Times New Roman"/>
                      <w:bCs/>
                      <w:color w:val="FF0000"/>
                      <w:spacing w:val="0"/>
                      <w:sz w:val="21"/>
                      <w:szCs w:val="21"/>
                      <w:highlight w:val="none"/>
                      <w:lang w:val="en-US" w:eastAsia="zh-CN"/>
                    </w:rPr>
                    <w:t>/</w:t>
                  </w:r>
                  <w:r>
                    <w:rPr>
                      <w:rFonts w:hint="eastAsia" w:eastAsia="仿宋" w:cs="Times New Roman"/>
                      <w:bCs/>
                      <w:color w:val="FF0000"/>
                      <w:spacing w:val="0"/>
                      <w:sz w:val="21"/>
                      <w:szCs w:val="21"/>
                      <w:highlight w:val="none"/>
                      <w:lang w:val="en-US" w:eastAsia="zh-CN"/>
                    </w:rPr>
                    <w:t>次</w:t>
                  </w:r>
                </w:p>
              </w:tc>
            </w:tr>
            <w:tr w14:paraId="24935E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0" w:hRule="atLeast"/>
                <w:jc w:val="center"/>
              </w:trPr>
              <w:tc>
                <w:tcPr>
                  <w:tcW w:w="502" w:type="dxa"/>
                  <w:tcBorders>
                    <w:tl2br w:val="nil"/>
                    <w:tr2bl w:val="nil"/>
                  </w:tcBorders>
                  <w:vAlign w:val="center"/>
                </w:tcPr>
                <w:p w14:paraId="68AA78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生活垃圾</w:t>
                  </w:r>
                </w:p>
              </w:tc>
              <w:tc>
                <w:tcPr>
                  <w:tcW w:w="710" w:type="dxa"/>
                  <w:tcBorders>
                    <w:tl2br w:val="nil"/>
                    <w:tr2bl w:val="nil"/>
                  </w:tcBorders>
                  <w:shd w:val="clear" w:color="auto" w:fill="auto"/>
                  <w:vAlign w:val="center"/>
                </w:tcPr>
                <w:p w14:paraId="0099E6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生活垃圾</w:t>
                  </w:r>
                </w:p>
              </w:tc>
              <w:tc>
                <w:tcPr>
                  <w:tcW w:w="1156" w:type="dxa"/>
                  <w:tcBorders>
                    <w:tl2br w:val="nil"/>
                    <w:tr2bl w:val="nil"/>
                  </w:tcBorders>
                  <w:vAlign w:val="center"/>
                </w:tcPr>
                <w:p w14:paraId="6E0938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1.5t/a</w:t>
                  </w:r>
                </w:p>
              </w:tc>
              <w:tc>
                <w:tcPr>
                  <w:tcW w:w="353" w:type="dxa"/>
                  <w:tcBorders>
                    <w:tl2br w:val="nil"/>
                    <w:tr2bl w:val="nil"/>
                  </w:tcBorders>
                  <w:vAlign w:val="center"/>
                </w:tcPr>
                <w:p w14:paraId="481266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571" w:type="dxa"/>
                  <w:tcBorders>
                    <w:tl2br w:val="nil"/>
                    <w:tr2bl w:val="nil"/>
                  </w:tcBorders>
                  <w:vAlign w:val="center"/>
                </w:tcPr>
                <w:p w14:paraId="304BCC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22633D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2.5</w:t>
                  </w:r>
                  <w:r>
                    <w:rPr>
                      <w:rFonts w:hint="default" w:ascii="Times New Roman" w:hAnsi="Times New Roman" w:eastAsia="仿宋" w:cs="Times New Roman"/>
                      <w:bCs/>
                      <w:color w:val="FF0000"/>
                      <w:spacing w:val="0"/>
                      <w:sz w:val="21"/>
                      <w:szCs w:val="21"/>
                      <w:highlight w:val="none"/>
                      <w:lang w:val="en-US" w:eastAsia="zh-CN"/>
                    </w:rPr>
                    <w:t>t/a</w:t>
                  </w:r>
                </w:p>
              </w:tc>
              <w:tc>
                <w:tcPr>
                  <w:tcW w:w="576" w:type="dxa"/>
                  <w:tcBorders>
                    <w:tl2br w:val="nil"/>
                    <w:tr2bl w:val="nil"/>
                  </w:tcBorders>
                  <w:vAlign w:val="center"/>
                </w:tcPr>
                <w:p w14:paraId="6F2DE4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1264C9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2.5</w:t>
                  </w:r>
                  <w:r>
                    <w:rPr>
                      <w:rFonts w:hint="default" w:ascii="Times New Roman" w:hAnsi="Times New Roman" w:eastAsia="仿宋" w:cs="Times New Roman"/>
                      <w:bCs/>
                      <w:color w:val="FF0000"/>
                      <w:spacing w:val="0"/>
                      <w:sz w:val="21"/>
                      <w:szCs w:val="21"/>
                      <w:highlight w:val="none"/>
                      <w:lang w:val="en-US" w:eastAsia="zh-CN"/>
                    </w:rPr>
                    <w:t>t/a</w:t>
                  </w:r>
                </w:p>
              </w:tc>
              <w:tc>
                <w:tcPr>
                  <w:tcW w:w="1243" w:type="dxa"/>
                  <w:tcBorders>
                    <w:tl2br w:val="nil"/>
                    <w:tr2bl w:val="nil"/>
                  </w:tcBorders>
                  <w:vAlign w:val="center"/>
                </w:tcPr>
                <w:p w14:paraId="2C4E37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w:t>
                  </w:r>
                  <w:r>
                    <w:rPr>
                      <w:rFonts w:hint="default" w:ascii="Times New Roman" w:hAnsi="Times New Roman" w:eastAsia="仿宋" w:cs="Times New Roman"/>
                      <w:bCs/>
                      <w:color w:val="FF0000"/>
                      <w:spacing w:val="0"/>
                      <w:sz w:val="21"/>
                      <w:szCs w:val="21"/>
                      <w:highlight w:val="none"/>
                      <w:lang w:val="en-US" w:eastAsia="zh-CN"/>
                    </w:rPr>
                    <w:t>1.</w:t>
                  </w:r>
                  <w:r>
                    <w:rPr>
                      <w:rFonts w:hint="eastAsia" w:ascii="Times New Roman" w:hAnsi="Times New Roman" w:eastAsia="仿宋" w:cs="Times New Roman"/>
                      <w:bCs/>
                      <w:color w:val="FF0000"/>
                      <w:spacing w:val="0"/>
                      <w:sz w:val="21"/>
                      <w:szCs w:val="21"/>
                      <w:highlight w:val="none"/>
                      <w:lang w:val="en-US" w:eastAsia="zh-CN"/>
                    </w:rPr>
                    <w:t>0</w:t>
                  </w:r>
                  <w:r>
                    <w:rPr>
                      <w:rFonts w:hint="default" w:ascii="Times New Roman" w:hAnsi="Times New Roman" w:eastAsia="仿宋" w:cs="Times New Roman"/>
                      <w:bCs/>
                      <w:color w:val="FF0000"/>
                      <w:spacing w:val="0"/>
                      <w:sz w:val="21"/>
                      <w:szCs w:val="21"/>
                      <w:highlight w:val="none"/>
                      <w:lang w:val="en-US" w:eastAsia="zh-CN"/>
                    </w:rPr>
                    <w:t>t/a</w:t>
                  </w:r>
                </w:p>
              </w:tc>
            </w:tr>
            <w:tr w14:paraId="6303A5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502" w:type="dxa"/>
                  <w:tcBorders>
                    <w:tl2br w:val="nil"/>
                    <w:tr2bl w:val="nil"/>
                  </w:tcBorders>
                  <w:vAlign w:val="center"/>
                </w:tcPr>
                <w:p w14:paraId="01542F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危险废物</w:t>
                  </w:r>
                </w:p>
              </w:tc>
              <w:tc>
                <w:tcPr>
                  <w:tcW w:w="710" w:type="dxa"/>
                  <w:tcBorders>
                    <w:tl2br w:val="nil"/>
                    <w:tr2bl w:val="nil"/>
                  </w:tcBorders>
                  <w:vAlign w:val="center"/>
                </w:tcPr>
                <w:p w14:paraId="07C4C9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废润滑油、废油桶</w:t>
                  </w:r>
                </w:p>
              </w:tc>
              <w:tc>
                <w:tcPr>
                  <w:tcW w:w="1156" w:type="dxa"/>
                  <w:tcBorders>
                    <w:tl2br w:val="nil"/>
                    <w:tr2bl w:val="nil"/>
                  </w:tcBorders>
                  <w:vAlign w:val="center"/>
                </w:tcPr>
                <w:p w14:paraId="05C172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0.2t/a</w:t>
                  </w:r>
                </w:p>
              </w:tc>
              <w:tc>
                <w:tcPr>
                  <w:tcW w:w="353" w:type="dxa"/>
                  <w:tcBorders>
                    <w:tl2br w:val="nil"/>
                    <w:tr2bl w:val="nil"/>
                  </w:tcBorders>
                  <w:vAlign w:val="center"/>
                </w:tcPr>
                <w:p w14:paraId="2FADAA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571" w:type="dxa"/>
                  <w:tcBorders>
                    <w:tl2br w:val="nil"/>
                    <w:tr2bl w:val="nil"/>
                  </w:tcBorders>
                  <w:vAlign w:val="center"/>
                </w:tcPr>
                <w:p w14:paraId="7CD427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514071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0.8</w:t>
                  </w:r>
                  <w:r>
                    <w:rPr>
                      <w:rFonts w:hint="default" w:ascii="Times New Roman" w:hAnsi="Times New Roman" w:eastAsia="仿宋" w:cs="Times New Roman"/>
                      <w:bCs/>
                      <w:color w:val="FF0000"/>
                      <w:spacing w:val="0"/>
                      <w:sz w:val="21"/>
                      <w:szCs w:val="21"/>
                      <w:highlight w:val="none"/>
                      <w:lang w:val="en-US" w:eastAsia="zh-CN"/>
                    </w:rPr>
                    <w:t>t/a</w:t>
                  </w:r>
                </w:p>
              </w:tc>
              <w:tc>
                <w:tcPr>
                  <w:tcW w:w="576" w:type="dxa"/>
                  <w:tcBorders>
                    <w:tl2br w:val="nil"/>
                    <w:tr2bl w:val="nil"/>
                  </w:tcBorders>
                  <w:vAlign w:val="center"/>
                </w:tcPr>
                <w:p w14:paraId="749748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p>
              </w:tc>
              <w:tc>
                <w:tcPr>
                  <w:tcW w:w="1242" w:type="dxa"/>
                  <w:tcBorders>
                    <w:tl2br w:val="nil"/>
                    <w:tr2bl w:val="nil"/>
                  </w:tcBorders>
                  <w:vAlign w:val="center"/>
                </w:tcPr>
                <w:p w14:paraId="532D85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eastAsia" w:ascii="Times New Roman" w:hAnsi="Times New Roman" w:eastAsia="仿宋" w:cs="Times New Roman"/>
                      <w:bCs/>
                      <w:color w:val="FF0000"/>
                      <w:spacing w:val="0"/>
                      <w:sz w:val="21"/>
                      <w:szCs w:val="21"/>
                      <w:highlight w:val="none"/>
                      <w:lang w:val="en-US" w:eastAsia="zh-CN"/>
                    </w:rPr>
                    <w:t>0.8</w:t>
                  </w:r>
                  <w:r>
                    <w:rPr>
                      <w:rFonts w:hint="default" w:ascii="Times New Roman" w:hAnsi="Times New Roman" w:eastAsia="仿宋" w:cs="Times New Roman"/>
                      <w:bCs/>
                      <w:color w:val="FF0000"/>
                      <w:spacing w:val="0"/>
                      <w:sz w:val="21"/>
                      <w:szCs w:val="21"/>
                      <w:highlight w:val="none"/>
                      <w:lang w:val="en-US" w:eastAsia="zh-CN"/>
                    </w:rPr>
                    <w:t>t/a</w:t>
                  </w:r>
                </w:p>
              </w:tc>
              <w:tc>
                <w:tcPr>
                  <w:tcW w:w="1243" w:type="dxa"/>
                  <w:tcBorders>
                    <w:tl2br w:val="nil"/>
                    <w:tr2bl w:val="nil"/>
                  </w:tcBorders>
                  <w:vAlign w:val="center"/>
                </w:tcPr>
                <w:p w14:paraId="2FAA89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Cs/>
                      <w:color w:val="FF0000"/>
                      <w:spacing w:val="0"/>
                      <w:sz w:val="21"/>
                      <w:szCs w:val="21"/>
                      <w:highlight w:val="none"/>
                      <w:lang w:val="en-US" w:eastAsia="zh-CN"/>
                    </w:rPr>
                  </w:pPr>
                  <w:r>
                    <w:rPr>
                      <w:rFonts w:hint="default" w:ascii="Times New Roman" w:hAnsi="Times New Roman" w:eastAsia="仿宋" w:cs="Times New Roman"/>
                      <w:bCs/>
                      <w:color w:val="FF0000"/>
                      <w:spacing w:val="0"/>
                      <w:sz w:val="21"/>
                      <w:szCs w:val="21"/>
                      <w:highlight w:val="none"/>
                      <w:lang w:val="en-US" w:eastAsia="zh-CN"/>
                    </w:rPr>
                    <w:t>+</w:t>
                  </w:r>
                  <w:r>
                    <w:rPr>
                      <w:rFonts w:hint="eastAsia" w:ascii="Times New Roman" w:hAnsi="Times New Roman" w:eastAsia="仿宋" w:cs="Times New Roman"/>
                      <w:bCs/>
                      <w:color w:val="FF0000"/>
                      <w:spacing w:val="0"/>
                      <w:sz w:val="21"/>
                      <w:szCs w:val="21"/>
                      <w:highlight w:val="none"/>
                      <w:lang w:val="en-US" w:eastAsia="zh-CN"/>
                    </w:rPr>
                    <w:t>0.6</w:t>
                  </w:r>
                  <w:r>
                    <w:rPr>
                      <w:rFonts w:hint="default" w:ascii="Times New Roman" w:hAnsi="Times New Roman" w:eastAsia="仿宋" w:cs="Times New Roman"/>
                      <w:bCs/>
                      <w:color w:val="FF0000"/>
                      <w:spacing w:val="0"/>
                      <w:sz w:val="21"/>
                      <w:szCs w:val="21"/>
                      <w:highlight w:val="none"/>
                      <w:lang w:val="en-US" w:eastAsia="zh-CN"/>
                    </w:rPr>
                    <w:t>t/a</w:t>
                  </w:r>
                </w:p>
              </w:tc>
            </w:tr>
          </w:tbl>
          <w:p w14:paraId="48B69881">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 w:cs="Times New Roman"/>
                <w:b/>
                <w:bCs/>
                <w:color w:val="000000" w:themeColor="text1"/>
                <w:szCs w:val="21"/>
                <w14:textFill>
                  <w14:solidFill>
                    <w14:schemeClr w14:val="tx1"/>
                  </w14:solidFill>
                </w14:textFill>
              </w:rPr>
            </w:pPr>
          </w:p>
          <w:p w14:paraId="6595316D">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 w:cs="Times New Roman"/>
                <w:b/>
                <w:bCs/>
                <w:color w:val="000000" w:themeColor="text1"/>
                <w:szCs w:val="21"/>
                <w14:textFill>
                  <w14:solidFill>
                    <w14:schemeClr w14:val="tx1"/>
                  </w14:solidFill>
                </w14:textFill>
              </w:rPr>
            </w:pPr>
          </w:p>
          <w:p w14:paraId="3E0B726D">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 w:cs="Times New Roman"/>
                <w:b/>
                <w:bCs/>
                <w:color w:val="000000" w:themeColor="text1"/>
                <w:szCs w:val="21"/>
                <w14:textFill>
                  <w14:solidFill>
                    <w14:schemeClr w14:val="tx1"/>
                  </w14:solidFill>
                </w14:textFill>
              </w:rPr>
            </w:pPr>
          </w:p>
          <w:p w14:paraId="27510A2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 w:cs="Times New Roman"/>
                <w:b/>
                <w:bCs/>
                <w:color w:val="000000" w:themeColor="text1"/>
                <w:szCs w:val="21"/>
                <w14:textFill>
                  <w14:solidFill>
                    <w14:schemeClr w14:val="tx1"/>
                  </w14:solidFill>
                </w14:textFill>
              </w:rPr>
            </w:pPr>
          </w:p>
          <w:p w14:paraId="32D0C8BC">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 w:cs="Times New Roman"/>
                <w:b/>
                <w:bCs/>
                <w:color w:val="000000" w:themeColor="text1"/>
                <w:szCs w:val="21"/>
                <w14:textFill>
                  <w14:solidFill>
                    <w14:schemeClr w14:val="tx1"/>
                  </w14:solidFill>
                </w14:textFill>
              </w:rPr>
            </w:pPr>
          </w:p>
          <w:p w14:paraId="588021BB">
            <w:pPr>
              <w:keepNext w:val="0"/>
              <w:keepLines w:val="0"/>
              <w:pageBreakBefore w:val="0"/>
              <w:widowControl/>
              <w:kinsoku/>
              <w:wordWrap/>
              <w:overflowPunct/>
              <w:topLinePunct w:val="0"/>
              <w:autoSpaceDE/>
              <w:autoSpaceDN/>
              <w:bidi w:val="0"/>
              <w:adjustRightInd w:val="0"/>
              <w:snapToGrid w:val="0"/>
              <w:jc w:val="both"/>
              <w:textAlignment w:val="auto"/>
              <w:rPr>
                <w:rFonts w:hint="default" w:ascii="Times New Roman" w:hAnsi="Times New Roman" w:eastAsia="仿宋" w:cs="Times New Roman"/>
                <w:b/>
                <w:bCs/>
                <w:color w:val="000000" w:themeColor="text1"/>
                <w:szCs w:val="21"/>
                <w14:textFill>
                  <w14:solidFill>
                    <w14:schemeClr w14:val="tx1"/>
                  </w14:solidFill>
                </w14:textFill>
              </w:rPr>
            </w:pPr>
          </w:p>
          <w:p w14:paraId="7EFD2348">
            <w:pPr>
              <w:keepNext w:val="0"/>
              <w:keepLines w:val="0"/>
              <w:pageBreakBefore w:val="0"/>
              <w:widowControl/>
              <w:kinsoku/>
              <w:wordWrap/>
              <w:overflowPunct/>
              <w:topLinePunct w:val="0"/>
              <w:autoSpaceDE/>
              <w:autoSpaceDN/>
              <w:bidi w:val="0"/>
              <w:adjustRightInd w:val="0"/>
              <w:snapToGrid w:val="0"/>
              <w:jc w:val="both"/>
              <w:textAlignment w:val="auto"/>
              <w:rPr>
                <w:rFonts w:hint="default" w:ascii="Times New Roman" w:hAnsi="Times New Roman" w:eastAsia="仿宋" w:cs="Times New Roman"/>
                <w:b/>
                <w:bCs/>
                <w:color w:val="000000" w:themeColor="text1"/>
                <w:szCs w:val="21"/>
                <w14:textFill>
                  <w14:solidFill>
                    <w14:schemeClr w14:val="tx1"/>
                  </w14:solidFill>
                </w14:textFill>
              </w:rPr>
            </w:pPr>
          </w:p>
          <w:p w14:paraId="127F6EA2">
            <w:pPr>
              <w:keepNext w:val="0"/>
              <w:keepLines w:val="0"/>
              <w:pageBreakBefore w:val="0"/>
              <w:widowControl/>
              <w:kinsoku/>
              <w:wordWrap/>
              <w:overflowPunct/>
              <w:topLinePunct w:val="0"/>
              <w:autoSpaceDE/>
              <w:autoSpaceDN/>
              <w:bidi w:val="0"/>
              <w:adjustRightInd w:val="0"/>
              <w:snapToGrid w:val="0"/>
              <w:jc w:val="both"/>
              <w:textAlignment w:val="auto"/>
              <w:rPr>
                <w:rFonts w:hint="default" w:ascii="Times New Roman" w:hAnsi="Times New Roman" w:eastAsia="仿宋" w:cs="Times New Roman"/>
                <w:b/>
                <w:bCs/>
                <w:color w:val="000000" w:themeColor="text1"/>
                <w:szCs w:val="21"/>
                <w14:textFill>
                  <w14:solidFill>
                    <w14:schemeClr w14:val="tx1"/>
                  </w14:solidFill>
                </w14:textFill>
              </w:rPr>
            </w:pPr>
          </w:p>
          <w:p w14:paraId="04F223DA">
            <w:pPr>
              <w:keepNext w:val="0"/>
              <w:keepLines w:val="0"/>
              <w:pageBreakBefore w:val="0"/>
              <w:widowControl/>
              <w:kinsoku/>
              <w:wordWrap/>
              <w:overflowPunct/>
              <w:topLinePunct w:val="0"/>
              <w:autoSpaceDE/>
              <w:autoSpaceDN/>
              <w:bidi w:val="0"/>
              <w:adjustRightInd w:val="0"/>
              <w:snapToGrid w:val="0"/>
              <w:jc w:val="both"/>
              <w:textAlignment w:val="auto"/>
              <w:rPr>
                <w:rFonts w:hint="default" w:ascii="Times New Roman" w:hAnsi="Times New Roman" w:eastAsia="仿宋" w:cs="Times New Roman"/>
                <w:b/>
                <w:bCs/>
                <w:color w:val="000000" w:themeColor="text1"/>
                <w:szCs w:val="21"/>
                <w14:textFill>
                  <w14:solidFill>
                    <w14:schemeClr w14:val="tx1"/>
                  </w14:solidFill>
                </w14:textFill>
              </w:rPr>
            </w:pPr>
          </w:p>
          <w:p w14:paraId="1B3C6310">
            <w:pPr>
              <w:keepNext w:val="0"/>
              <w:keepLines w:val="0"/>
              <w:pageBreakBefore w:val="0"/>
              <w:widowControl/>
              <w:kinsoku/>
              <w:wordWrap/>
              <w:overflowPunct/>
              <w:topLinePunct w:val="0"/>
              <w:autoSpaceDE/>
              <w:autoSpaceDN/>
              <w:bidi w:val="0"/>
              <w:adjustRightInd w:val="0"/>
              <w:snapToGrid w:val="0"/>
              <w:jc w:val="both"/>
              <w:textAlignment w:val="auto"/>
              <w:rPr>
                <w:rFonts w:hint="default" w:ascii="Times New Roman" w:hAnsi="Times New Roman" w:eastAsia="仿宋" w:cs="Times New Roman"/>
                <w:b/>
                <w:bCs/>
                <w:color w:val="000000" w:themeColor="text1"/>
                <w:szCs w:val="21"/>
                <w14:textFill>
                  <w14:solidFill>
                    <w14:schemeClr w14:val="tx1"/>
                  </w14:solidFill>
                </w14:textFill>
              </w:rPr>
            </w:pPr>
          </w:p>
          <w:p w14:paraId="5C886D4E">
            <w:pPr>
              <w:keepNext w:val="0"/>
              <w:keepLines w:val="0"/>
              <w:pageBreakBefore w:val="0"/>
              <w:widowControl/>
              <w:kinsoku/>
              <w:wordWrap/>
              <w:overflowPunct/>
              <w:topLinePunct w:val="0"/>
              <w:autoSpaceDE/>
              <w:autoSpaceDN/>
              <w:bidi w:val="0"/>
              <w:adjustRightInd w:val="0"/>
              <w:snapToGrid w:val="0"/>
              <w:jc w:val="both"/>
              <w:textAlignment w:val="auto"/>
              <w:rPr>
                <w:rFonts w:hint="default" w:ascii="Times New Roman" w:hAnsi="Times New Roman" w:eastAsia="仿宋" w:cs="Times New Roman"/>
                <w:b/>
                <w:bCs/>
                <w:color w:val="000000" w:themeColor="text1"/>
                <w:szCs w:val="21"/>
                <w14:textFill>
                  <w14:solidFill>
                    <w14:schemeClr w14:val="tx1"/>
                  </w14:solidFill>
                </w14:textFill>
              </w:rPr>
            </w:pPr>
          </w:p>
          <w:p w14:paraId="0FFCC5FD">
            <w:pPr>
              <w:keepNext w:val="0"/>
              <w:keepLines w:val="0"/>
              <w:pageBreakBefore w:val="0"/>
              <w:widowControl/>
              <w:kinsoku/>
              <w:wordWrap/>
              <w:overflowPunct/>
              <w:topLinePunct w:val="0"/>
              <w:autoSpaceDE/>
              <w:autoSpaceDN/>
              <w:bidi w:val="0"/>
              <w:adjustRightInd w:val="0"/>
              <w:snapToGrid w:val="0"/>
              <w:jc w:val="both"/>
              <w:textAlignment w:val="auto"/>
              <w:rPr>
                <w:rFonts w:hint="default" w:ascii="Times New Roman" w:hAnsi="Times New Roman" w:eastAsia="仿宋" w:cs="Times New Roman"/>
                <w:b/>
                <w:bCs/>
                <w:color w:val="000000" w:themeColor="text1"/>
                <w:szCs w:val="21"/>
                <w14:textFill>
                  <w14:solidFill>
                    <w14:schemeClr w14:val="tx1"/>
                  </w14:solidFill>
                </w14:textFill>
              </w:rPr>
            </w:pPr>
          </w:p>
          <w:p w14:paraId="337EC319">
            <w:pPr>
              <w:rPr>
                <w:rFonts w:hint="eastAsia" w:ascii="Times New Roman" w:hAnsi="Times New Roman" w:eastAsia="仿宋" w:cs="Times New Roman"/>
                <w:color w:val="000000" w:themeColor="text1"/>
                <w:highlight w:val="none"/>
                <w:lang w:eastAsia="zh-CN"/>
                <w14:textFill>
                  <w14:solidFill>
                    <w14:schemeClr w14:val="tx1"/>
                  </w14:solidFill>
                </w14:textFill>
              </w:rPr>
            </w:pPr>
          </w:p>
        </w:tc>
      </w:tr>
    </w:tbl>
    <w:p w14:paraId="10EDB377">
      <w:pPr>
        <w:bidi w:val="0"/>
        <w:rPr>
          <w:rFonts w:hint="default" w:ascii="Times New Roman" w:hAnsi="Times New Roman" w:eastAsia="仿宋" w:cs="Times New Roman"/>
          <w:color w:val="auto"/>
          <w:highlight w:val="none"/>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5CCFF510">
      <w:pPr>
        <w:pStyle w:val="20"/>
        <w:jc w:val="center"/>
        <w:outlineLvl w:val="0"/>
        <w:rPr>
          <w:rFonts w:ascii="Times New Roman" w:hAnsi="Times New Roman" w:eastAsia="黑体"/>
          <w:snapToGrid w:val="0"/>
          <w:color w:val="FF0000"/>
          <w:sz w:val="30"/>
          <w:szCs w:val="30"/>
        </w:rPr>
      </w:pPr>
      <w:r>
        <w:rPr>
          <w:rFonts w:ascii="Times New Roman" w:hAnsi="Times New Roman" w:eastAsia="黑体"/>
          <w:snapToGrid w:val="0"/>
          <w:color w:val="FF0000"/>
          <w:sz w:val="30"/>
          <w:szCs w:val="30"/>
        </w:rPr>
        <w:t>六、生态环境保护措施监督检查清单</w:t>
      </w:r>
    </w:p>
    <w:tbl>
      <w:tblPr>
        <w:tblStyle w:val="23"/>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6"/>
        <w:gridCol w:w="2413"/>
        <w:gridCol w:w="1499"/>
        <w:gridCol w:w="2428"/>
        <w:gridCol w:w="1272"/>
      </w:tblGrid>
      <w:tr w14:paraId="57B878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31" w:type="pct"/>
            <w:vMerge w:val="restart"/>
            <w:tcBorders>
              <w:top w:val="single" w:color="auto" w:sz="8" w:space="0"/>
              <w:bottom w:val="single" w:color="auto" w:sz="6" w:space="0"/>
              <w:right w:val="single" w:color="auto" w:sz="6" w:space="0"/>
              <w:tl2br w:val="single" w:color="auto" w:sz="4" w:space="0"/>
            </w:tcBorders>
            <w:noWrap w:val="0"/>
            <w:vAlign w:val="center"/>
          </w:tcPr>
          <w:p w14:paraId="1365E04E">
            <w:pPr>
              <w:pStyle w:val="20"/>
              <w:adjustRightInd w:val="0"/>
              <w:snapToGrid w:val="0"/>
              <w:spacing w:before="72" w:beforeLines="30" w:beforeAutospacing="0" w:after="0" w:afterAutospacing="0"/>
              <w:jc w:val="right"/>
              <w:outlineLvl w:val="0"/>
              <w:rPr>
                <w:rFonts w:ascii="Times New Roman" w:hAnsi="Times New Roman" w:eastAsia="仿宋"/>
                <w:color w:val="FF0000"/>
                <w:kern w:val="2"/>
                <w:sz w:val="21"/>
                <w:szCs w:val="21"/>
              </w:rPr>
            </w:pPr>
            <w:r>
              <w:rPr>
                <w:rFonts w:ascii="Times New Roman" w:hAnsi="Times New Roman" w:eastAsia="仿宋"/>
                <w:color w:val="FF0000"/>
                <w:kern w:val="2"/>
                <w:sz w:val="21"/>
                <w:szCs w:val="21"/>
              </w:rPr>
              <w:t>内容</w:t>
            </w:r>
          </w:p>
          <w:p w14:paraId="2ADA8005">
            <w:pPr>
              <w:pStyle w:val="20"/>
              <w:adjustRightInd w:val="0"/>
              <w:snapToGrid w:val="0"/>
              <w:spacing w:before="0" w:beforeAutospacing="0" w:after="0" w:afterAutospacing="0" w:line="14" w:lineRule="auto"/>
              <w:outlineLvl w:val="0"/>
              <w:rPr>
                <w:rFonts w:ascii="Times New Roman" w:hAnsi="Times New Roman" w:eastAsia="仿宋"/>
                <w:color w:val="FF0000"/>
                <w:kern w:val="2"/>
                <w:sz w:val="135"/>
                <w:szCs w:val="21"/>
              </w:rPr>
            </w:pPr>
          </w:p>
          <w:p w14:paraId="772CAFB8">
            <w:pPr>
              <w:pStyle w:val="20"/>
              <w:adjustRightInd w:val="0"/>
              <w:snapToGrid w:val="0"/>
              <w:spacing w:before="0" w:beforeAutospacing="0" w:after="0" w:afterAutospacing="0" w:line="14" w:lineRule="auto"/>
              <w:outlineLvl w:val="0"/>
              <w:rPr>
                <w:rFonts w:ascii="Times New Roman" w:hAnsi="Times New Roman" w:eastAsia="仿宋"/>
                <w:color w:val="FF0000"/>
                <w:kern w:val="2"/>
                <w:sz w:val="135"/>
                <w:szCs w:val="21"/>
              </w:rPr>
            </w:pPr>
          </w:p>
          <w:p w14:paraId="4C65C562">
            <w:pPr>
              <w:pStyle w:val="20"/>
              <w:adjustRightInd w:val="0"/>
              <w:snapToGrid w:val="0"/>
              <w:spacing w:before="0" w:beforeAutospacing="0" w:after="0" w:afterAutospacing="0"/>
              <w:outlineLvl w:val="0"/>
              <w:rPr>
                <w:rFonts w:ascii="Times New Roman" w:hAnsi="Times New Roman" w:eastAsia="仿宋"/>
                <w:color w:val="FF0000"/>
                <w:kern w:val="2"/>
                <w:sz w:val="21"/>
                <w:szCs w:val="21"/>
              </w:rPr>
            </w:pPr>
            <w:r>
              <w:rPr>
                <w:rFonts w:ascii="Times New Roman" w:hAnsi="Times New Roman" w:eastAsia="仿宋"/>
                <w:color w:val="FF0000"/>
                <w:kern w:val="2"/>
                <w:sz w:val="21"/>
                <w:szCs w:val="21"/>
              </w:rPr>
              <w:t>要素</w:t>
            </w:r>
          </w:p>
        </w:tc>
        <w:tc>
          <w:tcPr>
            <w:tcW w:w="2296" w:type="pct"/>
            <w:gridSpan w:val="2"/>
            <w:tcBorders>
              <w:top w:val="single" w:color="auto" w:sz="8" w:space="0"/>
              <w:left w:val="single" w:color="auto" w:sz="6" w:space="0"/>
              <w:bottom w:val="single" w:color="auto" w:sz="6" w:space="0"/>
              <w:right w:val="single" w:color="auto" w:sz="6" w:space="0"/>
            </w:tcBorders>
            <w:noWrap w:val="0"/>
            <w:vAlign w:val="center"/>
          </w:tcPr>
          <w:p w14:paraId="31931257">
            <w:pPr>
              <w:pStyle w:val="20"/>
              <w:adjustRightInd w:val="0"/>
              <w:snapToGrid w:val="0"/>
              <w:spacing w:before="0" w:beforeAutospacing="0" w:after="0" w:afterAutospacing="0"/>
              <w:jc w:val="center"/>
              <w:outlineLvl w:val="0"/>
              <w:rPr>
                <w:rFonts w:ascii="Times New Roman" w:hAnsi="Times New Roman" w:eastAsia="仿宋"/>
                <w:color w:val="FF0000"/>
                <w:kern w:val="2"/>
                <w:sz w:val="21"/>
                <w:szCs w:val="21"/>
              </w:rPr>
            </w:pPr>
            <w:r>
              <w:rPr>
                <w:rFonts w:ascii="Times New Roman" w:hAnsi="Times New Roman" w:eastAsia="仿宋"/>
                <w:color w:val="FF0000"/>
                <w:kern w:val="2"/>
                <w:sz w:val="21"/>
                <w:szCs w:val="21"/>
              </w:rPr>
              <w:t>施工期</w:t>
            </w:r>
          </w:p>
        </w:tc>
        <w:tc>
          <w:tcPr>
            <w:tcW w:w="2171" w:type="pct"/>
            <w:gridSpan w:val="2"/>
            <w:tcBorders>
              <w:top w:val="single" w:color="auto" w:sz="8" w:space="0"/>
              <w:left w:val="single" w:color="auto" w:sz="6" w:space="0"/>
              <w:bottom w:val="single" w:color="auto" w:sz="6" w:space="0"/>
            </w:tcBorders>
            <w:noWrap w:val="0"/>
            <w:vAlign w:val="center"/>
          </w:tcPr>
          <w:p w14:paraId="7CFEE18C">
            <w:pPr>
              <w:pStyle w:val="20"/>
              <w:adjustRightInd w:val="0"/>
              <w:snapToGrid w:val="0"/>
              <w:spacing w:before="0" w:beforeAutospacing="0" w:after="0" w:afterAutospacing="0"/>
              <w:jc w:val="center"/>
              <w:outlineLvl w:val="0"/>
              <w:rPr>
                <w:rFonts w:ascii="Times New Roman" w:hAnsi="Times New Roman" w:eastAsia="仿宋"/>
                <w:color w:val="FF0000"/>
                <w:kern w:val="2"/>
                <w:sz w:val="21"/>
                <w:szCs w:val="21"/>
              </w:rPr>
            </w:pPr>
            <w:r>
              <w:rPr>
                <w:rFonts w:ascii="Times New Roman" w:hAnsi="Times New Roman" w:eastAsia="仿宋"/>
                <w:color w:val="FF0000"/>
                <w:kern w:val="2"/>
                <w:sz w:val="21"/>
                <w:szCs w:val="21"/>
              </w:rPr>
              <w:t>运营期</w:t>
            </w:r>
          </w:p>
        </w:tc>
      </w:tr>
      <w:tr w14:paraId="0CF612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531" w:type="pct"/>
            <w:vMerge w:val="continue"/>
            <w:tcBorders>
              <w:top w:val="single" w:color="auto" w:sz="6" w:space="0"/>
              <w:bottom w:val="single" w:color="auto" w:sz="6" w:space="0"/>
              <w:right w:val="single" w:color="auto" w:sz="6" w:space="0"/>
            </w:tcBorders>
            <w:noWrap w:val="0"/>
            <w:vAlign w:val="center"/>
          </w:tcPr>
          <w:p w14:paraId="6299ADB1">
            <w:pPr>
              <w:pStyle w:val="20"/>
              <w:adjustRightInd w:val="0"/>
              <w:snapToGrid w:val="0"/>
              <w:spacing w:before="0" w:beforeAutospacing="0" w:after="0" w:afterAutospacing="0"/>
              <w:ind w:firstLine="840"/>
              <w:jc w:val="center"/>
              <w:outlineLvl w:val="0"/>
              <w:rPr>
                <w:rFonts w:ascii="Times New Roman" w:hAnsi="Times New Roman" w:eastAsia="仿宋"/>
                <w:color w:val="FF0000"/>
                <w:kern w:val="2"/>
                <w:sz w:val="21"/>
                <w:szCs w:val="21"/>
              </w:rPr>
            </w:pPr>
          </w:p>
        </w:tc>
        <w:tc>
          <w:tcPr>
            <w:tcW w:w="1416" w:type="pct"/>
            <w:tcBorders>
              <w:top w:val="single" w:color="auto" w:sz="6" w:space="0"/>
              <w:left w:val="single" w:color="auto" w:sz="6" w:space="0"/>
              <w:bottom w:val="single" w:color="auto" w:sz="6" w:space="0"/>
              <w:right w:val="single" w:color="auto" w:sz="6" w:space="0"/>
            </w:tcBorders>
            <w:noWrap w:val="0"/>
            <w:vAlign w:val="center"/>
          </w:tcPr>
          <w:p w14:paraId="2BF86B92">
            <w:pPr>
              <w:pStyle w:val="20"/>
              <w:adjustRightInd w:val="0"/>
              <w:snapToGrid w:val="0"/>
              <w:spacing w:before="0" w:beforeAutospacing="0" w:after="0" w:afterAutospacing="0"/>
              <w:jc w:val="center"/>
              <w:outlineLvl w:val="0"/>
              <w:rPr>
                <w:rFonts w:ascii="Times New Roman" w:hAnsi="Times New Roman" w:eastAsia="仿宋"/>
                <w:color w:val="FF0000"/>
                <w:kern w:val="2"/>
                <w:sz w:val="21"/>
                <w:szCs w:val="21"/>
              </w:rPr>
            </w:pPr>
            <w:r>
              <w:rPr>
                <w:rFonts w:ascii="Times New Roman" w:hAnsi="Times New Roman" w:eastAsia="仿宋"/>
                <w:color w:val="FF0000"/>
                <w:kern w:val="2"/>
                <w:sz w:val="21"/>
                <w:szCs w:val="21"/>
              </w:rPr>
              <w:t>环境保护措施</w:t>
            </w:r>
          </w:p>
        </w:tc>
        <w:tc>
          <w:tcPr>
            <w:tcW w:w="879" w:type="pct"/>
            <w:tcBorders>
              <w:top w:val="single" w:color="auto" w:sz="6" w:space="0"/>
              <w:left w:val="single" w:color="auto" w:sz="6" w:space="0"/>
              <w:bottom w:val="single" w:color="auto" w:sz="6" w:space="0"/>
              <w:right w:val="single" w:color="auto" w:sz="6" w:space="0"/>
            </w:tcBorders>
            <w:noWrap w:val="0"/>
            <w:vAlign w:val="center"/>
          </w:tcPr>
          <w:p w14:paraId="5C4AB94F">
            <w:pPr>
              <w:pStyle w:val="20"/>
              <w:adjustRightInd w:val="0"/>
              <w:snapToGrid w:val="0"/>
              <w:spacing w:before="0" w:beforeAutospacing="0" w:after="0" w:afterAutospacing="0"/>
              <w:jc w:val="center"/>
              <w:outlineLvl w:val="0"/>
              <w:rPr>
                <w:rFonts w:ascii="Times New Roman" w:hAnsi="Times New Roman" w:eastAsia="仿宋"/>
                <w:color w:val="FF0000"/>
                <w:kern w:val="2"/>
                <w:sz w:val="21"/>
                <w:szCs w:val="21"/>
              </w:rPr>
            </w:pPr>
            <w:r>
              <w:rPr>
                <w:rFonts w:ascii="Times New Roman" w:hAnsi="Times New Roman" w:eastAsia="仿宋"/>
                <w:color w:val="FF0000"/>
                <w:kern w:val="2"/>
                <w:sz w:val="21"/>
                <w:szCs w:val="21"/>
              </w:rPr>
              <w:t>验收要求</w:t>
            </w:r>
          </w:p>
        </w:tc>
        <w:tc>
          <w:tcPr>
            <w:tcW w:w="1425" w:type="pct"/>
            <w:tcBorders>
              <w:top w:val="single" w:color="auto" w:sz="6" w:space="0"/>
              <w:left w:val="single" w:color="auto" w:sz="6" w:space="0"/>
              <w:bottom w:val="single" w:color="auto" w:sz="6" w:space="0"/>
              <w:right w:val="single" w:color="auto" w:sz="6" w:space="0"/>
            </w:tcBorders>
            <w:noWrap w:val="0"/>
            <w:vAlign w:val="center"/>
          </w:tcPr>
          <w:p w14:paraId="0632C3B0">
            <w:pPr>
              <w:pStyle w:val="20"/>
              <w:adjustRightInd w:val="0"/>
              <w:snapToGrid w:val="0"/>
              <w:spacing w:before="0" w:beforeAutospacing="0" w:after="0" w:afterAutospacing="0"/>
              <w:jc w:val="center"/>
              <w:outlineLvl w:val="0"/>
              <w:rPr>
                <w:rFonts w:ascii="Times New Roman" w:hAnsi="Times New Roman" w:eastAsia="仿宋"/>
                <w:color w:val="FF0000"/>
                <w:kern w:val="2"/>
                <w:sz w:val="21"/>
                <w:szCs w:val="21"/>
              </w:rPr>
            </w:pPr>
            <w:r>
              <w:rPr>
                <w:rFonts w:ascii="Times New Roman" w:hAnsi="Times New Roman" w:eastAsia="仿宋"/>
                <w:color w:val="FF0000"/>
                <w:kern w:val="2"/>
                <w:sz w:val="21"/>
                <w:szCs w:val="21"/>
              </w:rPr>
              <w:t>环境保护措施</w:t>
            </w:r>
          </w:p>
        </w:tc>
        <w:tc>
          <w:tcPr>
            <w:tcW w:w="746" w:type="pct"/>
            <w:tcBorders>
              <w:top w:val="single" w:color="auto" w:sz="6" w:space="0"/>
              <w:left w:val="single" w:color="auto" w:sz="6" w:space="0"/>
              <w:bottom w:val="single" w:color="auto" w:sz="6" w:space="0"/>
            </w:tcBorders>
            <w:noWrap w:val="0"/>
            <w:vAlign w:val="center"/>
          </w:tcPr>
          <w:p w14:paraId="69E6AAA9">
            <w:pPr>
              <w:pStyle w:val="20"/>
              <w:adjustRightInd w:val="0"/>
              <w:snapToGrid w:val="0"/>
              <w:spacing w:before="0" w:beforeAutospacing="0" w:after="0" w:afterAutospacing="0"/>
              <w:jc w:val="center"/>
              <w:outlineLvl w:val="0"/>
              <w:rPr>
                <w:rFonts w:ascii="Times New Roman" w:hAnsi="Times New Roman" w:eastAsia="仿宋"/>
                <w:color w:val="FF0000"/>
                <w:kern w:val="2"/>
                <w:sz w:val="21"/>
                <w:szCs w:val="21"/>
              </w:rPr>
            </w:pPr>
            <w:r>
              <w:rPr>
                <w:rFonts w:ascii="Times New Roman" w:hAnsi="Times New Roman" w:eastAsia="仿宋"/>
                <w:color w:val="FF0000"/>
                <w:kern w:val="2"/>
                <w:sz w:val="21"/>
                <w:szCs w:val="21"/>
              </w:rPr>
              <w:t>验收要求</w:t>
            </w:r>
          </w:p>
        </w:tc>
      </w:tr>
      <w:tr w14:paraId="6121ED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531" w:type="pct"/>
            <w:tcBorders>
              <w:top w:val="single" w:color="auto" w:sz="6" w:space="0"/>
              <w:bottom w:val="single" w:color="auto" w:sz="6" w:space="0"/>
              <w:right w:val="single" w:color="auto" w:sz="6" w:space="0"/>
            </w:tcBorders>
            <w:noWrap w:val="0"/>
            <w:vAlign w:val="center"/>
          </w:tcPr>
          <w:p w14:paraId="275A522F">
            <w:pPr>
              <w:adjustRightInd w:val="0"/>
              <w:snapToGrid w:val="0"/>
              <w:jc w:val="center"/>
              <w:rPr>
                <w:rFonts w:eastAsia="仿宋"/>
                <w:color w:val="FF0000"/>
                <w:szCs w:val="21"/>
              </w:rPr>
            </w:pPr>
            <w:r>
              <w:rPr>
                <w:rFonts w:eastAsia="仿宋"/>
                <w:color w:val="FF0000"/>
                <w:szCs w:val="21"/>
              </w:rPr>
              <w:t>陆生</w:t>
            </w:r>
          </w:p>
          <w:p w14:paraId="75842F02">
            <w:pPr>
              <w:adjustRightInd w:val="0"/>
              <w:snapToGrid w:val="0"/>
              <w:jc w:val="center"/>
              <w:rPr>
                <w:rFonts w:eastAsia="仿宋"/>
                <w:color w:val="FF0000"/>
                <w:szCs w:val="21"/>
              </w:rPr>
            </w:pPr>
            <w:r>
              <w:rPr>
                <w:rFonts w:eastAsia="仿宋"/>
                <w:color w:val="FF0000"/>
                <w:szCs w:val="21"/>
              </w:rPr>
              <w:t>生态</w:t>
            </w:r>
          </w:p>
        </w:tc>
        <w:tc>
          <w:tcPr>
            <w:tcW w:w="1416" w:type="pct"/>
            <w:tcBorders>
              <w:top w:val="single" w:color="auto" w:sz="6" w:space="0"/>
              <w:left w:val="single" w:color="auto" w:sz="6" w:space="0"/>
              <w:bottom w:val="single" w:color="auto" w:sz="6" w:space="0"/>
              <w:right w:val="single" w:color="auto" w:sz="6" w:space="0"/>
            </w:tcBorders>
            <w:noWrap w:val="0"/>
            <w:vAlign w:val="center"/>
          </w:tcPr>
          <w:p w14:paraId="22B7343D">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⑴加强施工管理，严格划定施工范围，与保护植物留出一定的缓冲区，尽量缩小施工扰动范围，确保施工活动不占用植物生长地。各种施工活动应严格控制在施工区域内，减少临时占地</w:t>
            </w:r>
            <w:r>
              <w:rPr>
                <w:rFonts w:hint="eastAsia" w:ascii="Times New Roman" w:hAnsi="Times New Roman" w:eastAsia="仿宋" w:cs="Times New Roman"/>
                <w:color w:val="FF0000"/>
                <w:szCs w:val="21"/>
                <w:lang w:val="en-US" w:eastAsia="zh-CN"/>
              </w:rPr>
              <w:t>。</w:t>
            </w:r>
            <w:r>
              <w:rPr>
                <w:rFonts w:hint="default" w:ascii="Times New Roman" w:hAnsi="Times New Roman" w:eastAsia="仿宋" w:cs="Times New Roman"/>
                <w:color w:val="FF0000"/>
                <w:szCs w:val="21"/>
                <w:lang w:val="en-US" w:eastAsia="zh-CN"/>
              </w:rPr>
              <w:t xml:space="preserve"> </w:t>
            </w:r>
          </w:p>
          <w:p w14:paraId="786780F7">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 xml:space="preserve">⑵施工现场设专人进行管理，设警示牌，警示或者提示施工人员和工作人员在施工过程中发现野生植物，要自觉保护，提醒施工人员依法保护自然资源。 </w:t>
            </w:r>
          </w:p>
          <w:p w14:paraId="63058462">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 xml:space="preserve">⑶合理计划，加快施工进度，减少破土面积及扰动时间，以降低水土流失量。 </w:t>
            </w:r>
          </w:p>
          <w:p w14:paraId="680E676F">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⑷合理规划，采取永临结合的施工方式</w:t>
            </w:r>
            <w:r>
              <w:rPr>
                <w:rFonts w:hint="eastAsia" w:ascii="Times New Roman" w:hAnsi="Times New Roman" w:eastAsia="仿宋" w:cs="Times New Roman"/>
                <w:color w:val="FF0000"/>
                <w:szCs w:val="21"/>
                <w:lang w:val="en-US" w:eastAsia="zh-CN"/>
              </w:rPr>
              <w:t>。</w:t>
            </w:r>
            <w:r>
              <w:rPr>
                <w:rFonts w:hint="default" w:ascii="Times New Roman" w:hAnsi="Times New Roman" w:eastAsia="仿宋" w:cs="Times New Roman"/>
                <w:color w:val="FF0000"/>
                <w:szCs w:val="21"/>
                <w:lang w:val="en-US" w:eastAsia="zh-CN"/>
              </w:rPr>
              <w:t xml:space="preserve"> </w:t>
            </w:r>
          </w:p>
          <w:p w14:paraId="70E16AF7">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⑸对施工人员进行环境保护教育、生物多样性保护教育及有关</w:t>
            </w:r>
            <w:r>
              <w:rPr>
                <w:rFonts w:hint="eastAsia" w:ascii="Times New Roman" w:hAnsi="Times New Roman" w:eastAsia="仿宋" w:cs="Times New Roman"/>
                <w:color w:val="FF0000"/>
                <w:szCs w:val="21"/>
                <w:lang w:val="en-US" w:eastAsia="zh-CN"/>
              </w:rPr>
              <w:t>法律法规</w:t>
            </w:r>
            <w:r>
              <w:rPr>
                <w:rFonts w:hint="default" w:ascii="Times New Roman" w:hAnsi="Times New Roman" w:eastAsia="仿宋" w:cs="Times New Roman"/>
                <w:color w:val="FF0000"/>
                <w:szCs w:val="21"/>
                <w:lang w:val="en-US" w:eastAsia="zh-CN"/>
              </w:rPr>
              <w:t xml:space="preserve">的宣传教育。严禁施工人员随意破坏施工区周边土地。应加强对施工人员的宣传教育，不得随意进入周边保护区惊扰或捕杀野生动物。 </w:t>
            </w:r>
          </w:p>
          <w:p w14:paraId="37BFF741">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 xml:space="preserve">⑹对临时占地在施工完成后立即恢复。 </w:t>
            </w:r>
          </w:p>
          <w:p w14:paraId="71959A39">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eastAsia="仿宋"/>
                <w:color w:val="FF0000"/>
                <w:szCs w:val="21"/>
              </w:rPr>
            </w:pPr>
            <w:r>
              <w:rPr>
                <w:rFonts w:hint="default" w:ascii="Times New Roman" w:hAnsi="Times New Roman" w:eastAsia="仿宋" w:cs="Times New Roman"/>
                <w:color w:val="FF0000"/>
                <w:szCs w:val="21"/>
                <w:lang w:val="en-US" w:eastAsia="zh-CN"/>
              </w:rPr>
              <w:t xml:space="preserve">⑺结合施工要求及工业场地平面布置，确保短期内完成工业场地平整、美化工程。 </w:t>
            </w:r>
          </w:p>
        </w:tc>
        <w:tc>
          <w:tcPr>
            <w:tcW w:w="879" w:type="pct"/>
            <w:tcBorders>
              <w:top w:val="single" w:color="auto" w:sz="6" w:space="0"/>
              <w:left w:val="single" w:color="auto" w:sz="6" w:space="0"/>
              <w:bottom w:val="single" w:color="auto" w:sz="6" w:space="0"/>
              <w:right w:val="single" w:color="auto" w:sz="6" w:space="0"/>
            </w:tcBorders>
            <w:noWrap w:val="0"/>
            <w:vAlign w:val="center"/>
          </w:tcPr>
          <w:p w14:paraId="2B1B61B4">
            <w:pPr>
              <w:adjustRightInd w:val="0"/>
              <w:snapToGrid w:val="0"/>
              <w:jc w:val="center"/>
              <w:rPr>
                <w:rFonts w:hint="default" w:eastAsia="仿宋"/>
                <w:color w:val="FF0000"/>
                <w:szCs w:val="21"/>
                <w:lang w:val="en-US" w:eastAsia="zh-CN"/>
              </w:rPr>
            </w:pPr>
            <w:r>
              <w:rPr>
                <w:rFonts w:hint="eastAsia" w:eastAsia="仿宋"/>
                <w:color w:val="FF0000"/>
                <w:szCs w:val="21"/>
                <w:lang w:val="en-US" w:eastAsia="zh-CN"/>
              </w:rPr>
              <w:t>生态恢复良好</w:t>
            </w:r>
          </w:p>
        </w:tc>
        <w:tc>
          <w:tcPr>
            <w:tcW w:w="1425" w:type="pct"/>
            <w:tcBorders>
              <w:top w:val="single" w:color="auto" w:sz="6" w:space="0"/>
              <w:left w:val="single" w:color="auto" w:sz="6" w:space="0"/>
              <w:bottom w:val="single" w:color="auto" w:sz="6" w:space="0"/>
              <w:right w:val="single" w:color="auto" w:sz="6" w:space="0"/>
            </w:tcBorders>
            <w:noWrap w:val="0"/>
            <w:vAlign w:val="center"/>
          </w:tcPr>
          <w:p w14:paraId="68C7F3E5">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⑴采矿工业场地对扰动土地进行土地平整，平整压实后自然恢复。</w:t>
            </w:r>
          </w:p>
          <w:p w14:paraId="57B170D1">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⑵</w:t>
            </w:r>
            <w:r>
              <w:rPr>
                <w:rFonts w:hint="eastAsia" w:eastAsia="仿宋" w:cs="Times New Roman"/>
                <w:color w:val="FF0000"/>
                <w:szCs w:val="21"/>
                <w:lang w:val="en-US" w:eastAsia="zh-CN"/>
              </w:rPr>
              <w:t>排土场</w:t>
            </w:r>
          </w:p>
          <w:p w14:paraId="765203A7">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eastAsia" w:eastAsia="仿宋" w:cs="Times New Roman"/>
                <w:color w:val="FF0000"/>
                <w:szCs w:val="21"/>
                <w:lang w:val="en-US" w:eastAsia="zh-CN"/>
              </w:rPr>
              <w:t>排土场设置</w:t>
            </w:r>
            <w:r>
              <w:rPr>
                <w:rFonts w:hint="default" w:ascii="Times New Roman" w:hAnsi="Times New Roman" w:eastAsia="仿宋" w:cs="Times New Roman"/>
                <w:color w:val="FF0000"/>
                <w:szCs w:val="21"/>
                <w:lang w:val="en-US" w:eastAsia="zh-CN"/>
              </w:rPr>
              <w:t>挡渣墙</w:t>
            </w:r>
            <w:r>
              <w:rPr>
                <w:rFonts w:hint="eastAsia" w:ascii="Times New Roman" w:hAnsi="Times New Roman" w:eastAsia="仿宋" w:cs="Times New Roman"/>
                <w:color w:val="FF0000"/>
                <w:szCs w:val="21"/>
                <w:lang w:val="en-US" w:eastAsia="zh-CN"/>
              </w:rPr>
              <w:t>和</w:t>
            </w:r>
            <w:r>
              <w:rPr>
                <w:rFonts w:hint="default" w:ascii="Times New Roman" w:hAnsi="Times New Roman" w:eastAsia="仿宋" w:cs="Times New Roman"/>
                <w:color w:val="FF0000"/>
                <w:szCs w:val="21"/>
                <w:lang w:val="en-US" w:eastAsia="zh-CN"/>
              </w:rPr>
              <w:t>截排水</w:t>
            </w:r>
            <w:r>
              <w:rPr>
                <w:rFonts w:hint="eastAsia" w:ascii="Times New Roman" w:hAnsi="Times New Roman" w:eastAsia="仿宋" w:cs="Times New Roman"/>
                <w:color w:val="FF0000"/>
                <w:szCs w:val="21"/>
                <w:lang w:val="en-US" w:eastAsia="zh-CN"/>
              </w:rPr>
              <w:t>。</w:t>
            </w:r>
          </w:p>
          <w:p w14:paraId="4BE70201">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⑶矿区道路防治措施矿区运输道路不得随意外扩范围；加强人员管理及环境保护宣传工作</w:t>
            </w:r>
            <w:r>
              <w:rPr>
                <w:rFonts w:hint="eastAsia" w:ascii="Times New Roman" w:hAnsi="Times New Roman" w:eastAsia="仿宋" w:cs="Times New Roman"/>
                <w:color w:val="FF0000"/>
                <w:szCs w:val="21"/>
                <w:lang w:val="en-US" w:eastAsia="zh-CN"/>
              </w:rPr>
              <w:t>，</w:t>
            </w:r>
            <w:r>
              <w:rPr>
                <w:rFonts w:hint="default" w:ascii="Times New Roman" w:hAnsi="Times New Roman" w:eastAsia="仿宋" w:cs="Times New Roman"/>
                <w:color w:val="FF0000"/>
                <w:szCs w:val="21"/>
                <w:lang w:val="en-US" w:eastAsia="zh-CN"/>
              </w:rPr>
              <w:t>杜绝矿区人员进入道路以外的区域活动；道路两侧压填废石，并在外侧设置简易排水沟，道路修整过</w:t>
            </w:r>
            <w:r>
              <w:rPr>
                <w:rFonts w:hint="eastAsia" w:eastAsia="仿宋" w:cs="Times New Roman"/>
                <w:color w:val="FF0000"/>
                <w:szCs w:val="21"/>
                <w:lang w:val="en-US" w:eastAsia="zh-CN"/>
              </w:rPr>
              <w:t>程中</w:t>
            </w:r>
            <w:r>
              <w:rPr>
                <w:rFonts w:hint="default" w:ascii="Times New Roman" w:hAnsi="Times New Roman" w:eastAsia="仿宋" w:cs="Times New Roman"/>
                <w:color w:val="FF0000"/>
                <w:szCs w:val="21"/>
                <w:lang w:val="en-US" w:eastAsia="zh-CN"/>
              </w:rPr>
              <w:t xml:space="preserve">不得随意破坏周围植被，降低水土流失；定期对道路进行维护，铺装碎石，进行洒水抑尘，尽可能减少水土流失。 </w:t>
            </w:r>
          </w:p>
          <w:p w14:paraId="66A3414E">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 xml:space="preserve">⑷野生动物保护 </w:t>
            </w:r>
          </w:p>
          <w:p w14:paraId="13FA0084">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 xml:space="preserve">①对矿区活动的野生动物应予以保护，严禁围捕、猎杀动物。 </w:t>
            </w:r>
          </w:p>
          <w:p w14:paraId="7B80EDD2">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 xml:space="preserve">②采矿活动应集中在开采区周围，限制矿山员工在项目区外无组织地活动，以免破坏野生动物的栖息环境。 </w:t>
            </w:r>
          </w:p>
          <w:p w14:paraId="4D286363">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③高噪声源特别是突发性高噪声源对动物生境的影响较大，为避免开矿作业对野生动物正常生活的惊扰，必须对突发性噪声的时间段予以限制，夜间（下午5</w:t>
            </w:r>
            <w:r>
              <w:rPr>
                <w:rFonts w:hint="eastAsia" w:ascii="Times New Roman" w:hAnsi="Times New Roman" w:eastAsia="仿宋" w:cs="Times New Roman"/>
                <w:color w:val="FF0000"/>
                <w:szCs w:val="21"/>
                <w:lang w:val="en-US" w:eastAsia="zh-CN"/>
              </w:rPr>
              <w:t>:</w:t>
            </w:r>
            <w:r>
              <w:rPr>
                <w:rFonts w:hint="default" w:ascii="Times New Roman" w:hAnsi="Times New Roman" w:eastAsia="仿宋" w:cs="Times New Roman"/>
                <w:color w:val="FF0000"/>
                <w:szCs w:val="21"/>
                <w:lang w:val="en-US" w:eastAsia="zh-CN"/>
              </w:rPr>
              <w:t>00～上午10</w:t>
            </w:r>
            <w:r>
              <w:rPr>
                <w:rFonts w:hint="eastAsia" w:ascii="Times New Roman" w:hAnsi="Times New Roman" w:eastAsia="仿宋" w:cs="Times New Roman"/>
                <w:color w:val="FF0000"/>
                <w:szCs w:val="21"/>
                <w:lang w:val="en-US" w:eastAsia="zh-CN"/>
              </w:rPr>
              <w:t>:</w:t>
            </w:r>
            <w:r>
              <w:rPr>
                <w:rFonts w:hint="default" w:ascii="Times New Roman" w:hAnsi="Times New Roman" w:eastAsia="仿宋" w:cs="Times New Roman"/>
                <w:color w:val="FF0000"/>
                <w:szCs w:val="21"/>
                <w:lang w:val="en-US" w:eastAsia="zh-CN"/>
              </w:rPr>
              <w:t xml:space="preserve">00）不允许爆破，以免对动物休憩、繁殖造成影响。 </w:t>
            </w:r>
          </w:p>
          <w:p w14:paraId="6BEB809B">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eastAsia="仿宋"/>
                <w:color w:val="FF0000"/>
                <w:szCs w:val="21"/>
              </w:rPr>
            </w:pPr>
            <w:r>
              <w:rPr>
                <w:rFonts w:hint="default" w:ascii="Times New Roman" w:hAnsi="Times New Roman" w:eastAsia="仿宋" w:cs="Times New Roman"/>
                <w:color w:val="FF0000"/>
                <w:szCs w:val="21"/>
                <w:lang w:val="en-US" w:eastAsia="zh-CN"/>
              </w:rPr>
              <w:t>④如果在矿区发现保护野生动物，应该对保护野生动物采取保护措施，并通知相关管理部门</w:t>
            </w:r>
            <w:r>
              <w:rPr>
                <w:rFonts w:hint="eastAsia" w:ascii="Times New Roman" w:hAnsi="Times New Roman" w:eastAsia="仿宋" w:cs="Times New Roman"/>
                <w:color w:val="FF0000"/>
                <w:szCs w:val="21"/>
                <w:lang w:val="en-US" w:eastAsia="zh-CN"/>
              </w:rPr>
              <w:t>。</w:t>
            </w:r>
          </w:p>
        </w:tc>
        <w:tc>
          <w:tcPr>
            <w:tcW w:w="746" w:type="pct"/>
            <w:tcBorders>
              <w:top w:val="single" w:color="auto" w:sz="6" w:space="0"/>
              <w:left w:val="single" w:color="auto" w:sz="6" w:space="0"/>
              <w:bottom w:val="single" w:color="auto" w:sz="6" w:space="0"/>
            </w:tcBorders>
            <w:noWrap w:val="0"/>
            <w:vAlign w:val="center"/>
          </w:tcPr>
          <w:p w14:paraId="004070D0">
            <w:pPr>
              <w:adjustRightInd w:val="0"/>
              <w:snapToGrid w:val="0"/>
              <w:jc w:val="center"/>
              <w:rPr>
                <w:rFonts w:eastAsia="仿宋"/>
                <w:color w:val="FF0000"/>
                <w:szCs w:val="21"/>
              </w:rPr>
            </w:pPr>
            <w:r>
              <w:rPr>
                <w:rFonts w:hint="eastAsia" w:eastAsia="仿宋"/>
                <w:color w:val="FF0000"/>
                <w:szCs w:val="21"/>
                <w:lang w:val="en-US" w:eastAsia="zh-CN"/>
              </w:rPr>
              <w:t>生态恢复良好</w:t>
            </w:r>
          </w:p>
        </w:tc>
      </w:tr>
      <w:tr w14:paraId="784A61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31" w:type="pct"/>
            <w:tcBorders>
              <w:top w:val="single" w:color="auto" w:sz="6" w:space="0"/>
              <w:bottom w:val="single" w:color="auto" w:sz="6" w:space="0"/>
              <w:right w:val="single" w:color="auto" w:sz="6" w:space="0"/>
            </w:tcBorders>
            <w:noWrap w:val="0"/>
            <w:vAlign w:val="center"/>
          </w:tcPr>
          <w:p w14:paraId="2D4AFF6D">
            <w:pPr>
              <w:adjustRightInd w:val="0"/>
              <w:snapToGrid w:val="0"/>
              <w:jc w:val="center"/>
              <w:rPr>
                <w:rFonts w:eastAsia="仿宋"/>
                <w:color w:val="FF0000"/>
                <w:szCs w:val="21"/>
              </w:rPr>
            </w:pPr>
            <w:r>
              <w:rPr>
                <w:rFonts w:eastAsia="仿宋"/>
                <w:color w:val="FF0000"/>
                <w:szCs w:val="21"/>
              </w:rPr>
              <w:t>水生</w:t>
            </w:r>
          </w:p>
          <w:p w14:paraId="7B5CCB99">
            <w:pPr>
              <w:adjustRightInd w:val="0"/>
              <w:snapToGrid w:val="0"/>
              <w:jc w:val="center"/>
              <w:rPr>
                <w:rFonts w:eastAsia="仿宋"/>
                <w:color w:val="FF0000"/>
                <w:szCs w:val="21"/>
              </w:rPr>
            </w:pPr>
            <w:r>
              <w:rPr>
                <w:rFonts w:eastAsia="仿宋"/>
                <w:color w:val="FF0000"/>
                <w:szCs w:val="21"/>
              </w:rPr>
              <w:t>生态</w:t>
            </w:r>
          </w:p>
        </w:tc>
        <w:tc>
          <w:tcPr>
            <w:tcW w:w="1416" w:type="pct"/>
            <w:tcBorders>
              <w:top w:val="single" w:color="auto" w:sz="6" w:space="0"/>
              <w:left w:val="single" w:color="auto" w:sz="6" w:space="0"/>
              <w:bottom w:val="single" w:color="auto" w:sz="6" w:space="0"/>
              <w:right w:val="single" w:color="auto" w:sz="6" w:space="0"/>
            </w:tcBorders>
            <w:noWrap w:val="0"/>
            <w:vAlign w:val="center"/>
          </w:tcPr>
          <w:p w14:paraId="23EAB627">
            <w:pPr>
              <w:widowControl/>
              <w:jc w:val="center"/>
              <w:rPr>
                <w:rFonts w:eastAsia="仿宋"/>
                <w:color w:val="FF0000"/>
                <w:szCs w:val="21"/>
              </w:rPr>
            </w:pPr>
            <w:r>
              <w:rPr>
                <w:rFonts w:eastAsia="仿宋"/>
                <w:color w:val="FF0000"/>
                <w:szCs w:val="21"/>
              </w:rPr>
              <w:t>无</w:t>
            </w:r>
          </w:p>
        </w:tc>
        <w:tc>
          <w:tcPr>
            <w:tcW w:w="879" w:type="pct"/>
            <w:tcBorders>
              <w:top w:val="single" w:color="auto" w:sz="6" w:space="0"/>
              <w:left w:val="single" w:color="auto" w:sz="6" w:space="0"/>
              <w:bottom w:val="single" w:color="auto" w:sz="6" w:space="0"/>
              <w:right w:val="single" w:color="auto" w:sz="6" w:space="0"/>
            </w:tcBorders>
            <w:noWrap w:val="0"/>
            <w:vAlign w:val="center"/>
          </w:tcPr>
          <w:p w14:paraId="5CF0879C">
            <w:pPr>
              <w:adjustRightInd w:val="0"/>
              <w:snapToGrid w:val="0"/>
              <w:jc w:val="center"/>
              <w:rPr>
                <w:rFonts w:eastAsia="仿宋"/>
                <w:color w:val="FF0000"/>
                <w:szCs w:val="21"/>
              </w:rPr>
            </w:pPr>
            <w:r>
              <w:rPr>
                <w:rFonts w:eastAsia="仿宋"/>
                <w:color w:val="FF0000"/>
                <w:szCs w:val="21"/>
              </w:rPr>
              <w:t>无</w:t>
            </w:r>
          </w:p>
        </w:tc>
        <w:tc>
          <w:tcPr>
            <w:tcW w:w="1425" w:type="pct"/>
            <w:tcBorders>
              <w:top w:val="single" w:color="auto" w:sz="6" w:space="0"/>
              <w:left w:val="single" w:color="auto" w:sz="6" w:space="0"/>
              <w:bottom w:val="single" w:color="auto" w:sz="6" w:space="0"/>
              <w:right w:val="single" w:color="auto" w:sz="6" w:space="0"/>
            </w:tcBorders>
            <w:noWrap w:val="0"/>
            <w:vAlign w:val="center"/>
          </w:tcPr>
          <w:p w14:paraId="0A217712">
            <w:pPr>
              <w:adjustRightInd w:val="0"/>
              <w:snapToGrid w:val="0"/>
              <w:jc w:val="center"/>
              <w:rPr>
                <w:rFonts w:eastAsia="仿宋"/>
                <w:color w:val="FF0000"/>
                <w:szCs w:val="21"/>
              </w:rPr>
            </w:pPr>
            <w:r>
              <w:rPr>
                <w:rFonts w:eastAsia="仿宋"/>
                <w:color w:val="FF0000"/>
                <w:szCs w:val="21"/>
              </w:rPr>
              <w:t>无</w:t>
            </w:r>
          </w:p>
        </w:tc>
        <w:tc>
          <w:tcPr>
            <w:tcW w:w="746" w:type="pct"/>
            <w:tcBorders>
              <w:top w:val="single" w:color="auto" w:sz="6" w:space="0"/>
              <w:left w:val="single" w:color="auto" w:sz="6" w:space="0"/>
              <w:bottom w:val="single" w:color="auto" w:sz="6" w:space="0"/>
            </w:tcBorders>
            <w:noWrap w:val="0"/>
            <w:vAlign w:val="center"/>
          </w:tcPr>
          <w:p w14:paraId="062BE12A">
            <w:pPr>
              <w:adjustRightInd w:val="0"/>
              <w:snapToGrid w:val="0"/>
              <w:jc w:val="center"/>
              <w:rPr>
                <w:rFonts w:eastAsia="仿宋"/>
                <w:color w:val="FF0000"/>
                <w:szCs w:val="21"/>
              </w:rPr>
            </w:pPr>
            <w:r>
              <w:rPr>
                <w:rFonts w:eastAsia="仿宋"/>
                <w:color w:val="FF0000"/>
                <w:szCs w:val="21"/>
              </w:rPr>
              <w:t>无</w:t>
            </w:r>
          </w:p>
        </w:tc>
      </w:tr>
      <w:tr w14:paraId="13BBA1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31" w:type="pct"/>
            <w:tcBorders>
              <w:top w:val="single" w:color="auto" w:sz="6" w:space="0"/>
              <w:bottom w:val="single" w:color="auto" w:sz="6" w:space="0"/>
              <w:right w:val="single" w:color="auto" w:sz="6" w:space="0"/>
            </w:tcBorders>
            <w:noWrap w:val="0"/>
            <w:vAlign w:val="center"/>
          </w:tcPr>
          <w:p w14:paraId="25407B20">
            <w:pPr>
              <w:adjustRightInd w:val="0"/>
              <w:snapToGrid w:val="0"/>
              <w:jc w:val="center"/>
              <w:rPr>
                <w:rFonts w:eastAsia="仿宋"/>
                <w:color w:val="FF0000"/>
                <w:szCs w:val="21"/>
              </w:rPr>
            </w:pPr>
            <w:r>
              <w:rPr>
                <w:rFonts w:eastAsia="仿宋"/>
                <w:color w:val="FF0000"/>
                <w:szCs w:val="21"/>
              </w:rPr>
              <w:t>地表水环境</w:t>
            </w:r>
          </w:p>
        </w:tc>
        <w:tc>
          <w:tcPr>
            <w:tcW w:w="1416" w:type="pct"/>
            <w:tcBorders>
              <w:top w:val="single" w:color="auto" w:sz="6" w:space="0"/>
              <w:left w:val="single" w:color="auto" w:sz="6" w:space="0"/>
              <w:bottom w:val="single" w:color="auto" w:sz="6" w:space="0"/>
              <w:right w:val="single" w:color="auto" w:sz="6" w:space="0"/>
            </w:tcBorders>
            <w:noWrap w:val="0"/>
            <w:vAlign w:val="center"/>
          </w:tcPr>
          <w:p w14:paraId="5D8C29D6">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本项目施工期废水主要是施工人员的生活污水</w:t>
            </w:r>
            <w:r>
              <w:rPr>
                <w:rFonts w:hint="eastAsia" w:ascii="Times New Roman" w:hAnsi="Times New Roman" w:eastAsia="仿宋" w:cs="Times New Roman"/>
                <w:color w:val="FF0000"/>
                <w:szCs w:val="21"/>
                <w:lang w:val="en-US" w:eastAsia="zh-CN"/>
              </w:rPr>
              <w:t>和施工废水，洗漱废水用于厂区泼洒降尘</w:t>
            </w:r>
            <w:r>
              <w:rPr>
                <w:rFonts w:hint="default" w:ascii="Times New Roman" w:hAnsi="Times New Roman" w:eastAsia="仿宋" w:cs="Times New Roman"/>
                <w:color w:val="FF0000"/>
                <w:szCs w:val="21"/>
                <w:lang w:val="en-US" w:eastAsia="zh-CN"/>
              </w:rPr>
              <w:t>，</w:t>
            </w:r>
            <w:r>
              <w:rPr>
                <w:rFonts w:hint="eastAsia" w:ascii="Times New Roman" w:hAnsi="Times New Roman" w:eastAsia="仿宋" w:cs="Times New Roman"/>
                <w:color w:val="FF0000"/>
                <w:szCs w:val="21"/>
                <w:lang w:val="en-US" w:eastAsia="zh-CN"/>
              </w:rPr>
              <w:t>设置环保型厕所一座</w:t>
            </w:r>
            <w:r>
              <w:rPr>
                <w:rFonts w:hint="eastAsia" w:eastAsia="仿宋" w:cs="Times New Roman"/>
                <w:color w:val="FF0000"/>
                <w:szCs w:val="21"/>
                <w:lang w:val="en-US" w:eastAsia="zh-CN"/>
              </w:rPr>
              <w:t>；</w:t>
            </w:r>
          </w:p>
          <w:p w14:paraId="1EFBC9D3">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eastAsia="仿宋" w:cs="Times New Roman"/>
                <w:color w:val="FF0000"/>
                <w:szCs w:val="21"/>
                <w:lang w:val="en-US" w:eastAsia="zh-CN"/>
              </w:rPr>
            </w:pPr>
            <w:r>
              <w:rPr>
                <w:rFonts w:hint="eastAsia" w:ascii="Times New Roman" w:hAnsi="Times New Roman" w:eastAsia="仿宋" w:cs="Times New Roman"/>
                <w:color w:val="FF0000"/>
                <w:szCs w:val="21"/>
                <w:lang w:val="en-US" w:eastAsia="zh-CN"/>
              </w:rPr>
              <w:t>施工废水经沉淀池处理后回用，不外排</w:t>
            </w:r>
            <w:r>
              <w:rPr>
                <w:rFonts w:hint="eastAsia" w:eastAsia="仿宋" w:cs="Times New Roman"/>
                <w:color w:val="FF0000"/>
                <w:szCs w:val="21"/>
                <w:lang w:val="en-US" w:eastAsia="zh-CN"/>
              </w:rPr>
              <w:t>。</w:t>
            </w:r>
          </w:p>
        </w:tc>
        <w:tc>
          <w:tcPr>
            <w:tcW w:w="879" w:type="pct"/>
            <w:tcBorders>
              <w:top w:val="single" w:color="auto" w:sz="6" w:space="0"/>
              <w:left w:val="single" w:color="auto" w:sz="6" w:space="0"/>
              <w:bottom w:val="single" w:color="auto" w:sz="6" w:space="0"/>
              <w:right w:val="single" w:color="auto" w:sz="6" w:space="0"/>
            </w:tcBorders>
            <w:noWrap w:val="0"/>
            <w:vAlign w:val="center"/>
          </w:tcPr>
          <w:p w14:paraId="079B1754">
            <w:pPr>
              <w:adjustRightInd w:val="0"/>
              <w:snapToGrid w:val="0"/>
              <w:jc w:val="center"/>
              <w:rPr>
                <w:rFonts w:eastAsia="仿宋"/>
                <w:color w:val="FF0000"/>
                <w:szCs w:val="21"/>
              </w:rPr>
            </w:pPr>
            <w:r>
              <w:rPr>
                <w:rFonts w:hint="eastAsia" w:eastAsia="仿宋"/>
                <w:color w:val="FF0000"/>
                <w:szCs w:val="21"/>
                <w:lang w:val="en-US" w:eastAsia="zh-CN"/>
              </w:rPr>
              <w:t>符合环评要求</w:t>
            </w:r>
          </w:p>
        </w:tc>
        <w:tc>
          <w:tcPr>
            <w:tcW w:w="1425" w:type="pct"/>
            <w:tcBorders>
              <w:top w:val="single" w:color="auto" w:sz="6" w:space="0"/>
              <w:left w:val="single" w:color="auto" w:sz="6" w:space="0"/>
              <w:bottom w:val="single" w:color="auto" w:sz="6" w:space="0"/>
              <w:right w:val="single" w:color="auto" w:sz="6" w:space="0"/>
            </w:tcBorders>
            <w:noWrap w:val="0"/>
            <w:vAlign w:val="center"/>
          </w:tcPr>
          <w:p w14:paraId="6D350FCF">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eastAsia="仿宋"/>
                <w:color w:val="FF0000"/>
                <w:szCs w:val="21"/>
                <w:lang w:val="en-US" w:eastAsia="zh-CN"/>
              </w:rPr>
            </w:pPr>
            <w:r>
              <w:rPr>
                <w:rFonts w:hint="eastAsia" w:eastAsia="仿宋"/>
                <w:color w:val="FF0000"/>
                <w:szCs w:val="21"/>
                <w:lang w:val="en-US" w:eastAsia="zh-CN"/>
              </w:rPr>
              <w:t>洗漱废水用于泼洒降尘，设置环保型厕所一座。</w:t>
            </w:r>
          </w:p>
        </w:tc>
        <w:tc>
          <w:tcPr>
            <w:tcW w:w="746" w:type="pct"/>
            <w:tcBorders>
              <w:top w:val="single" w:color="auto" w:sz="6" w:space="0"/>
              <w:left w:val="single" w:color="auto" w:sz="6" w:space="0"/>
              <w:bottom w:val="single" w:color="auto" w:sz="6" w:space="0"/>
            </w:tcBorders>
            <w:noWrap w:val="0"/>
            <w:vAlign w:val="center"/>
          </w:tcPr>
          <w:p w14:paraId="3B319FEB">
            <w:pPr>
              <w:adjustRightInd w:val="0"/>
              <w:snapToGrid w:val="0"/>
              <w:jc w:val="center"/>
              <w:rPr>
                <w:rFonts w:hint="eastAsia" w:eastAsia="仿宋"/>
                <w:color w:val="FF0000"/>
                <w:szCs w:val="21"/>
                <w:lang w:val="en-US" w:eastAsia="zh-CN"/>
              </w:rPr>
            </w:pPr>
            <w:r>
              <w:rPr>
                <w:rFonts w:hint="eastAsia" w:eastAsia="仿宋"/>
                <w:color w:val="FF0000"/>
                <w:szCs w:val="21"/>
                <w:lang w:val="en-US" w:eastAsia="zh-CN"/>
              </w:rPr>
              <w:t>符合环评要求</w:t>
            </w:r>
          </w:p>
        </w:tc>
      </w:tr>
      <w:tr w14:paraId="234B81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pct"/>
            <w:tcBorders>
              <w:top w:val="single" w:color="auto" w:sz="6" w:space="0"/>
              <w:bottom w:val="single" w:color="auto" w:sz="6" w:space="0"/>
              <w:right w:val="single" w:color="auto" w:sz="6" w:space="0"/>
            </w:tcBorders>
            <w:noWrap w:val="0"/>
            <w:vAlign w:val="center"/>
          </w:tcPr>
          <w:p w14:paraId="21638089">
            <w:pPr>
              <w:adjustRightInd w:val="0"/>
              <w:snapToGrid w:val="0"/>
              <w:jc w:val="center"/>
              <w:rPr>
                <w:rFonts w:eastAsia="仿宋"/>
                <w:color w:val="FF0000"/>
                <w:szCs w:val="21"/>
              </w:rPr>
            </w:pPr>
            <w:r>
              <w:rPr>
                <w:rFonts w:eastAsia="仿宋"/>
                <w:color w:val="FF0000"/>
                <w:szCs w:val="21"/>
              </w:rPr>
              <w:t>地下水及土壤环境</w:t>
            </w:r>
          </w:p>
        </w:tc>
        <w:tc>
          <w:tcPr>
            <w:tcW w:w="1416" w:type="pct"/>
            <w:tcBorders>
              <w:top w:val="single" w:color="auto" w:sz="6" w:space="0"/>
              <w:left w:val="single" w:color="auto" w:sz="6" w:space="0"/>
              <w:bottom w:val="single" w:color="auto" w:sz="6" w:space="0"/>
              <w:right w:val="single" w:color="auto" w:sz="6" w:space="0"/>
            </w:tcBorders>
            <w:noWrap w:val="0"/>
            <w:vAlign w:val="center"/>
          </w:tcPr>
          <w:p w14:paraId="0805D703">
            <w:pPr>
              <w:adjustRightInd w:val="0"/>
              <w:snapToGrid w:val="0"/>
              <w:jc w:val="center"/>
              <w:rPr>
                <w:rFonts w:eastAsia="仿宋"/>
                <w:color w:val="FF0000"/>
                <w:szCs w:val="21"/>
              </w:rPr>
            </w:pPr>
            <w:r>
              <w:rPr>
                <w:rFonts w:eastAsia="仿宋"/>
                <w:color w:val="FF0000"/>
                <w:szCs w:val="21"/>
              </w:rPr>
              <w:t>无</w:t>
            </w:r>
          </w:p>
        </w:tc>
        <w:tc>
          <w:tcPr>
            <w:tcW w:w="879" w:type="pct"/>
            <w:tcBorders>
              <w:top w:val="single" w:color="auto" w:sz="6" w:space="0"/>
              <w:left w:val="single" w:color="auto" w:sz="6" w:space="0"/>
              <w:bottom w:val="single" w:color="auto" w:sz="6" w:space="0"/>
              <w:right w:val="single" w:color="auto" w:sz="6" w:space="0"/>
            </w:tcBorders>
            <w:noWrap w:val="0"/>
            <w:vAlign w:val="center"/>
          </w:tcPr>
          <w:p w14:paraId="17F0E37D">
            <w:pPr>
              <w:adjustRightInd w:val="0"/>
              <w:snapToGrid w:val="0"/>
              <w:jc w:val="center"/>
              <w:rPr>
                <w:rFonts w:eastAsia="仿宋"/>
                <w:color w:val="FF0000"/>
                <w:szCs w:val="21"/>
              </w:rPr>
            </w:pPr>
            <w:r>
              <w:rPr>
                <w:rFonts w:eastAsia="仿宋"/>
                <w:color w:val="FF0000"/>
                <w:szCs w:val="21"/>
              </w:rPr>
              <w:t>无</w:t>
            </w:r>
          </w:p>
        </w:tc>
        <w:tc>
          <w:tcPr>
            <w:tcW w:w="1425" w:type="pct"/>
            <w:tcBorders>
              <w:top w:val="single" w:color="auto" w:sz="6" w:space="0"/>
              <w:left w:val="single" w:color="auto" w:sz="6" w:space="0"/>
              <w:bottom w:val="single" w:color="auto" w:sz="6" w:space="0"/>
              <w:right w:val="single" w:color="auto" w:sz="6" w:space="0"/>
            </w:tcBorders>
            <w:noWrap w:val="0"/>
            <w:vAlign w:val="center"/>
          </w:tcPr>
          <w:p w14:paraId="0B24BECF">
            <w:pPr>
              <w:adjustRightInd w:val="0"/>
              <w:snapToGrid w:val="0"/>
              <w:jc w:val="center"/>
              <w:rPr>
                <w:rFonts w:eastAsia="仿宋"/>
                <w:color w:val="FF0000"/>
                <w:szCs w:val="21"/>
              </w:rPr>
            </w:pPr>
            <w:r>
              <w:rPr>
                <w:rFonts w:hint="eastAsia" w:eastAsia="仿宋"/>
                <w:color w:val="FF0000"/>
                <w:szCs w:val="21"/>
                <w:lang w:val="en-US" w:eastAsia="zh-CN"/>
              </w:rPr>
              <w:t>危废贮存点采取防渗措施</w:t>
            </w:r>
          </w:p>
        </w:tc>
        <w:tc>
          <w:tcPr>
            <w:tcW w:w="746" w:type="pct"/>
            <w:tcBorders>
              <w:top w:val="single" w:color="auto" w:sz="6" w:space="0"/>
              <w:left w:val="single" w:color="auto" w:sz="6" w:space="0"/>
              <w:bottom w:val="single" w:color="auto" w:sz="6" w:space="0"/>
            </w:tcBorders>
            <w:noWrap w:val="0"/>
            <w:vAlign w:val="center"/>
          </w:tcPr>
          <w:p w14:paraId="546A0806">
            <w:pPr>
              <w:adjustRightInd w:val="0"/>
              <w:snapToGrid w:val="0"/>
              <w:jc w:val="center"/>
              <w:rPr>
                <w:rFonts w:eastAsia="仿宋"/>
                <w:color w:val="FF0000"/>
                <w:szCs w:val="21"/>
              </w:rPr>
            </w:pPr>
            <w:r>
              <w:rPr>
                <w:rFonts w:hint="eastAsia" w:eastAsia="仿宋"/>
                <w:color w:val="FF0000"/>
                <w:szCs w:val="21"/>
                <w:lang w:val="en-US" w:eastAsia="zh-CN"/>
              </w:rPr>
              <w:t>符合环评要求</w:t>
            </w:r>
          </w:p>
        </w:tc>
      </w:tr>
      <w:tr w14:paraId="75450A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pct"/>
            <w:tcBorders>
              <w:top w:val="single" w:color="auto" w:sz="6" w:space="0"/>
              <w:bottom w:val="single" w:color="auto" w:sz="6" w:space="0"/>
              <w:right w:val="single" w:color="auto" w:sz="6" w:space="0"/>
            </w:tcBorders>
            <w:noWrap w:val="0"/>
            <w:vAlign w:val="center"/>
          </w:tcPr>
          <w:p w14:paraId="61DD1C2C">
            <w:pPr>
              <w:adjustRightInd w:val="0"/>
              <w:snapToGrid w:val="0"/>
              <w:jc w:val="center"/>
              <w:rPr>
                <w:rFonts w:eastAsia="仿宋"/>
                <w:color w:val="FF0000"/>
                <w:szCs w:val="21"/>
              </w:rPr>
            </w:pPr>
            <w:r>
              <w:rPr>
                <w:rFonts w:eastAsia="仿宋"/>
                <w:color w:val="FF0000"/>
                <w:szCs w:val="21"/>
              </w:rPr>
              <w:t>声环境</w:t>
            </w:r>
          </w:p>
        </w:tc>
        <w:tc>
          <w:tcPr>
            <w:tcW w:w="1416" w:type="pct"/>
            <w:tcBorders>
              <w:top w:val="single" w:color="auto" w:sz="6" w:space="0"/>
              <w:left w:val="single" w:color="auto" w:sz="6" w:space="0"/>
              <w:bottom w:val="single" w:color="auto" w:sz="6" w:space="0"/>
              <w:right w:val="single" w:color="auto" w:sz="6" w:space="0"/>
            </w:tcBorders>
            <w:noWrap w:val="0"/>
            <w:vAlign w:val="center"/>
          </w:tcPr>
          <w:p w14:paraId="192B896C">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eastAsia="仿宋"/>
                <w:color w:val="FF0000"/>
                <w:szCs w:val="21"/>
              </w:rPr>
            </w:pPr>
            <w:r>
              <w:rPr>
                <w:rFonts w:eastAsia="仿宋"/>
                <w:color w:val="FF0000"/>
                <w:szCs w:val="21"/>
              </w:rPr>
              <w:t>选用低噪声施工设备，加强机械设备保养，合理安排施工时间</w:t>
            </w:r>
          </w:p>
        </w:tc>
        <w:tc>
          <w:tcPr>
            <w:tcW w:w="879" w:type="pct"/>
            <w:tcBorders>
              <w:top w:val="single" w:color="auto" w:sz="6" w:space="0"/>
              <w:left w:val="single" w:color="auto" w:sz="6" w:space="0"/>
              <w:bottom w:val="single" w:color="auto" w:sz="6" w:space="0"/>
              <w:right w:val="single" w:color="auto" w:sz="6" w:space="0"/>
            </w:tcBorders>
            <w:noWrap w:val="0"/>
            <w:vAlign w:val="center"/>
          </w:tcPr>
          <w:p w14:paraId="0DB2B02A">
            <w:pPr>
              <w:adjustRightInd w:val="0"/>
              <w:snapToGrid w:val="0"/>
              <w:jc w:val="center"/>
              <w:rPr>
                <w:rFonts w:eastAsia="仿宋"/>
                <w:color w:val="FF0000"/>
                <w:szCs w:val="21"/>
              </w:rPr>
            </w:pPr>
            <w:r>
              <w:rPr>
                <w:rFonts w:eastAsia="仿宋"/>
                <w:color w:val="FF0000"/>
                <w:szCs w:val="21"/>
              </w:rPr>
              <w:t>《建筑施工噪声排放标准》（GB12523-20</w:t>
            </w:r>
            <w:r>
              <w:rPr>
                <w:rFonts w:hint="eastAsia" w:eastAsia="仿宋"/>
                <w:color w:val="FF0000"/>
                <w:szCs w:val="21"/>
                <w:lang w:val="en-US" w:eastAsia="zh-CN"/>
              </w:rPr>
              <w:t>25</w:t>
            </w:r>
            <w:r>
              <w:rPr>
                <w:rFonts w:eastAsia="仿宋"/>
                <w:color w:val="FF0000"/>
                <w:szCs w:val="21"/>
              </w:rPr>
              <w:t>）</w:t>
            </w:r>
          </w:p>
        </w:tc>
        <w:tc>
          <w:tcPr>
            <w:tcW w:w="1425" w:type="pct"/>
            <w:tcBorders>
              <w:top w:val="single" w:color="auto" w:sz="6" w:space="0"/>
              <w:left w:val="single" w:color="auto" w:sz="6" w:space="0"/>
              <w:bottom w:val="single" w:color="auto" w:sz="6" w:space="0"/>
              <w:right w:val="single" w:color="auto" w:sz="6" w:space="0"/>
            </w:tcBorders>
            <w:noWrap w:val="0"/>
            <w:vAlign w:val="center"/>
          </w:tcPr>
          <w:p w14:paraId="06C0CC77">
            <w:pPr>
              <w:adjustRightInd w:val="0"/>
              <w:snapToGrid w:val="0"/>
              <w:jc w:val="center"/>
              <w:rPr>
                <w:rFonts w:hint="eastAsia" w:eastAsia="仿宋"/>
                <w:color w:val="FF0000"/>
                <w:szCs w:val="21"/>
                <w:lang w:eastAsia="zh-CN"/>
              </w:rPr>
            </w:pPr>
            <w:r>
              <w:rPr>
                <w:rFonts w:eastAsia="仿宋"/>
                <w:color w:val="FF0000"/>
                <w:szCs w:val="21"/>
              </w:rPr>
              <w:t>建筑隔声、基础减</w:t>
            </w:r>
            <w:r>
              <w:rPr>
                <w:rFonts w:hint="eastAsia" w:eastAsia="仿宋"/>
                <w:color w:val="FF0000"/>
                <w:szCs w:val="21"/>
                <w:lang w:val="en-US" w:eastAsia="zh-CN"/>
              </w:rPr>
              <w:t>振</w:t>
            </w:r>
          </w:p>
        </w:tc>
        <w:tc>
          <w:tcPr>
            <w:tcW w:w="746" w:type="pct"/>
            <w:tcBorders>
              <w:top w:val="single" w:color="auto" w:sz="6" w:space="0"/>
              <w:left w:val="single" w:color="auto" w:sz="6" w:space="0"/>
              <w:bottom w:val="single" w:color="auto" w:sz="6" w:space="0"/>
            </w:tcBorders>
            <w:noWrap w:val="0"/>
            <w:vAlign w:val="center"/>
          </w:tcPr>
          <w:p w14:paraId="3451172C">
            <w:pPr>
              <w:adjustRightInd w:val="0"/>
              <w:snapToGrid w:val="0"/>
              <w:jc w:val="center"/>
              <w:rPr>
                <w:rFonts w:eastAsia="仿宋"/>
                <w:color w:val="FF0000"/>
                <w:szCs w:val="21"/>
              </w:rPr>
            </w:pPr>
            <w:r>
              <w:rPr>
                <w:rFonts w:eastAsia="仿宋"/>
                <w:color w:val="FF0000"/>
              </w:rPr>
              <w:t>《工业企业厂界环境噪声排放标准》（GB12348-2008）中2类标准</w:t>
            </w:r>
          </w:p>
        </w:tc>
      </w:tr>
      <w:tr w14:paraId="52380F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31" w:type="pct"/>
            <w:tcBorders>
              <w:top w:val="single" w:color="auto" w:sz="6" w:space="0"/>
              <w:bottom w:val="single" w:color="auto" w:sz="6" w:space="0"/>
              <w:right w:val="single" w:color="auto" w:sz="6" w:space="0"/>
            </w:tcBorders>
            <w:noWrap w:val="0"/>
            <w:vAlign w:val="center"/>
          </w:tcPr>
          <w:p w14:paraId="61E755C4">
            <w:pPr>
              <w:adjustRightInd w:val="0"/>
              <w:snapToGrid w:val="0"/>
              <w:jc w:val="center"/>
              <w:rPr>
                <w:rFonts w:eastAsia="仿宋"/>
                <w:color w:val="FF0000"/>
                <w:szCs w:val="21"/>
              </w:rPr>
            </w:pPr>
            <w:r>
              <w:rPr>
                <w:rFonts w:eastAsia="仿宋"/>
                <w:color w:val="FF0000"/>
                <w:szCs w:val="21"/>
              </w:rPr>
              <w:t>振动</w:t>
            </w:r>
          </w:p>
        </w:tc>
        <w:tc>
          <w:tcPr>
            <w:tcW w:w="1416" w:type="pct"/>
            <w:tcBorders>
              <w:top w:val="single" w:color="auto" w:sz="6" w:space="0"/>
              <w:left w:val="single" w:color="auto" w:sz="6" w:space="0"/>
              <w:bottom w:val="single" w:color="auto" w:sz="6" w:space="0"/>
              <w:right w:val="single" w:color="auto" w:sz="6" w:space="0"/>
            </w:tcBorders>
            <w:noWrap w:val="0"/>
            <w:vAlign w:val="center"/>
          </w:tcPr>
          <w:p w14:paraId="7CD703DE">
            <w:pPr>
              <w:adjustRightInd w:val="0"/>
              <w:snapToGrid w:val="0"/>
              <w:jc w:val="center"/>
              <w:rPr>
                <w:rFonts w:eastAsia="仿宋"/>
                <w:color w:val="FF0000"/>
                <w:szCs w:val="21"/>
              </w:rPr>
            </w:pPr>
            <w:r>
              <w:rPr>
                <w:rFonts w:eastAsia="仿宋"/>
                <w:color w:val="FF0000"/>
                <w:szCs w:val="21"/>
              </w:rPr>
              <w:t>无</w:t>
            </w:r>
          </w:p>
        </w:tc>
        <w:tc>
          <w:tcPr>
            <w:tcW w:w="879" w:type="pct"/>
            <w:tcBorders>
              <w:top w:val="single" w:color="auto" w:sz="6" w:space="0"/>
              <w:left w:val="single" w:color="auto" w:sz="6" w:space="0"/>
              <w:bottom w:val="single" w:color="auto" w:sz="6" w:space="0"/>
              <w:right w:val="single" w:color="auto" w:sz="6" w:space="0"/>
            </w:tcBorders>
            <w:noWrap w:val="0"/>
            <w:vAlign w:val="center"/>
          </w:tcPr>
          <w:p w14:paraId="4C9FA45B">
            <w:pPr>
              <w:adjustRightInd w:val="0"/>
              <w:snapToGrid w:val="0"/>
              <w:jc w:val="center"/>
              <w:rPr>
                <w:rFonts w:eastAsia="仿宋"/>
                <w:color w:val="FF0000"/>
                <w:szCs w:val="21"/>
              </w:rPr>
            </w:pPr>
            <w:r>
              <w:rPr>
                <w:rFonts w:eastAsia="仿宋"/>
                <w:color w:val="FF0000"/>
                <w:szCs w:val="21"/>
              </w:rPr>
              <w:t>无</w:t>
            </w:r>
          </w:p>
        </w:tc>
        <w:tc>
          <w:tcPr>
            <w:tcW w:w="1425" w:type="pct"/>
            <w:tcBorders>
              <w:top w:val="single" w:color="auto" w:sz="6" w:space="0"/>
              <w:left w:val="single" w:color="auto" w:sz="6" w:space="0"/>
              <w:bottom w:val="single" w:color="auto" w:sz="6" w:space="0"/>
              <w:right w:val="single" w:color="auto" w:sz="6" w:space="0"/>
            </w:tcBorders>
            <w:noWrap w:val="0"/>
            <w:vAlign w:val="center"/>
          </w:tcPr>
          <w:p w14:paraId="1246AC1F">
            <w:pPr>
              <w:adjustRightInd w:val="0"/>
              <w:snapToGrid w:val="0"/>
              <w:jc w:val="center"/>
              <w:rPr>
                <w:rFonts w:eastAsia="仿宋"/>
                <w:color w:val="FF0000"/>
                <w:szCs w:val="21"/>
              </w:rPr>
            </w:pPr>
            <w:r>
              <w:rPr>
                <w:rFonts w:eastAsia="仿宋"/>
                <w:color w:val="FF0000"/>
                <w:szCs w:val="21"/>
              </w:rPr>
              <w:t>无</w:t>
            </w:r>
          </w:p>
        </w:tc>
        <w:tc>
          <w:tcPr>
            <w:tcW w:w="746" w:type="pct"/>
            <w:tcBorders>
              <w:top w:val="single" w:color="auto" w:sz="6" w:space="0"/>
              <w:left w:val="single" w:color="auto" w:sz="6" w:space="0"/>
              <w:bottom w:val="single" w:color="auto" w:sz="6" w:space="0"/>
            </w:tcBorders>
            <w:noWrap w:val="0"/>
            <w:vAlign w:val="center"/>
          </w:tcPr>
          <w:p w14:paraId="5C3FA8B2">
            <w:pPr>
              <w:adjustRightInd w:val="0"/>
              <w:snapToGrid w:val="0"/>
              <w:jc w:val="center"/>
              <w:rPr>
                <w:rFonts w:eastAsia="仿宋"/>
                <w:color w:val="FF0000"/>
                <w:szCs w:val="21"/>
              </w:rPr>
            </w:pPr>
            <w:r>
              <w:rPr>
                <w:rFonts w:eastAsia="仿宋"/>
                <w:color w:val="FF0000"/>
                <w:szCs w:val="21"/>
              </w:rPr>
              <w:t>无</w:t>
            </w:r>
          </w:p>
        </w:tc>
      </w:tr>
      <w:tr w14:paraId="6CB202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pct"/>
            <w:tcBorders>
              <w:top w:val="single" w:color="auto" w:sz="6" w:space="0"/>
              <w:bottom w:val="single" w:color="auto" w:sz="6" w:space="0"/>
              <w:right w:val="single" w:color="auto" w:sz="6" w:space="0"/>
            </w:tcBorders>
            <w:noWrap w:val="0"/>
            <w:vAlign w:val="center"/>
          </w:tcPr>
          <w:p w14:paraId="3CBF7CF7">
            <w:pPr>
              <w:adjustRightInd w:val="0"/>
              <w:snapToGrid w:val="0"/>
              <w:jc w:val="center"/>
              <w:rPr>
                <w:rFonts w:eastAsia="仿宋"/>
                <w:color w:val="FF0000"/>
                <w:szCs w:val="21"/>
              </w:rPr>
            </w:pPr>
            <w:r>
              <w:rPr>
                <w:rFonts w:eastAsia="仿宋"/>
                <w:color w:val="FF0000"/>
                <w:szCs w:val="21"/>
              </w:rPr>
              <w:t>大气</w:t>
            </w:r>
          </w:p>
          <w:p w14:paraId="076B4215">
            <w:pPr>
              <w:adjustRightInd w:val="0"/>
              <w:snapToGrid w:val="0"/>
              <w:jc w:val="center"/>
              <w:rPr>
                <w:rFonts w:eastAsia="仿宋"/>
                <w:color w:val="FF0000"/>
                <w:szCs w:val="21"/>
              </w:rPr>
            </w:pPr>
            <w:r>
              <w:rPr>
                <w:rFonts w:eastAsia="仿宋"/>
                <w:color w:val="FF0000"/>
                <w:szCs w:val="21"/>
              </w:rPr>
              <w:t>环境</w:t>
            </w:r>
          </w:p>
        </w:tc>
        <w:tc>
          <w:tcPr>
            <w:tcW w:w="1416" w:type="pct"/>
            <w:tcBorders>
              <w:top w:val="single" w:color="auto" w:sz="6" w:space="0"/>
              <w:left w:val="single" w:color="auto" w:sz="6" w:space="0"/>
              <w:bottom w:val="single" w:color="auto" w:sz="6" w:space="0"/>
              <w:right w:val="single" w:color="auto" w:sz="6" w:space="0"/>
            </w:tcBorders>
            <w:noWrap w:val="0"/>
            <w:vAlign w:val="center"/>
          </w:tcPr>
          <w:p w14:paraId="156F61D0">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 xml:space="preserve">⑴施工场地 </w:t>
            </w:r>
          </w:p>
          <w:p w14:paraId="1CC4077C">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①应合理安排施工现场，所有的砂石料等建筑材料应统一堆放、保存，尽可能减少堆场数量，并加</w:t>
            </w:r>
            <w:r>
              <w:rPr>
                <w:rFonts w:hint="eastAsia" w:eastAsia="仿宋" w:cs="Times New Roman"/>
                <w:color w:val="FF0000"/>
                <w:szCs w:val="21"/>
                <w:lang w:val="en-US" w:eastAsia="zh-CN"/>
              </w:rPr>
              <w:t>篷布</w:t>
            </w:r>
            <w:r>
              <w:rPr>
                <w:rFonts w:hint="default" w:ascii="Times New Roman" w:hAnsi="Times New Roman" w:eastAsia="仿宋" w:cs="Times New Roman"/>
                <w:color w:val="FF0000"/>
                <w:szCs w:val="21"/>
                <w:lang w:val="en-US" w:eastAsia="zh-CN"/>
              </w:rPr>
              <w:t>等覆盖；水泥等粉状材料运输应袋装或罐装，禁止散装</w:t>
            </w:r>
            <w:r>
              <w:rPr>
                <w:rFonts w:hint="eastAsia" w:ascii="Times New Roman" w:hAnsi="Times New Roman" w:eastAsia="仿宋" w:cs="Times New Roman"/>
                <w:color w:val="FF0000"/>
                <w:szCs w:val="21"/>
                <w:lang w:val="en-US" w:eastAsia="zh-CN"/>
              </w:rPr>
              <w:t>，</w:t>
            </w:r>
            <w:r>
              <w:rPr>
                <w:rFonts w:hint="default" w:ascii="Times New Roman" w:hAnsi="Times New Roman" w:eastAsia="仿宋" w:cs="Times New Roman"/>
                <w:color w:val="FF0000"/>
                <w:szCs w:val="21"/>
                <w:lang w:val="en-US" w:eastAsia="zh-CN"/>
              </w:rPr>
              <w:t xml:space="preserve">应设专门的库房堆放，并具备可靠的防扬尘措施，尽量减少搬运环节，搬运时要做到轻举轻放。 </w:t>
            </w:r>
          </w:p>
          <w:p w14:paraId="6B380727">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 xml:space="preserve">②开挖的土方及建筑垃圾作为场地的抬高土要及时进行利用，以防因长期堆放表面干燥而起尘，对作业面和材料、建筑垃圾等堆放场地定期洒水，使其保持一定的湿度，以减少扬尘量。 </w:t>
            </w:r>
          </w:p>
          <w:p w14:paraId="3FA877A5">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③施工现场厂界加设</w:t>
            </w:r>
            <w:r>
              <w:rPr>
                <w:rFonts w:hint="eastAsia" w:ascii="Times New Roman" w:hAnsi="Times New Roman" w:eastAsia="仿宋" w:cs="Times New Roman"/>
                <w:color w:val="FF0000"/>
                <w:szCs w:val="21"/>
                <w:lang w:val="en-US" w:eastAsia="zh-CN"/>
              </w:rPr>
              <w:t>围挡</w:t>
            </w:r>
            <w:r>
              <w:rPr>
                <w:rFonts w:hint="default" w:ascii="Times New Roman" w:hAnsi="Times New Roman" w:eastAsia="仿宋" w:cs="Times New Roman"/>
                <w:color w:val="FF0000"/>
                <w:szCs w:val="21"/>
                <w:lang w:val="en-US" w:eastAsia="zh-CN"/>
              </w:rPr>
              <w:t>，</w:t>
            </w:r>
            <w:r>
              <w:rPr>
                <w:rFonts w:hint="eastAsia" w:ascii="Times New Roman" w:hAnsi="Times New Roman" w:eastAsia="仿宋" w:cs="Times New Roman"/>
                <w:color w:val="FF0000"/>
                <w:szCs w:val="21"/>
                <w:lang w:val="en-US" w:eastAsia="zh-CN"/>
              </w:rPr>
              <w:t>同时对施工过程中尘土进行定期清理，每日洒水</w:t>
            </w:r>
            <w:r>
              <w:rPr>
                <w:rFonts w:hint="default" w:ascii="Times New Roman" w:hAnsi="Times New Roman" w:eastAsia="仿宋" w:cs="Times New Roman"/>
                <w:color w:val="FF0000"/>
                <w:szCs w:val="21"/>
                <w:lang w:val="en-US" w:eastAsia="zh-CN"/>
              </w:rPr>
              <w:t>4</w:t>
            </w:r>
            <w:r>
              <w:rPr>
                <w:rFonts w:hint="eastAsia" w:ascii="Times New Roman" w:hAnsi="Times New Roman" w:eastAsia="仿宋" w:cs="Times New Roman"/>
                <w:color w:val="FF0000"/>
                <w:szCs w:val="21"/>
                <w:lang w:val="en-US" w:eastAsia="zh-CN"/>
              </w:rPr>
              <w:t>～</w:t>
            </w:r>
            <w:r>
              <w:rPr>
                <w:rFonts w:hint="default" w:ascii="Times New Roman" w:hAnsi="Times New Roman" w:eastAsia="仿宋" w:cs="Times New Roman"/>
                <w:color w:val="FF0000"/>
                <w:szCs w:val="21"/>
                <w:lang w:val="en-US" w:eastAsia="zh-CN"/>
              </w:rPr>
              <w:t>5</w:t>
            </w:r>
            <w:r>
              <w:rPr>
                <w:rFonts w:hint="eastAsia" w:ascii="Times New Roman" w:hAnsi="Times New Roman" w:eastAsia="仿宋" w:cs="Times New Roman"/>
                <w:color w:val="FF0000"/>
                <w:szCs w:val="21"/>
                <w:lang w:val="en-US" w:eastAsia="zh-CN"/>
              </w:rPr>
              <w:t xml:space="preserve">次。 </w:t>
            </w:r>
          </w:p>
          <w:p w14:paraId="6BEB4C4A">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 xml:space="preserve">④施工作业应尽量避开大风天气，对施工场地和运输车辆行驶路面定期洒水。 </w:t>
            </w:r>
          </w:p>
          <w:p w14:paraId="1D3F324B">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 xml:space="preserve">⑤合理安排工期，尽可能地加快施工速度，减少施工时间，并建议施工单位采取逐段施工方式。 </w:t>
            </w:r>
          </w:p>
          <w:p w14:paraId="1E18A357">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 xml:space="preserve">⑵运输道路区 </w:t>
            </w:r>
          </w:p>
          <w:p w14:paraId="104B6EC8">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①建筑物料如水泥、</w:t>
            </w:r>
            <w:r>
              <w:rPr>
                <w:rFonts w:hint="eastAsia" w:ascii="Times New Roman" w:hAnsi="Times New Roman" w:eastAsia="仿宋" w:cs="Times New Roman"/>
                <w:color w:val="FF0000"/>
                <w:szCs w:val="21"/>
                <w:lang w:val="en-US" w:eastAsia="zh-CN"/>
              </w:rPr>
              <w:t>砂石</w:t>
            </w:r>
            <w:r>
              <w:rPr>
                <w:rFonts w:hint="default" w:ascii="Times New Roman" w:hAnsi="Times New Roman" w:eastAsia="仿宋" w:cs="Times New Roman"/>
                <w:color w:val="FF0000"/>
                <w:szCs w:val="21"/>
                <w:lang w:val="en-US" w:eastAsia="zh-CN"/>
              </w:rPr>
              <w:t>等粉状材料在运输存放中采取加盖</w:t>
            </w:r>
            <w:r>
              <w:rPr>
                <w:rFonts w:hint="eastAsia" w:ascii="Times New Roman" w:hAnsi="Times New Roman" w:eastAsia="仿宋" w:cs="Times New Roman"/>
                <w:color w:val="FF0000"/>
                <w:szCs w:val="21"/>
                <w:lang w:val="en-US" w:eastAsia="zh-CN"/>
              </w:rPr>
              <w:t>篷</w:t>
            </w:r>
            <w:r>
              <w:rPr>
                <w:rFonts w:hint="default" w:ascii="Times New Roman" w:hAnsi="Times New Roman" w:eastAsia="仿宋" w:cs="Times New Roman"/>
                <w:color w:val="FF0000"/>
                <w:szCs w:val="21"/>
                <w:lang w:val="en-US" w:eastAsia="zh-CN"/>
              </w:rPr>
              <w:t xml:space="preserve">布等防风措施，严格限制运输车辆装载货物的数量； </w:t>
            </w:r>
          </w:p>
          <w:p w14:paraId="098F8D29">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lang w:val="en-US" w:eastAsia="zh-CN"/>
              </w:rPr>
              <w:t xml:space="preserve">②加强施工活动的管理。 </w:t>
            </w:r>
          </w:p>
          <w:p w14:paraId="09784714">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eastAsia="仿宋"/>
                <w:color w:val="FF0000"/>
                <w:szCs w:val="21"/>
              </w:rPr>
            </w:pPr>
            <w:r>
              <w:rPr>
                <w:rFonts w:hint="default" w:ascii="Times New Roman" w:hAnsi="Times New Roman" w:eastAsia="仿宋" w:cs="Times New Roman"/>
                <w:color w:val="FF0000"/>
                <w:szCs w:val="21"/>
                <w:lang w:val="en-US" w:eastAsia="zh-CN"/>
              </w:rPr>
              <w:t>③谨防运输车辆装载过满，不得超出车厢板高度，并采取遮盖措施减少沿途</w:t>
            </w:r>
            <w:r>
              <w:rPr>
                <w:rFonts w:hint="eastAsia" w:eastAsia="仿宋" w:cs="Times New Roman"/>
                <w:color w:val="FF0000"/>
                <w:szCs w:val="21"/>
                <w:lang w:val="en-US" w:eastAsia="zh-CN"/>
              </w:rPr>
              <w:t>抛撒</w:t>
            </w:r>
            <w:r>
              <w:rPr>
                <w:rFonts w:hint="default" w:ascii="Times New Roman" w:hAnsi="Times New Roman" w:eastAsia="仿宋" w:cs="Times New Roman"/>
                <w:color w:val="FF0000"/>
                <w:szCs w:val="21"/>
                <w:lang w:val="en-US" w:eastAsia="zh-CN"/>
              </w:rPr>
              <w:t xml:space="preserve">、散落。 </w:t>
            </w:r>
          </w:p>
        </w:tc>
        <w:tc>
          <w:tcPr>
            <w:tcW w:w="879" w:type="pct"/>
            <w:tcBorders>
              <w:top w:val="single" w:color="auto" w:sz="6" w:space="0"/>
              <w:left w:val="single" w:color="auto" w:sz="6" w:space="0"/>
              <w:bottom w:val="single" w:color="auto" w:sz="6" w:space="0"/>
              <w:right w:val="single" w:color="auto" w:sz="6" w:space="0"/>
            </w:tcBorders>
            <w:noWrap w:val="0"/>
            <w:vAlign w:val="center"/>
          </w:tcPr>
          <w:p w14:paraId="2924E1BC">
            <w:pPr>
              <w:adjustRightInd w:val="0"/>
              <w:snapToGrid w:val="0"/>
              <w:jc w:val="center"/>
              <w:rPr>
                <w:rFonts w:eastAsia="仿宋"/>
                <w:color w:val="FF0000"/>
                <w:szCs w:val="21"/>
              </w:rPr>
            </w:pPr>
            <w:r>
              <w:rPr>
                <w:rFonts w:eastAsia="仿宋"/>
                <w:color w:val="FF0000"/>
              </w:rPr>
              <w:t>《大气污染物综合排放标准》（GB16297-1996）无组织排放要求</w:t>
            </w:r>
          </w:p>
        </w:tc>
        <w:tc>
          <w:tcPr>
            <w:tcW w:w="1425" w:type="pct"/>
            <w:tcBorders>
              <w:top w:val="single" w:color="auto" w:sz="6" w:space="0"/>
              <w:left w:val="single" w:color="auto" w:sz="6" w:space="0"/>
              <w:bottom w:val="single" w:color="auto" w:sz="6" w:space="0"/>
              <w:right w:val="single" w:color="auto" w:sz="6" w:space="0"/>
            </w:tcBorders>
            <w:noWrap w:val="0"/>
            <w:vAlign w:val="center"/>
          </w:tcPr>
          <w:p w14:paraId="05F8EE02">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color w:val="FF0000"/>
                <w:sz w:val="21"/>
                <w:szCs w:val="21"/>
                <w:highlight w:val="none"/>
              </w:rPr>
            </w:pPr>
            <w:r>
              <w:rPr>
                <w:rFonts w:hint="default" w:ascii="Times New Roman" w:hAnsi="Times New Roman" w:eastAsia="仿宋" w:cs="Times New Roman"/>
                <w:color w:val="FF0000"/>
                <w:szCs w:val="21"/>
              </w:rPr>
              <w:t>①</w:t>
            </w:r>
            <w:r>
              <w:rPr>
                <w:rFonts w:hint="default" w:ascii="Times New Roman" w:hAnsi="Times New Roman" w:eastAsia="仿宋" w:cs="Times New Roman"/>
                <w:color w:val="FF0000"/>
                <w:sz w:val="21"/>
                <w:szCs w:val="21"/>
                <w:highlight w:val="none"/>
              </w:rPr>
              <w:t>矿区</w:t>
            </w:r>
            <w:r>
              <w:rPr>
                <w:rFonts w:hint="eastAsia" w:eastAsia="仿宋" w:cs="Times New Roman"/>
                <w:color w:val="FF0000"/>
                <w:sz w:val="21"/>
                <w:szCs w:val="21"/>
                <w:highlight w:val="none"/>
                <w:lang w:val="en-US" w:eastAsia="zh-CN"/>
              </w:rPr>
              <w:t>剥离</w:t>
            </w:r>
            <w:r>
              <w:rPr>
                <w:rFonts w:hint="default" w:ascii="Times New Roman" w:hAnsi="Times New Roman" w:eastAsia="仿宋" w:cs="Times New Roman"/>
                <w:color w:val="FF0000"/>
                <w:sz w:val="21"/>
                <w:szCs w:val="21"/>
                <w:highlight w:val="none"/>
              </w:rPr>
              <w:t>前对</w:t>
            </w:r>
            <w:r>
              <w:rPr>
                <w:rFonts w:hint="default" w:ascii="Times New Roman" w:hAnsi="Times New Roman" w:eastAsia="仿宋" w:cs="Times New Roman"/>
                <w:color w:val="FF0000"/>
                <w:sz w:val="21"/>
                <w:szCs w:val="21"/>
                <w:highlight w:val="none"/>
                <w:lang w:val="en-US" w:eastAsia="zh-CN"/>
              </w:rPr>
              <w:t>开采</w:t>
            </w:r>
            <w:r>
              <w:rPr>
                <w:rFonts w:hint="default" w:ascii="Times New Roman" w:hAnsi="Times New Roman" w:eastAsia="仿宋" w:cs="Times New Roman"/>
                <w:color w:val="FF0000"/>
                <w:sz w:val="21"/>
                <w:szCs w:val="21"/>
                <w:highlight w:val="none"/>
              </w:rPr>
              <w:t>区域</w:t>
            </w:r>
            <w:r>
              <w:rPr>
                <w:rFonts w:hint="eastAsia" w:eastAsia="仿宋" w:cs="Times New Roman"/>
                <w:color w:val="FF0000"/>
                <w:sz w:val="21"/>
                <w:szCs w:val="21"/>
                <w:highlight w:val="none"/>
                <w:lang w:val="en-US" w:eastAsia="zh-CN"/>
              </w:rPr>
              <w:t>采取</w:t>
            </w:r>
            <w:r>
              <w:rPr>
                <w:rFonts w:hint="default" w:ascii="Times New Roman" w:hAnsi="Times New Roman" w:eastAsia="仿宋" w:cs="Times New Roman"/>
                <w:color w:val="FF0000"/>
                <w:sz w:val="21"/>
                <w:szCs w:val="21"/>
                <w:highlight w:val="none"/>
              </w:rPr>
              <w:t>洒水</w:t>
            </w:r>
            <w:r>
              <w:rPr>
                <w:rFonts w:hint="eastAsia" w:eastAsia="仿宋" w:cs="Times New Roman"/>
                <w:color w:val="FF0000"/>
                <w:sz w:val="21"/>
                <w:szCs w:val="21"/>
                <w:highlight w:val="none"/>
                <w:lang w:eastAsia="zh-CN"/>
              </w:rPr>
              <w:t>（</w:t>
            </w:r>
            <w:r>
              <w:rPr>
                <w:rFonts w:hint="eastAsia" w:eastAsia="仿宋" w:cs="Times New Roman"/>
                <w:color w:val="FF0000"/>
                <w:sz w:val="21"/>
                <w:szCs w:val="21"/>
                <w:highlight w:val="none"/>
                <w:lang w:val="en-US" w:eastAsia="zh-CN"/>
              </w:rPr>
              <w:t>洒水车</w:t>
            </w:r>
            <w:r>
              <w:rPr>
                <w:rFonts w:hint="eastAsia" w:eastAsia="仿宋" w:cs="Times New Roman"/>
                <w:color w:val="FF0000"/>
                <w:sz w:val="21"/>
                <w:szCs w:val="21"/>
                <w:highlight w:val="none"/>
                <w:lang w:eastAsia="zh-CN"/>
              </w:rPr>
              <w:t>）</w:t>
            </w:r>
            <w:r>
              <w:rPr>
                <w:rFonts w:hint="eastAsia" w:eastAsia="仿宋" w:cs="Times New Roman"/>
                <w:color w:val="FF0000"/>
                <w:sz w:val="21"/>
                <w:szCs w:val="21"/>
                <w:highlight w:val="none"/>
                <w:lang w:val="en-US" w:eastAsia="zh-CN"/>
              </w:rPr>
              <w:t>措施减少剥离粉尘的产生</w:t>
            </w:r>
            <w:r>
              <w:rPr>
                <w:rFonts w:hint="default" w:ascii="Times New Roman" w:hAnsi="Times New Roman" w:eastAsia="仿宋" w:cs="Times New Roman"/>
                <w:color w:val="FF0000"/>
                <w:sz w:val="21"/>
                <w:szCs w:val="21"/>
                <w:highlight w:val="none"/>
              </w:rPr>
              <w:t>；</w:t>
            </w:r>
          </w:p>
          <w:p w14:paraId="302811FE">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rPr>
              <w:t>②</w:t>
            </w:r>
            <w:r>
              <w:rPr>
                <w:rFonts w:hint="eastAsia" w:eastAsia="仿宋" w:cs="Times New Roman"/>
                <w:color w:val="FF0000"/>
                <w:szCs w:val="21"/>
                <w:lang w:val="en-US" w:eastAsia="zh-CN"/>
              </w:rPr>
              <w:t>矿区爆破前采用湿式凿岩法减少穿孔粉尘，爆破后采取</w:t>
            </w:r>
            <w:r>
              <w:rPr>
                <w:rFonts w:hint="default" w:ascii="Times New Roman" w:hAnsi="Times New Roman" w:eastAsia="仿宋" w:cs="Times New Roman"/>
                <w:color w:val="FF0000"/>
                <w:sz w:val="21"/>
                <w:szCs w:val="21"/>
                <w:highlight w:val="none"/>
              </w:rPr>
              <w:t>洒水</w:t>
            </w:r>
            <w:r>
              <w:rPr>
                <w:rFonts w:hint="eastAsia" w:eastAsia="仿宋" w:cs="Times New Roman"/>
                <w:color w:val="FF0000"/>
                <w:sz w:val="21"/>
                <w:szCs w:val="21"/>
                <w:highlight w:val="none"/>
                <w:lang w:eastAsia="zh-CN"/>
              </w:rPr>
              <w:t>（</w:t>
            </w:r>
            <w:r>
              <w:rPr>
                <w:rFonts w:hint="eastAsia" w:eastAsia="仿宋" w:cs="Times New Roman"/>
                <w:color w:val="FF0000"/>
                <w:sz w:val="21"/>
                <w:szCs w:val="21"/>
                <w:highlight w:val="none"/>
                <w:lang w:val="en-US" w:eastAsia="zh-CN"/>
              </w:rPr>
              <w:t>洒水车</w:t>
            </w:r>
            <w:r>
              <w:rPr>
                <w:rFonts w:hint="eastAsia" w:eastAsia="仿宋" w:cs="Times New Roman"/>
                <w:color w:val="FF0000"/>
                <w:sz w:val="21"/>
                <w:szCs w:val="21"/>
                <w:highlight w:val="none"/>
                <w:lang w:eastAsia="zh-CN"/>
              </w:rPr>
              <w:t>）</w:t>
            </w:r>
            <w:r>
              <w:rPr>
                <w:rFonts w:hint="eastAsia" w:eastAsia="仿宋" w:cs="Times New Roman"/>
                <w:color w:val="FF0000"/>
                <w:sz w:val="21"/>
                <w:szCs w:val="21"/>
                <w:highlight w:val="none"/>
                <w:lang w:val="en-US" w:eastAsia="zh-CN"/>
              </w:rPr>
              <w:t>措施减少爆破粉尘的产生，爆破烟气以无组织形式排放；</w:t>
            </w:r>
          </w:p>
          <w:p w14:paraId="3B231DDA">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color w:val="FF0000"/>
                <w:szCs w:val="21"/>
              </w:rPr>
              <w:t>③</w:t>
            </w:r>
            <w:r>
              <w:rPr>
                <w:rFonts w:hint="eastAsia" w:eastAsia="仿宋" w:cs="Times New Roman"/>
                <w:color w:val="FF0000"/>
                <w:szCs w:val="21"/>
                <w:lang w:val="en-US" w:eastAsia="zh-CN"/>
              </w:rPr>
              <w:t>矿区采用挖掘机液压锤对爆破后大块矿石进行破碎，通过采取</w:t>
            </w:r>
            <w:r>
              <w:rPr>
                <w:rFonts w:hint="default" w:ascii="Times New Roman" w:hAnsi="Times New Roman" w:eastAsia="仿宋" w:cs="Times New Roman"/>
                <w:color w:val="FF0000"/>
                <w:sz w:val="21"/>
                <w:szCs w:val="21"/>
                <w:highlight w:val="none"/>
              </w:rPr>
              <w:t>洒水</w:t>
            </w:r>
            <w:r>
              <w:rPr>
                <w:rFonts w:hint="eastAsia" w:eastAsia="仿宋" w:cs="Times New Roman"/>
                <w:color w:val="FF0000"/>
                <w:sz w:val="21"/>
                <w:szCs w:val="21"/>
                <w:highlight w:val="none"/>
                <w:lang w:eastAsia="zh-CN"/>
              </w:rPr>
              <w:t>（</w:t>
            </w:r>
            <w:r>
              <w:rPr>
                <w:rFonts w:hint="eastAsia" w:eastAsia="仿宋" w:cs="Times New Roman"/>
                <w:color w:val="FF0000"/>
                <w:sz w:val="21"/>
                <w:szCs w:val="21"/>
                <w:highlight w:val="none"/>
                <w:lang w:val="en-US" w:eastAsia="zh-CN"/>
              </w:rPr>
              <w:t>雾炮机</w:t>
            </w:r>
            <w:r>
              <w:rPr>
                <w:rFonts w:hint="eastAsia" w:eastAsia="仿宋" w:cs="Times New Roman"/>
                <w:color w:val="FF0000"/>
                <w:sz w:val="21"/>
                <w:szCs w:val="21"/>
                <w:highlight w:val="none"/>
                <w:lang w:eastAsia="zh-CN"/>
              </w:rPr>
              <w:t>）</w:t>
            </w:r>
            <w:r>
              <w:rPr>
                <w:rFonts w:hint="eastAsia" w:eastAsia="仿宋" w:cs="Times New Roman"/>
                <w:color w:val="FF0000"/>
                <w:sz w:val="21"/>
                <w:szCs w:val="21"/>
                <w:highlight w:val="none"/>
                <w:lang w:val="en-US" w:eastAsia="zh-CN"/>
              </w:rPr>
              <w:t>措施减少破碎粉尘的产生；</w:t>
            </w:r>
          </w:p>
          <w:p w14:paraId="5FDC218F">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snapToGrid w:val="0"/>
                <w:color w:val="FF0000"/>
                <w:szCs w:val="21"/>
                <w:highlight w:val="none"/>
                <w:lang w:val="en-US" w:eastAsia="zh-CN"/>
              </w:rPr>
            </w:pPr>
            <w:r>
              <w:rPr>
                <w:rFonts w:hint="default" w:ascii="Times New Roman" w:hAnsi="Times New Roman" w:eastAsia="仿宋" w:cs="Times New Roman"/>
                <w:snapToGrid w:val="0"/>
                <w:color w:val="FF0000"/>
                <w:kern w:val="0"/>
                <w:szCs w:val="21"/>
                <w:lang w:val="en-US" w:eastAsia="zh-CN"/>
              </w:rPr>
              <w:t>④</w:t>
            </w:r>
            <w:r>
              <w:rPr>
                <w:rFonts w:hint="eastAsia" w:eastAsia="仿宋" w:cs="Times New Roman"/>
                <w:snapToGrid w:val="0"/>
                <w:color w:val="FF0000"/>
                <w:szCs w:val="21"/>
                <w:highlight w:val="none"/>
                <w:lang w:val="en-US" w:eastAsia="zh-CN"/>
              </w:rPr>
              <w:t>矿区矿石铲装</w:t>
            </w:r>
            <w:r>
              <w:rPr>
                <w:rFonts w:hint="eastAsia" w:ascii="Times New Roman" w:hAnsi="Times New Roman" w:eastAsia="仿宋" w:cs="Times New Roman"/>
                <w:color w:val="FF0000"/>
                <w:sz w:val="21"/>
                <w:szCs w:val="21"/>
                <w:highlight w:val="none"/>
                <w:vertAlign w:val="baseline"/>
                <w:lang w:val="en-US" w:eastAsia="zh-CN"/>
              </w:rPr>
              <w:t>采取洒水</w:t>
            </w:r>
            <w:r>
              <w:rPr>
                <w:rFonts w:hint="eastAsia" w:eastAsia="仿宋" w:cs="Times New Roman"/>
                <w:color w:val="FF0000"/>
                <w:sz w:val="21"/>
                <w:szCs w:val="21"/>
                <w:highlight w:val="none"/>
                <w:lang w:eastAsia="zh-CN"/>
              </w:rPr>
              <w:t>（</w:t>
            </w:r>
            <w:r>
              <w:rPr>
                <w:rFonts w:hint="eastAsia" w:eastAsia="仿宋" w:cs="Times New Roman"/>
                <w:color w:val="FF0000"/>
                <w:sz w:val="21"/>
                <w:szCs w:val="21"/>
                <w:highlight w:val="none"/>
                <w:lang w:val="en-US" w:eastAsia="zh-CN"/>
              </w:rPr>
              <w:t>雾炮机</w:t>
            </w:r>
            <w:r>
              <w:rPr>
                <w:rFonts w:hint="eastAsia" w:eastAsia="仿宋" w:cs="Times New Roman"/>
                <w:color w:val="FF0000"/>
                <w:sz w:val="21"/>
                <w:szCs w:val="21"/>
                <w:highlight w:val="none"/>
                <w:lang w:eastAsia="zh-CN"/>
              </w:rPr>
              <w:t>）</w:t>
            </w:r>
            <w:r>
              <w:rPr>
                <w:rFonts w:hint="eastAsia" w:ascii="Times New Roman" w:hAnsi="Times New Roman" w:eastAsia="仿宋" w:cs="Times New Roman"/>
                <w:color w:val="FF0000"/>
                <w:sz w:val="21"/>
                <w:szCs w:val="21"/>
                <w:highlight w:val="none"/>
                <w:vertAlign w:val="baseline"/>
                <w:lang w:val="en-US" w:eastAsia="zh-CN"/>
              </w:rPr>
              <w:t>措施减少粉尘的产生；</w:t>
            </w:r>
          </w:p>
          <w:p w14:paraId="177FE5AA">
            <w:pPr>
              <w:keepNext w:val="0"/>
              <w:keepLines w:val="0"/>
              <w:pageBreakBefore w:val="0"/>
              <w:widowControl w:val="0"/>
              <w:kinsoku/>
              <w:wordWrap/>
              <w:overflowPunct/>
              <w:autoSpaceDE/>
              <w:bidi w:val="0"/>
              <w:adjustRightInd w:val="0"/>
              <w:snapToGrid w:val="0"/>
              <w:textAlignment w:val="baseline"/>
              <w:rPr>
                <w:rFonts w:hint="default" w:ascii="Times New Roman" w:hAnsi="Times New Roman" w:eastAsia="仿宋" w:cs="Times New Roman"/>
                <w:snapToGrid w:val="0"/>
                <w:color w:val="FF0000"/>
                <w:kern w:val="0"/>
                <w:szCs w:val="21"/>
                <w:lang w:val="en-US" w:eastAsia="zh-CN"/>
              </w:rPr>
            </w:pPr>
            <w:r>
              <w:rPr>
                <w:rFonts w:hint="default" w:ascii="Times New Roman" w:hAnsi="Times New Roman" w:eastAsia="仿宋" w:cs="Times New Roman"/>
                <w:snapToGrid w:val="0"/>
                <w:color w:val="FF0000"/>
                <w:kern w:val="0"/>
                <w:szCs w:val="21"/>
                <w:lang w:val="en-US" w:eastAsia="zh-CN"/>
              </w:rPr>
              <w:t>⑤</w:t>
            </w:r>
            <w:r>
              <w:rPr>
                <w:rFonts w:hint="eastAsia" w:eastAsia="仿宋" w:cs="Times New Roman"/>
                <w:snapToGrid w:val="0"/>
                <w:color w:val="FF0000"/>
                <w:kern w:val="0"/>
                <w:szCs w:val="21"/>
                <w:lang w:val="en-US" w:eastAsia="zh-CN"/>
              </w:rPr>
              <w:t>排土场采取防尘网苫盖，</w:t>
            </w:r>
            <w:r>
              <w:rPr>
                <w:rFonts w:hint="default" w:ascii="Times New Roman" w:hAnsi="Times New Roman" w:eastAsia="仿宋" w:cs="Times New Roman"/>
                <w:color w:val="FF0000"/>
                <w:sz w:val="21"/>
                <w:szCs w:val="21"/>
                <w:highlight w:val="none"/>
                <w:vertAlign w:val="baseline"/>
                <w:lang w:val="en-US" w:eastAsia="zh-CN"/>
              </w:rPr>
              <w:t>并定期洒水</w:t>
            </w:r>
            <w:r>
              <w:rPr>
                <w:rFonts w:hint="default" w:ascii="Times New Roman" w:hAnsi="Times New Roman" w:eastAsia="仿宋" w:cs="Times New Roman"/>
                <w:snapToGrid w:val="0"/>
                <w:color w:val="FF0000"/>
                <w:szCs w:val="21"/>
                <w:highlight w:val="none"/>
                <w:lang w:eastAsia="zh-CN"/>
              </w:rPr>
              <w:t>（</w:t>
            </w:r>
            <w:r>
              <w:rPr>
                <w:rFonts w:hint="default" w:ascii="Times New Roman" w:hAnsi="Times New Roman" w:eastAsia="仿宋" w:cs="Times New Roman"/>
                <w:snapToGrid w:val="0"/>
                <w:color w:val="FF0000"/>
                <w:szCs w:val="21"/>
                <w:highlight w:val="none"/>
                <w:lang w:val="en-US" w:eastAsia="zh-CN"/>
              </w:rPr>
              <w:t>洒水车</w:t>
            </w:r>
            <w:r>
              <w:rPr>
                <w:rFonts w:hint="default" w:ascii="Times New Roman" w:hAnsi="Times New Roman" w:eastAsia="仿宋" w:cs="Times New Roman"/>
                <w:snapToGrid w:val="0"/>
                <w:color w:val="FF0000"/>
                <w:szCs w:val="21"/>
                <w:highlight w:val="none"/>
                <w:lang w:eastAsia="zh-CN"/>
              </w:rPr>
              <w:t>）</w:t>
            </w:r>
            <w:r>
              <w:rPr>
                <w:rFonts w:hint="default" w:ascii="Times New Roman" w:hAnsi="Times New Roman" w:eastAsia="仿宋" w:cs="Times New Roman"/>
                <w:color w:val="FF0000"/>
                <w:sz w:val="21"/>
                <w:szCs w:val="21"/>
                <w:highlight w:val="none"/>
                <w:vertAlign w:val="baseline"/>
                <w:lang w:val="en-US" w:eastAsia="zh-CN"/>
              </w:rPr>
              <w:t>降尘</w:t>
            </w:r>
            <w:r>
              <w:rPr>
                <w:rFonts w:hint="eastAsia" w:ascii="Times New Roman" w:hAnsi="Times New Roman" w:eastAsia="仿宋" w:cs="Times New Roman"/>
                <w:color w:val="FF0000"/>
                <w:sz w:val="21"/>
                <w:szCs w:val="21"/>
                <w:highlight w:val="none"/>
                <w:vertAlign w:val="baseline"/>
                <w:lang w:val="en-US" w:eastAsia="zh-CN"/>
              </w:rPr>
              <w:t>；</w:t>
            </w:r>
          </w:p>
          <w:p w14:paraId="3FCF0B4E">
            <w:pPr>
              <w:keepNext w:val="0"/>
              <w:keepLines w:val="0"/>
              <w:pageBreakBefore w:val="0"/>
              <w:widowControl w:val="0"/>
              <w:kinsoku/>
              <w:wordWrap/>
              <w:overflowPunct/>
              <w:topLinePunct w:val="0"/>
              <w:autoSpaceDE/>
              <w:autoSpaceDN/>
              <w:bidi w:val="0"/>
              <w:adjustRightInd w:val="0"/>
              <w:snapToGrid w:val="0"/>
              <w:jc w:val="both"/>
              <w:textAlignment w:val="auto"/>
              <w:rPr>
                <w:rFonts w:hint="eastAsia" w:eastAsia="仿宋" w:cs="Times New Roman"/>
                <w:snapToGrid w:val="0"/>
                <w:color w:val="FF0000"/>
                <w:kern w:val="0"/>
                <w:szCs w:val="21"/>
                <w:lang w:val="en-US" w:eastAsia="zh-CN"/>
              </w:rPr>
            </w:pPr>
            <w:r>
              <w:rPr>
                <w:rFonts w:hint="default" w:ascii="Times New Roman" w:hAnsi="Times New Roman" w:eastAsia="仿宋" w:cs="Times New Roman"/>
                <w:snapToGrid w:val="0"/>
                <w:color w:val="FF0000"/>
                <w:kern w:val="0"/>
                <w:szCs w:val="21"/>
                <w:lang w:val="en-US" w:eastAsia="zh-CN"/>
              </w:rPr>
              <w:t>⑥</w:t>
            </w:r>
            <w:r>
              <w:rPr>
                <w:rFonts w:hint="eastAsia" w:eastAsia="仿宋" w:cs="Times New Roman"/>
                <w:snapToGrid w:val="0"/>
                <w:color w:val="FF0000"/>
                <w:kern w:val="0"/>
                <w:szCs w:val="21"/>
                <w:lang w:val="en-US" w:eastAsia="zh-CN"/>
              </w:rPr>
              <w:t>投料口及3台破碎机上方设置集气罩+布袋除尘器+15m排气筒（DA001）；3台振动筛上方设置集气罩+布袋除尘器+15m排气筒（DA002）；</w:t>
            </w:r>
          </w:p>
          <w:p w14:paraId="704EE1DF">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仿宋" w:cs="Times New Roman"/>
                <w:color w:val="FF0000"/>
                <w:sz w:val="21"/>
                <w:szCs w:val="21"/>
                <w:highlight w:val="none"/>
                <w:lang w:val="en-US" w:eastAsia="zh-CN"/>
              </w:rPr>
            </w:pPr>
            <w:r>
              <w:rPr>
                <w:rFonts w:hint="default" w:ascii="Times New Roman" w:hAnsi="Times New Roman" w:eastAsia="仿宋" w:cs="Times New Roman"/>
                <w:color w:val="FF0000"/>
                <w:sz w:val="21"/>
                <w:szCs w:val="21"/>
                <w:highlight w:val="none"/>
                <w:lang w:val="en-US" w:eastAsia="zh-CN"/>
              </w:rPr>
              <w:t>⑦</w:t>
            </w:r>
            <w:r>
              <w:rPr>
                <w:rFonts w:hint="eastAsia" w:eastAsia="仿宋" w:cs="Times New Roman"/>
                <w:color w:val="FF0000"/>
                <w:sz w:val="21"/>
                <w:szCs w:val="21"/>
                <w:highlight w:val="none"/>
                <w:lang w:val="en-US" w:eastAsia="zh-CN"/>
              </w:rPr>
              <w:t>成品堆场设置三面围挡（竖型防风网）+顶部苫盖</w:t>
            </w:r>
            <w:r>
              <w:rPr>
                <w:rFonts w:hint="default" w:ascii="Times New Roman" w:hAnsi="Times New Roman" w:eastAsia="仿宋" w:cs="Times New Roman"/>
                <w:color w:val="FF0000"/>
                <w:szCs w:val="21"/>
                <w:highlight w:val="none"/>
                <w:lang w:eastAsia="zh-CN"/>
              </w:rPr>
              <w:t>，</w:t>
            </w:r>
            <w:r>
              <w:rPr>
                <w:rFonts w:hint="default" w:ascii="Times New Roman" w:hAnsi="Times New Roman" w:eastAsia="仿宋" w:cs="Times New Roman"/>
                <w:color w:val="FF0000"/>
                <w:szCs w:val="21"/>
                <w:highlight w:val="none"/>
                <w:lang w:val="en-US" w:eastAsia="zh-CN"/>
              </w:rPr>
              <w:t>并且</w:t>
            </w:r>
            <w:r>
              <w:rPr>
                <w:rFonts w:hint="default" w:ascii="Times New Roman" w:hAnsi="Times New Roman" w:eastAsia="仿宋" w:cs="Times New Roman"/>
                <w:snapToGrid w:val="0"/>
                <w:color w:val="FF0000"/>
                <w:szCs w:val="21"/>
                <w:highlight w:val="none"/>
              </w:rPr>
              <w:t>定期采取洒水</w:t>
            </w:r>
            <w:r>
              <w:rPr>
                <w:rFonts w:hint="default" w:ascii="Times New Roman" w:hAnsi="Times New Roman" w:eastAsia="仿宋" w:cs="Times New Roman"/>
                <w:snapToGrid w:val="0"/>
                <w:color w:val="FF0000"/>
                <w:szCs w:val="21"/>
                <w:highlight w:val="none"/>
                <w:lang w:eastAsia="zh-CN"/>
              </w:rPr>
              <w:t>（</w:t>
            </w:r>
            <w:r>
              <w:rPr>
                <w:rFonts w:hint="default" w:ascii="Times New Roman" w:hAnsi="Times New Roman" w:eastAsia="仿宋" w:cs="Times New Roman"/>
                <w:snapToGrid w:val="0"/>
                <w:color w:val="FF0000"/>
                <w:szCs w:val="21"/>
                <w:highlight w:val="none"/>
                <w:lang w:val="en-US" w:eastAsia="zh-CN"/>
              </w:rPr>
              <w:t>洒水车+水管</w:t>
            </w:r>
            <w:r>
              <w:rPr>
                <w:rFonts w:hint="default" w:ascii="Times New Roman" w:hAnsi="Times New Roman" w:eastAsia="仿宋" w:cs="Times New Roman"/>
                <w:snapToGrid w:val="0"/>
                <w:color w:val="FF0000"/>
                <w:szCs w:val="21"/>
                <w:highlight w:val="none"/>
                <w:lang w:eastAsia="zh-CN"/>
              </w:rPr>
              <w:t>）</w:t>
            </w:r>
            <w:r>
              <w:rPr>
                <w:rFonts w:hint="default" w:ascii="Times New Roman" w:hAnsi="Times New Roman" w:eastAsia="仿宋" w:cs="Times New Roman"/>
                <w:snapToGrid w:val="0"/>
                <w:color w:val="FF0000"/>
                <w:szCs w:val="21"/>
                <w:highlight w:val="none"/>
              </w:rPr>
              <w:t>降尘；</w:t>
            </w:r>
          </w:p>
          <w:p w14:paraId="3DE87F1D">
            <w:pPr>
              <w:keepNext w:val="0"/>
              <w:keepLines w:val="0"/>
              <w:pageBreakBefore w:val="0"/>
              <w:widowControl w:val="0"/>
              <w:kinsoku/>
              <w:wordWrap/>
              <w:overflowPunct/>
              <w:topLinePunct w:val="0"/>
              <w:autoSpaceDE/>
              <w:autoSpaceDN/>
              <w:bidi w:val="0"/>
              <w:adjustRightInd w:val="0"/>
              <w:snapToGrid w:val="0"/>
              <w:jc w:val="both"/>
              <w:textAlignment w:val="auto"/>
              <w:rPr>
                <w:rFonts w:hint="default" w:eastAsia="仿宋"/>
                <w:color w:val="FF0000"/>
                <w:lang w:val="en-US" w:eastAsia="zh-CN"/>
              </w:rPr>
            </w:pPr>
            <w:r>
              <w:rPr>
                <w:rFonts w:hint="default" w:ascii="Times New Roman" w:hAnsi="Times New Roman" w:eastAsia="仿宋" w:cs="Times New Roman"/>
                <w:color w:val="FF0000"/>
                <w:sz w:val="21"/>
                <w:szCs w:val="21"/>
                <w:highlight w:val="none"/>
                <w:lang w:val="en-US" w:eastAsia="zh-CN"/>
              </w:rPr>
              <w:t>⑧</w:t>
            </w:r>
            <w:r>
              <w:rPr>
                <w:rFonts w:hint="default" w:ascii="Times New Roman" w:hAnsi="Times New Roman" w:eastAsia="仿宋" w:cs="Times New Roman"/>
                <w:color w:val="FF0000"/>
                <w:sz w:val="21"/>
                <w:szCs w:val="21"/>
                <w:highlight w:val="none"/>
              </w:rPr>
              <w:t>运输道路采用</w:t>
            </w:r>
            <w:r>
              <w:rPr>
                <w:rFonts w:hint="eastAsia" w:ascii="Times New Roman" w:hAnsi="Times New Roman" w:eastAsia="仿宋" w:cs="Times New Roman"/>
                <w:color w:val="FF0000"/>
                <w:sz w:val="21"/>
                <w:szCs w:val="21"/>
                <w:highlight w:val="none"/>
                <w:vertAlign w:val="baseline"/>
                <w:lang w:val="en-US" w:eastAsia="zh-CN"/>
              </w:rPr>
              <w:t>碎</w:t>
            </w:r>
            <w:r>
              <w:rPr>
                <w:rFonts w:hint="default" w:ascii="Times New Roman" w:hAnsi="Times New Roman" w:eastAsia="仿宋" w:cs="Times New Roman"/>
                <w:color w:val="FF0000"/>
                <w:sz w:val="21"/>
                <w:szCs w:val="21"/>
                <w:highlight w:val="none"/>
                <w:vertAlign w:val="baseline"/>
                <w:lang w:val="en-US" w:eastAsia="zh-CN"/>
              </w:rPr>
              <w:t>石铺压并定期洒水</w:t>
            </w:r>
            <w:r>
              <w:rPr>
                <w:rFonts w:hint="default" w:ascii="Times New Roman" w:hAnsi="Times New Roman" w:eastAsia="仿宋" w:cs="Times New Roman"/>
                <w:snapToGrid w:val="0"/>
                <w:color w:val="FF0000"/>
                <w:szCs w:val="21"/>
                <w:highlight w:val="none"/>
                <w:lang w:eastAsia="zh-CN"/>
              </w:rPr>
              <w:t>（</w:t>
            </w:r>
            <w:r>
              <w:rPr>
                <w:rFonts w:hint="default" w:ascii="Times New Roman" w:hAnsi="Times New Roman" w:eastAsia="仿宋" w:cs="Times New Roman"/>
                <w:snapToGrid w:val="0"/>
                <w:color w:val="FF0000"/>
                <w:szCs w:val="21"/>
                <w:highlight w:val="none"/>
                <w:lang w:val="en-US" w:eastAsia="zh-CN"/>
              </w:rPr>
              <w:t>洒水车</w:t>
            </w:r>
            <w:r>
              <w:rPr>
                <w:rFonts w:hint="default" w:ascii="Times New Roman" w:hAnsi="Times New Roman" w:eastAsia="仿宋" w:cs="Times New Roman"/>
                <w:snapToGrid w:val="0"/>
                <w:color w:val="FF0000"/>
                <w:szCs w:val="21"/>
                <w:highlight w:val="none"/>
                <w:lang w:eastAsia="zh-CN"/>
              </w:rPr>
              <w:t>）</w:t>
            </w:r>
            <w:r>
              <w:rPr>
                <w:rFonts w:hint="default" w:ascii="Times New Roman" w:hAnsi="Times New Roman" w:eastAsia="仿宋" w:cs="Times New Roman"/>
                <w:color w:val="FF0000"/>
                <w:sz w:val="21"/>
                <w:szCs w:val="21"/>
                <w:highlight w:val="none"/>
                <w:vertAlign w:val="baseline"/>
                <w:lang w:val="en-US" w:eastAsia="zh-CN"/>
              </w:rPr>
              <w:t>降尘</w:t>
            </w:r>
            <w:r>
              <w:rPr>
                <w:rFonts w:hint="eastAsia" w:ascii="Times New Roman" w:hAnsi="Times New Roman" w:eastAsia="仿宋" w:cs="Times New Roman"/>
                <w:color w:val="FF0000"/>
                <w:sz w:val="21"/>
                <w:szCs w:val="21"/>
                <w:highlight w:val="none"/>
                <w:vertAlign w:val="baseline"/>
                <w:lang w:val="en-US" w:eastAsia="zh-CN"/>
              </w:rPr>
              <w:t>。</w:t>
            </w:r>
          </w:p>
        </w:tc>
        <w:tc>
          <w:tcPr>
            <w:tcW w:w="746" w:type="pct"/>
            <w:tcBorders>
              <w:top w:val="single" w:color="auto" w:sz="6" w:space="0"/>
              <w:left w:val="single" w:color="auto" w:sz="6" w:space="0"/>
              <w:bottom w:val="single" w:color="auto" w:sz="6" w:space="0"/>
            </w:tcBorders>
            <w:noWrap w:val="0"/>
            <w:vAlign w:val="center"/>
          </w:tcPr>
          <w:p w14:paraId="5283C0F2">
            <w:pPr>
              <w:adjustRightInd w:val="0"/>
              <w:snapToGrid w:val="0"/>
              <w:jc w:val="center"/>
              <w:rPr>
                <w:rFonts w:hint="default" w:eastAsia="仿宋"/>
                <w:color w:val="FF0000"/>
                <w:lang w:val="en-US" w:eastAsia="zh-CN"/>
              </w:rPr>
            </w:pPr>
            <w:r>
              <w:rPr>
                <w:rFonts w:hint="eastAsia" w:ascii="Times New Roman" w:hAnsi="Times New Roman" w:eastAsia="仿宋" w:cs="Times New Roman"/>
                <w:color w:val="FF0000"/>
                <w:lang w:val="en-US" w:eastAsia="zh-CN"/>
              </w:rPr>
              <w:t>《大气污染物综合排放标准》（GB16297-1996）中排放浓度要求</w:t>
            </w:r>
          </w:p>
        </w:tc>
      </w:tr>
      <w:tr w14:paraId="58D7EE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pct"/>
            <w:tcBorders>
              <w:top w:val="single" w:color="auto" w:sz="6" w:space="0"/>
              <w:bottom w:val="single" w:color="auto" w:sz="6" w:space="0"/>
              <w:right w:val="single" w:color="auto" w:sz="6" w:space="0"/>
            </w:tcBorders>
            <w:noWrap w:val="0"/>
            <w:vAlign w:val="center"/>
          </w:tcPr>
          <w:p w14:paraId="79E0FF00">
            <w:pPr>
              <w:adjustRightInd w:val="0"/>
              <w:snapToGrid w:val="0"/>
              <w:jc w:val="center"/>
              <w:rPr>
                <w:rFonts w:eastAsia="仿宋"/>
                <w:color w:val="FF0000"/>
                <w:szCs w:val="21"/>
              </w:rPr>
            </w:pPr>
            <w:r>
              <w:rPr>
                <w:rFonts w:eastAsia="仿宋"/>
                <w:color w:val="FF0000"/>
                <w:szCs w:val="21"/>
              </w:rPr>
              <w:t>固体</w:t>
            </w:r>
          </w:p>
          <w:p w14:paraId="35B4BDD0">
            <w:pPr>
              <w:adjustRightInd w:val="0"/>
              <w:snapToGrid w:val="0"/>
              <w:jc w:val="center"/>
              <w:rPr>
                <w:rFonts w:eastAsia="仿宋"/>
                <w:color w:val="FF0000"/>
                <w:szCs w:val="21"/>
              </w:rPr>
            </w:pPr>
            <w:r>
              <w:rPr>
                <w:rFonts w:eastAsia="仿宋"/>
                <w:color w:val="FF0000"/>
                <w:szCs w:val="21"/>
              </w:rPr>
              <w:t>废物</w:t>
            </w:r>
          </w:p>
        </w:tc>
        <w:tc>
          <w:tcPr>
            <w:tcW w:w="1416" w:type="pct"/>
            <w:tcBorders>
              <w:top w:val="single" w:color="auto" w:sz="6" w:space="0"/>
              <w:left w:val="single" w:color="auto" w:sz="6" w:space="0"/>
              <w:bottom w:val="single" w:color="auto" w:sz="6" w:space="0"/>
              <w:right w:val="single" w:color="auto" w:sz="6" w:space="0"/>
            </w:tcBorders>
            <w:noWrap w:val="0"/>
            <w:vAlign w:val="center"/>
          </w:tcPr>
          <w:p w14:paraId="5A2E641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eastAsia="仿宋"/>
                <w:color w:val="FF0000"/>
              </w:rPr>
            </w:pPr>
            <w:r>
              <w:rPr>
                <w:rFonts w:eastAsia="仿宋"/>
                <w:color w:val="FF0000"/>
              </w:rPr>
              <w:t>生活垃圾袋集中收集后定期运往当地环卫部门指定地点处理；建筑垃圾拉运至当地住建部门指定地点处置。</w:t>
            </w:r>
          </w:p>
        </w:tc>
        <w:tc>
          <w:tcPr>
            <w:tcW w:w="879" w:type="pct"/>
            <w:tcBorders>
              <w:top w:val="single" w:color="auto" w:sz="6" w:space="0"/>
              <w:left w:val="single" w:color="auto" w:sz="6" w:space="0"/>
              <w:bottom w:val="single" w:color="auto" w:sz="6" w:space="0"/>
              <w:right w:val="single" w:color="auto" w:sz="6" w:space="0"/>
            </w:tcBorders>
            <w:noWrap w:val="0"/>
            <w:vAlign w:val="center"/>
          </w:tcPr>
          <w:p w14:paraId="0E413634">
            <w:pPr>
              <w:adjustRightInd w:val="0"/>
              <w:snapToGrid w:val="0"/>
              <w:jc w:val="center"/>
              <w:rPr>
                <w:rFonts w:eastAsia="仿宋"/>
                <w:color w:val="FF0000"/>
                <w:szCs w:val="21"/>
              </w:rPr>
            </w:pPr>
            <w:r>
              <w:rPr>
                <w:rFonts w:eastAsia="仿宋"/>
                <w:color w:val="FF0000"/>
                <w:szCs w:val="21"/>
              </w:rPr>
              <w:t>按照环评要求处置</w:t>
            </w:r>
          </w:p>
        </w:tc>
        <w:tc>
          <w:tcPr>
            <w:tcW w:w="1425" w:type="pct"/>
            <w:tcBorders>
              <w:top w:val="single" w:color="auto" w:sz="6" w:space="0"/>
              <w:left w:val="single" w:color="auto" w:sz="6" w:space="0"/>
              <w:bottom w:val="single" w:color="auto" w:sz="6" w:space="0"/>
              <w:right w:val="single" w:color="auto" w:sz="6" w:space="0"/>
            </w:tcBorders>
            <w:noWrap w:val="0"/>
            <w:vAlign w:val="center"/>
          </w:tcPr>
          <w:p w14:paraId="14B6E571">
            <w:pPr>
              <w:keepNext w:val="0"/>
              <w:keepLines w:val="0"/>
              <w:pageBreakBefore w:val="0"/>
              <w:widowControl w:val="0"/>
              <w:kinsoku/>
              <w:wordWrap/>
              <w:overflowPunct/>
              <w:topLinePunct/>
              <w:autoSpaceDE/>
              <w:autoSpaceDN w:val="0"/>
              <w:bidi w:val="0"/>
              <w:adjustRightInd w:val="0"/>
              <w:snapToGrid w:val="0"/>
              <w:spacing w:line="240" w:lineRule="auto"/>
              <w:jc w:val="both"/>
              <w:textAlignment w:val="center"/>
              <w:rPr>
                <w:rFonts w:hint="eastAsia" w:eastAsia="仿宋" w:cs="Times New Roman"/>
                <w:b w:val="0"/>
                <w:bCs w:val="0"/>
                <w:color w:val="FF0000"/>
                <w:kern w:val="0"/>
                <w:sz w:val="21"/>
                <w:szCs w:val="21"/>
                <w:highlight w:val="none"/>
                <w:vertAlign w:val="baseline"/>
                <w:lang w:val="en-US" w:eastAsia="zh-CN"/>
              </w:rPr>
            </w:pPr>
            <w:r>
              <w:rPr>
                <w:rFonts w:hint="default" w:ascii="Times New Roman" w:hAnsi="Times New Roman" w:eastAsia="仿宋" w:cs="Times New Roman"/>
                <w:color w:val="FF0000"/>
                <w:szCs w:val="21"/>
                <w:highlight w:val="none"/>
              </w:rPr>
              <w:t>①</w:t>
            </w:r>
            <w:r>
              <w:rPr>
                <w:rFonts w:hint="default" w:ascii="Times New Roman" w:hAnsi="Times New Roman" w:eastAsia="仿宋" w:cs="Times New Roman"/>
                <w:b w:val="0"/>
                <w:bCs w:val="0"/>
                <w:color w:val="FF0000"/>
                <w:kern w:val="0"/>
                <w:sz w:val="21"/>
                <w:szCs w:val="21"/>
                <w:highlight w:val="none"/>
                <w:vertAlign w:val="baseline"/>
                <w:lang w:val="en-US" w:eastAsia="zh-CN"/>
              </w:rPr>
              <w:t>矿山剥离表土</w:t>
            </w:r>
            <w:r>
              <w:rPr>
                <w:rFonts w:hint="eastAsia" w:eastAsia="仿宋" w:cs="Times New Roman"/>
                <w:b w:val="0"/>
                <w:bCs w:val="0"/>
                <w:color w:val="FF0000"/>
                <w:kern w:val="0"/>
                <w:sz w:val="21"/>
                <w:szCs w:val="21"/>
                <w:highlight w:val="none"/>
                <w:vertAlign w:val="baseline"/>
                <w:lang w:val="en-US" w:eastAsia="zh-CN"/>
              </w:rPr>
              <w:t>和废石堆存于排土场内后期用于矿区生态修复；</w:t>
            </w:r>
          </w:p>
          <w:p w14:paraId="484AD78C">
            <w:pPr>
              <w:keepNext w:val="0"/>
              <w:keepLines w:val="0"/>
              <w:pageBreakBefore w:val="0"/>
              <w:widowControl w:val="0"/>
              <w:kinsoku/>
              <w:wordWrap/>
              <w:overflowPunct/>
              <w:topLinePunct/>
              <w:autoSpaceDE/>
              <w:autoSpaceDN w:val="0"/>
              <w:bidi w:val="0"/>
              <w:adjustRightInd w:val="0"/>
              <w:snapToGrid w:val="0"/>
              <w:spacing w:line="240" w:lineRule="auto"/>
              <w:jc w:val="both"/>
              <w:textAlignment w:val="center"/>
              <w:rPr>
                <w:rFonts w:hint="eastAsia" w:eastAsia="仿宋" w:cs="Times New Roman"/>
                <w:b w:val="0"/>
                <w:bCs w:val="0"/>
                <w:color w:val="FF0000"/>
                <w:kern w:val="0"/>
                <w:sz w:val="21"/>
                <w:szCs w:val="21"/>
                <w:highlight w:val="none"/>
                <w:vertAlign w:val="baseline"/>
                <w:lang w:val="en-US" w:eastAsia="zh-CN"/>
              </w:rPr>
            </w:pPr>
            <w:r>
              <w:rPr>
                <w:rFonts w:hint="default" w:ascii="Times New Roman" w:hAnsi="Times New Roman" w:eastAsia="仿宋" w:cs="Times New Roman"/>
                <w:color w:val="FF0000"/>
                <w:szCs w:val="21"/>
                <w:highlight w:val="none"/>
              </w:rPr>
              <w:t>②</w:t>
            </w:r>
            <w:r>
              <w:rPr>
                <w:rFonts w:hint="eastAsia" w:eastAsia="仿宋" w:cs="Times New Roman"/>
                <w:color w:val="FF0000"/>
                <w:szCs w:val="21"/>
                <w:highlight w:val="none"/>
                <w:lang w:val="en-US" w:eastAsia="zh-CN"/>
              </w:rPr>
              <w:t>布袋除尘器收集粉尘集中收集外售；</w:t>
            </w:r>
          </w:p>
          <w:p w14:paraId="0BA34B52">
            <w:pPr>
              <w:keepNext w:val="0"/>
              <w:keepLines w:val="0"/>
              <w:pageBreakBefore w:val="0"/>
              <w:widowControl w:val="0"/>
              <w:kinsoku/>
              <w:wordWrap/>
              <w:overflowPunct/>
              <w:topLinePunct/>
              <w:autoSpaceDE/>
              <w:autoSpaceDN w:val="0"/>
              <w:bidi w:val="0"/>
              <w:adjustRightInd w:val="0"/>
              <w:snapToGrid w:val="0"/>
              <w:spacing w:line="240" w:lineRule="auto"/>
              <w:jc w:val="both"/>
              <w:textAlignment w:val="center"/>
              <w:rPr>
                <w:rFonts w:hint="default" w:ascii="Times New Roman" w:hAnsi="Times New Roman" w:eastAsia="仿宋" w:cs="Times New Roman"/>
                <w:color w:val="FF0000"/>
                <w:szCs w:val="21"/>
                <w:highlight w:val="none"/>
                <w:lang w:val="en-US" w:eastAsia="zh-CN"/>
              </w:rPr>
            </w:pPr>
            <w:r>
              <w:rPr>
                <w:rFonts w:hint="default" w:ascii="Times New Roman" w:hAnsi="Times New Roman" w:eastAsia="仿宋" w:cs="Times New Roman"/>
                <w:color w:val="FF0000"/>
                <w:szCs w:val="21"/>
                <w:highlight w:val="none"/>
              </w:rPr>
              <w:t>③</w:t>
            </w:r>
            <w:r>
              <w:rPr>
                <w:rFonts w:hint="default" w:ascii="Times New Roman" w:hAnsi="Times New Roman" w:eastAsia="仿宋" w:cs="Times New Roman"/>
                <w:snapToGrid w:val="0"/>
                <w:color w:val="FF0000"/>
                <w:kern w:val="0"/>
                <w:szCs w:val="21"/>
                <w:highlight w:val="none"/>
                <w:lang w:val="en-US" w:eastAsia="zh-CN"/>
              </w:rPr>
              <w:t>废布袋定期由厂家更换回收处理；</w:t>
            </w:r>
          </w:p>
          <w:p w14:paraId="409F7620">
            <w:pPr>
              <w:keepNext w:val="0"/>
              <w:keepLines w:val="0"/>
              <w:pageBreakBefore w:val="0"/>
              <w:widowControl w:val="0"/>
              <w:kinsoku/>
              <w:wordWrap/>
              <w:overflowPunct/>
              <w:topLinePunct/>
              <w:autoSpaceDE/>
              <w:autoSpaceDN w:val="0"/>
              <w:bidi w:val="0"/>
              <w:adjustRightInd w:val="0"/>
              <w:snapToGrid w:val="0"/>
              <w:spacing w:line="240" w:lineRule="auto"/>
              <w:jc w:val="both"/>
              <w:textAlignment w:val="center"/>
              <w:rPr>
                <w:rFonts w:hint="default" w:ascii="Times New Roman" w:hAnsi="Times New Roman" w:eastAsia="仿宋" w:cs="Times New Roman"/>
                <w:snapToGrid w:val="0"/>
                <w:color w:val="FF0000"/>
                <w:kern w:val="0"/>
                <w:szCs w:val="21"/>
                <w:highlight w:val="none"/>
                <w:lang w:val="en-US" w:eastAsia="zh-CN"/>
              </w:rPr>
            </w:pPr>
            <w:r>
              <w:rPr>
                <w:rFonts w:hint="default" w:ascii="Times New Roman" w:hAnsi="Times New Roman" w:eastAsia="仿宋" w:cs="Times New Roman"/>
                <w:snapToGrid w:val="0"/>
                <w:color w:val="FF0000"/>
                <w:kern w:val="0"/>
                <w:szCs w:val="21"/>
                <w:highlight w:val="none"/>
                <w:lang w:val="en-US" w:eastAsia="zh-CN"/>
              </w:rPr>
              <w:t>④</w:t>
            </w:r>
            <w:r>
              <w:rPr>
                <w:rFonts w:hint="default" w:ascii="Times New Roman" w:hAnsi="Times New Roman" w:eastAsia="仿宋" w:cs="Times New Roman"/>
                <w:color w:val="FF0000"/>
                <w:szCs w:val="21"/>
                <w:highlight w:val="none"/>
              </w:rPr>
              <w:t>生活垃圾用垃圾桶收集后定期运至当地指定垃圾点统一进行处理</w:t>
            </w:r>
            <w:r>
              <w:rPr>
                <w:rFonts w:hint="default" w:ascii="Times New Roman" w:hAnsi="Times New Roman" w:eastAsia="仿宋" w:cs="Times New Roman"/>
                <w:color w:val="FF0000"/>
                <w:szCs w:val="21"/>
                <w:highlight w:val="none"/>
                <w:lang w:eastAsia="zh-CN"/>
              </w:rPr>
              <w:t>；</w:t>
            </w:r>
          </w:p>
          <w:p w14:paraId="0456ACA8">
            <w:pPr>
              <w:keepNext w:val="0"/>
              <w:keepLines w:val="0"/>
              <w:pageBreakBefore w:val="0"/>
              <w:widowControl w:val="0"/>
              <w:kinsoku/>
              <w:wordWrap/>
              <w:overflowPunct/>
              <w:topLinePunct/>
              <w:autoSpaceDE/>
              <w:autoSpaceDN w:val="0"/>
              <w:bidi w:val="0"/>
              <w:adjustRightInd w:val="0"/>
              <w:snapToGrid w:val="0"/>
              <w:spacing w:line="240" w:lineRule="auto"/>
              <w:jc w:val="both"/>
              <w:textAlignment w:val="center"/>
              <w:rPr>
                <w:rFonts w:hint="default" w:eastAsia="仿宋"/>
                <w:color w:val="FF0000"/>
                <w:szCs w:val="21"/>
                <w:lang w:val="en-US" w:eastAsia="zh-CN"/>
              </w:rPr>
            </w:pPr>
            <w:r>
              <w:rPr>
                <w:rFonts w:hint="default" w:ascii="Times New Roman" w:hAnsi="Times New Roman" w:eastAsia="仿宋" w:cs="Times New Roman"/>
                <w:snapToGrid w:val="0"/>
                <w:color w:val="FF0000"/>
                <w:kern w:val="0"/>
                <w:szCs w:val="21"/>
                <w:highlight w:val="none"/>
                <w:lang w:val="en-US" w:eastAsia="zh-CN"/>
              </w:rPr>
              <w:t>⑤废润滑油和废油桶暂存于危废贮存点定期交由有资质单位统一处置。</w:t>
            </w:r>
          </w:p>
        </w:tc>
        <w:tc>
          <w:tcPr>
            <w:tcW w:w="746" w:type="pct"/>
            <w:tcBorders>
              <w:top w:val="single" w:color="auto" w:sz="6" w:space="0"/>
              <w:left w:val="single" w:color="auto" w:sz="6" w:space="0"/>
              <w:bottom w:val="single" w:color="auto" w:sz="6" w:space="0"/>
            </w:tcBorders>
            <w:noWrap w:val="0"/>
            <w:vAlign w:val="center"/>
          </w:tcPr>
          <w:p w14:paraId="3C17495B">
            <w:pPr>
              <w:adjustRightInd w:val="0"/>
              <w:snapToGrid w:val="0"/>
              <w:jc w:val="center"/>
              <w:rPr>
                <w:rFonts w:eastAsia="仿宋"/>
                <w:color w:val="FF0000"/>
                <w:szCs w:val="21"/>
              </w:rPr>
            </w:pPr>
            <w:r>
              <w:rPr>
                <w:rFonts w:eastAsia="仿宋"/>
                <w:color w:val="FF0000"/>
                <w:szCs w:val="21"/>
              </w:rPr>
              <w:t>按照环评要求处置</w:t>
            </w:r>
          </w:p>
        </w:tc>
      </w:tr>
      <w:tr w14:paraId="101AA5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531" w:type="pct"/>
            <w:tcBorders>
              <w:top w:val="single" w:color="auto" w:sz="6" w:space="0"/>
              <w:bottom w:val="single" w:color="auto" w:sz="6" w:space="0"/>
              <w:right w:val="single" w:color="auto" w:sz="6" w:space="0"/>
            </w:tcBorders>
            <w:noWrap w:val="0"/>
            <w:vAlign w:val="center"/>
          </w:tcPr>
          <w:p w14:paraId="5F1F6630">
            <w:pPr>
              <w:adjustRightInd w:val="0"/>
              <w:snapToGrid w:val="0"/>
              <w:jc w:val="center"/>
              <w:rPr>
                <w:rFonts w:eastAsia="仿宋"/>
                <w:color w:val="FF0000"/>
                <w:szCs w:val="21"/>
              </w:rPr>
            </w:pPr>
            <w:r>
              <w:rPr>
                <w:rFonts w:eastAsia="仿宋"/>
                <w:color w:val="FF0000"/>
                <w:szCs w:val="21"/>
              </w:rPr>
              <w:t>电磁</w:t>
            </w:r>
          </w:p>
          <w:p w14:paraId="4F2A7F77">
            <w:pPr>
              <w:adjustRightInd w:val="0"/>
              <w:snapToGrid w:val="0"/>
              <w:jc w:val="center"/>
              <w:rPr>
                <w:rFonts w:eastAsia="仿宋"/>
                <w:color w:val="FF0000"/>
                <w:szCs w:val="21"/>
              </w:rPr>
            </w:pPr>
            <w:r>
              <w:rPr>
                <w:rFonts w:eastAsia="仿宋"/>
                <w:color w:val="FF0000"/>
                <w:szCs w:val="21"/>
              </w:rPr>
              <w:t>环境</w:t>
            </w:r>
          </w:p>
        </w:tc>
        <w:tc>
          <w:tcPr>
            <w:tcW w:w="1416" w:type="pct"/>
            <w:tcBorders>
              <w:top w:val="single" w:color="auto" w:sz="6" w:space="0"/>
              <w:left w:val="single" w:color="auto" w:sz="6" w:space="0"/>
              <w:bottom w:val="single" w:color="auto" w:sz="6" w:space="0"/>
              <w:right w:val="single" w:color="auto" w:sz="6" w:space="0"/>
            </w:tcBorders>
            <w:noWrap w:val="0"/>
            <w:vAlign w:val="center"/>
          </w:tcPr>
          <w:p w14:paraId="339E5D0A">
            <w:pPr>
              <w:adjustRightInd w:val="0"/>
              <w:snapToGrid w:val="0"/>
              <w:jc w:val="center"/>
              <w:rPr>
                <w:rFonts w:eastAsia="仿宋"/>
                <w:color w:val="FF0000"/>
                <w:szCs w:val="21"/>
              </w:rPr>
            </w:pPr>
            <w:r>
              <w:rPr>
                <w:rFonts w:eastAsia="仿宋"/>
                <w:color w:val="FF0000"/>
                <w:szCs w:val="21"/>
              </w:rPr>
              <w:t>无</w:t>
            </w:r>
          </w:p>
        </w:tc>
        <w:tc>
          <w:tcPr>
            <w:tcW w:w="879" w:type="pct"/>
            <w:tcBorders>
              <w:top w:val="single" w:color="auto" w:sz="6" w:space="0"/>
              <w:left w:val="single" w:color="auto" w:sz="6" w:space="0"/>
              <w:bottom w:val="single" w:color="auto" w:sz="6" w:space="0"/>
              <w:right w:val="single" w:color="auto" w:sz="6" w:space="0"/>
            </w:tcBorders>
            <w:noWrap w:val="0"/>
            <w:vAlign w:val="center"/>
          </w:tcPr>
          <w:p w14:paraId="7A5BE38B">
            <w:pPr>
              <w:adjustRightInd w:val="0"/>
              <w:snapToGrid w:val="0"/>
              <w:jc w:val="center"/>
              <w:rPr>
                <w:rFonts w:eastAsia="仿宋"/>
                <w:color w:val="FF0000"/>
                <w:szCs w:val="21"/>
              </w:rPr>
            </w:pPr>
            <w:r>
              <w:rPr>
                <w:rFonts w:eastAsia="仿宋"/>
                <w:color w:val="FF0000"/>
                <w:szCs w:val="21"/>
              </w:rPr>
              <w:t>无</w:t>
            </w:r>
          </w:p>
        </w:tc>
        <w:tc>
          <w:tcPr>
            <w:tcW w:w="1425" w:type="pct"/>
            <w:tcBorders>
              <w:top w:val="single" w:color="auto" w:sz="6" w:space="0"/>
              <w:left w:val="single" w:color="auto" w:sz="6" w:space="0"/>
              <w:bottom w:val="single" w:color="auto" w:sz="6" w:space="0"/>
              <w:right w:val="single" w:color="auto" w:sz="6" w:space="0"/>
            </w:tcBorders>
            <w:noWrap w:val="0"/>
            <w:vAlign w:val="center"/>
          </w:tcPr>
          <w:p w14:paraId="2B255729">
            <w:pPr>
              <w:adjustRightInd w:val="0"/>
              <w:snapToGrid w:val="0"/>
              <w:jc w:val="center"/>
              <w:rPr>
                <w:rFonts w:eastAsia="仿宋"/>
                <w:color w:val="FF0000"/>
                <w:szCs w:val="21"/>
              </w:rPr>
            </w:pPr>
            <w:r>
              <w:rPr>
                <w:rFonts w:eastAsia="仿宋"/>
                <w:color w:val="FF0000"/>
                <w:szCs w:val="21"/>
              </w:rPr>
              <w:t>无</w:t>
            </w:r>
          </w:p>
        </w:tc>
        <w:tc>
          <w:tcPr>
            <w:tcW w:w="746" w:type="pct"/>
            <w:tcBorders>
              <w:top w:val="single" w:color="auto" w:sz="6" w:space="0"/>
              <w:left w:val="single" w:color="auto" w:sz="6" w:space="0"/>
              <w:bottom w:val="single" w:color="auto" w:sz="6" w:space="0"/>
            </w:tcBorders>
            <w:noWrap w:val="0"/>
            <w:vAlign w:val="center"/>
          </w:tcPr>
          <w:p w14:paraId="595F03C3">
            <w:pPr>
              <w:adjustRightInd w:val="0"/>
              <w:snapToGrid w:val="0"/>
              <w:jc w:val="center"/>
              <w:rPr>
                <w:rFonts w:eastAsia="仿宋"/>
                <w:color w:val="FF0000"/>
                <w:szCs w:val="21"/>
              </w:rPr>
            </w:pPr>
            <w:r>
              <w:rPr>
                <w:rFonts w:eastAsia="仿宋"/>
                <w:color w:val="FF0000"/>
                <w:szCs w:val="21"/>
              </w:rPr>
              <w:t>无</w:t>
            </w:r>
          </w:p>
        </w:tc>
      </w:tr>
      <w:tr w14:paraId="1E5D53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31" w:type="pct"/>
            <w:tcBorders>
              <w:top w:val="single" w:color="auto" w:sz="6" w:space="0"/>
              <w:bottom w:val="single" w:color="auto" w:sz="6" w:space="0"/>
              <w:right w:val="single" w:color="auto" w:sz="6" w:space="0"/>
            </w:tcBorders>
            <w:noWrap w:val="0"/>
            <w:vAlign w:val="center"/>
          </w:tcPr>
          <w:p w14:paraId="27503033">
            <w:pPr>
              <w:adjustRightInd w:val="0"/>
              <w:snapToGrid w:val="0"/>
              <w:jc w:val="center"/>
              <w:rPr>
                <w:rFonts w:eastAsia="仿宋"/>
                <w:color w:val="FF0000"/>
                <w:szCs w:val="21"/>
              </w:rPr>
            </w:pPr>
            <w:r>
              <w:rPr>
                <w:rFonts w:eastAsia="仿宋"/>
                <w:color w:val="FF0000"/>
                <w:szCs w:val="21"/>
              </w:rPr>
              <w:t>环境</w:t>
            </w:r>
          </w:p>
          <w:p w14:paraId="3DB9335C">
            <w:pPr>
              <w:adjustRightInd w:val="0"/>
              <w:snapToGrid w:val="0"/>
              <w:jc w:val="center"/>
              <w:rPr>
                <w:rFonts w:eastAsia="仿宋"/>
                <w:color w:val="FF0000"/>
                <w:szCs w:val="21"/>
              </w:rPr>
            </w:pPr>
            <w:r>
              <w:rPr>
                <w:rFonts w:eastAsia="仿宋"/>
                <w:color w:val="FF0000"/>
                <w:szCs w:val="21"/>
              </w:rPr>
              <w:t>风险</w:t>
            </w:r>
          </w:p>
        </w:tc>
        <w:tc>
          <w:tcPr>
            <w:tcW w:w="1416" w:type="pct"/>
            <w:tcBorders>
              <w:top w:val="single" w:color="auto" w:sz="6" w:space="0"/>
              <w:left w:val="single" w:color="auto" w:sz="6" w:space="0"/>
              <w:bottom w:val="single" w:color="auto" w:sz="6" w:space="0"/>
              <w:right w:val="single" w:color="auto" w:sz="6" w:space="0"/>
            </w:tcBorders>
            <w:noWrap w:val="0"/>
            <w:vAlign w:val="center"/>
          </w:tcPr>
          <w:p w14:paraId="02D2CA47">
            <w:pPr>
              <w:adjustRightInd w:val="0"/>
              <w:snapToGrid w:val="0"/>
              <w:jc w:val="center"/>
              <w:rPr>
                <w:rFonts w:eastAsia="仿宋"/>
                <w:color w:val="FF0000"/>
                <w:szCs w:val="21"/>
              </w:rPr>
            </w:pPr>
            <w:r>
              <w:rPr>
                <w:rFonts w:eastAsia="仿宋"/>
                <w:color w:val="FF0000"/>
                <w:szCs w:val="21"/>
              </w:rPr>
              <w:t>无</w:t>
            </w:r>
          </w:p>
        </w:tc>
        <w:tc>
          <w:tcPr>
            <w:tcW w:w="879" w:type="pct"/>
            <w:tcBorders>
              <w:top w:val="single" w:color="auto" w:sz="6" w:space="0"/>
              <w:left w:val="single" w:color="auto" w:sz="6" w:space="0"/>
              <w:bottom w:val="single" w:color="auto" w:sz="6" w:space="0"/>
              <w:right w:val="single" w:color="auto" w:sz="6" w:space="0"/>
            </w:tcBorders>
            <w:noWrap w:val="0"/>
            <w:vAlign w:val="center"/>
          </w:tcPr>
          <w:p w14:paraId="13A3BC1E">
            <w:pPr>
              <w:adjustRightInd w:val="0"/>
              <w:snapToGrid w:val="0"/>
              <w:jc w:val="center"/>
              <w:rPr>
                <w:rFonts w:eastAsia="仿宋"/>
                <w:color w:val="FF0000"/>
                <w:szCs w:val="21"/>
              </w:rPr>
            </w:pPr>
            <w:r>
              <w:rPr>
                <w:rFonts w:eastAsia="仿宋"/>
                <w:color w:val="FF0000"/>
                <w:szCs w:val="21"/>
              </w:rPr>
              <w:t>无</w:t>
            </w:r>
          </w:p>
        </w:tc>
        <w:tc>
          <w:tcPr>
            <w:tcW w:w="1425" w:type="pct"/>
            <w:tcBorders>
              <w:top w:val="single" w:color="auto" w:sz="6" w:space="0"/>
              <w:left w:val="single" w:color="auto" w:sz="6" w:space="0"/>
              <w:bottom w:val="single" w:color="auto" w:sz="6" w:space="0"/>
              <w:right w:val="single" w:color="auto" w:sz="6" w:space="0"/>
            </w:tcBorders>
            <w:noWrap w:val="0"/>
            <w:vAlign w:val="center"/>
          </w:tcPr>
          <w:p w14:paraId="071AC09E">
            <w:pPr>
              <w:adjustRightInd w:val="0"/>
              <w:snapToGrid w:val="0"/>
              <w:jc w:val="center"/>
              <w:rPr>
                <w:rFonts w:hint="default" w:eastAsia="仿宋"/>
                <w:color w:val="FF0000"/>
                <w:szCs w:val="21"/>
                <w:lang w:val="en-US" w:eastAsia="zh-CN"/>
              </w:rPr>
            </w:pPr>
            <w:r>
              <w:rPr>
                <w:rFonts w:hint="eastAsia" w:eastAsia="仿宋"/>
                <w:color w:val="FF0000"/>
                <w:szCs w:val="21"/>
                <w:lang w:val="en-US" w:eastAsia="zh-CN"/>
              </w:rPr>
              <w:t>危废贮存点采取防渗措施</w:t>
            </w:r>
          </w:p>
        </w:tc>
        <w:tc>
          <w:tcPr>
            <w:tcW w:w="746" w:type="pct"/>
            <w:tcBorders>
              <w:top w:val="single" w:color="auto" w:sz="6" w:space="0"/>
              <w:left w:val="single" w:color="auto" w:sz="6" w:space="0"/>
              <w:bottom w:val="single" w:color="auto" w:sz="6" w:space="0"/>
            </w:tcBorders>
            <w:noWrap w:val="0"/>
            <w:vAlign w:val="center"/>
          </w:tcPr>
          <w:p w14:paraId="180EB919">
            <w:pPr>
              <w:adjustRightInd w:val="0"/>
              <w:snapToGrid w:val="0"/>
              <w:jc w:val="center"/>
              <w:rPr>
                <w:rFonts w:hint="default" w:eastAsia="仿宋"/>
                <w:color w:val="FF0000"/>
                <w:szCs w:val="21"/>
                <w:lang w:val="en-US" w:eastAsia="zh-CN"/>
              </w:rPr>
            </w:pPr>
            <w:r>
              <w:rPr>
                <w:rFonts w:hint="eastAsia" w:eastAsia="仿宋"/>
                <w:color w:val="FF0000"/>
                <w:szCs w:val="21"/>
                <w:lang w:val="en-US" w:eastAsia="zh-CN"/>
              </w:rPr>
              <w:t>满足环评要求</w:t>
            </w:r>
          </w:p>
        </w:tc>
      </w:tr>
      <w:tr w14:paraId="681762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1" w:type="pct"/>
            <w:vMerge w:val="restart"/>
            <w:tcBorders>
              <w:top w:val="single" w:color="auto" w:sz="6" w:space="0"/>
              <w:bottom w:val="single" w:color="auto" w:sz="6" w:space="0"/>
              <w:right w:val="single" w:color="auto" w:sz="6" w:space="0"/>
            </w:tcBorders>
            <w:noWrap w:val="0"/>
            <w:vAlign w:val="center"/>
          </w:tcPr>
          <w:p w14:paraId="031DDD50">
            <w:pPr>
              <w:adjustRightInd w:val="0"/>
              <w:snapToGrid w:val="0"/>
              <w:jc w:val="center"/>
              <w:rPr>
                <w:rFonts w:eastAsia="仿宋"/>
                <w:color w:val="FF0000"/>
                <w:szCs w:val="21"/>
              </w:rPr>
            </w:pPr>
            <w:r>
              <w:rPr>
                <w:rFonts w:eastAsia="仿宋"/>
                <w:color w:val="FF0000"/>
                <w:szCs w:val="21"/>
              </w:rPr>
              <w:t>环境</w:t>
            </w:r>
          </w:p>
          <w:p w14:paraId="4A0F4D84">
            <w:pPr>
              <w:adjustRightInd w:val="0"/>
              <w:snapToGrid w:val="0"/>
              <w:jc w:val="center"/>
              <w:rPr>
                <w:rFonts w:eastAsia="仿宋"/>
                <w:color w:val="FF0000"/>
                <w:szCs w:val="21"/>
              </w:rPr>
            </w:pPr>
            <w:r>
              <w:rPr>
                <w:rFonts w:eastAsia="仿宋"/>
                <w:color w:val="FF0000"/>
                <w:szCs w:val="21"/>
              </w:rPr>
              <w:t>监测</w:t>
            </w:r>
          </w:p>
        </w:tc>
        <w:tc>
          <w:tcPr>
            <w:tcW w:w="1416" w:type="pct"/>
            <w:tcBorders>
              <w:top w:val="single" w:color="auto" w:sz="6" w:space="0"/>
              <w:left w:val="single" w:color="auto" w:sz="6" w:space="0"/>
              <w:bottom w:val="single" w:color="auto" w:sz="6" w:space="0"/>
              <w:right w:val="single" w:color="auto" w:sz="6" w:space="0"/>
            </w:tcBorders>
            <w:noWrap w:val="0"/>
            <w:vAlign w:val="center"/>
          </w:tcPr>
          <w:p w14:paraId="707DD2E9">
            <w:pPr>
              <w:jc w:val="center"/>
              <w:rPr>
                <w:rFonts w:eastAsia="仿宋"/>
                <w:color w:val="FF0000"/>
                <w:szCs w:val="21"/>
              </w:rPr>
            </w:pPr>
            <w:r>
              <w:rPr>
                <w:rFonts w:eastAsia="仿宋"/>
                <w:color w:val="FF0000"/>
                <w:szCs w:val="21"/>
              </w:rPr>
              <w:t>无</w:t>
            </w:r>
          </w:p>
        </w:tc>
        <w:tc>
          <w:tcPr>
            <w:tcW w:w="879" w:type="pct"/>
            <w:tcBorders>
              <w:top w:val="single" w:color="auto" w:sz="6" w:space="0"/>
              <w:left w:val="single" w:color="auto" w:sz="6" w:space="0"/>
              <w:bottom w:val="single" w:color="auto" w:sz="6" w:space="0"/>
              <w:right w:val="single" w:color="auto" w:sz="6" w:space="0"/>
            </w:tcBorders>
            <w:noWrap w:val="0"/>
            <w:vAlign w:val="center"/>
          </w:tcPr>
          <w:p w14:paraId="2CEB3F10">
            <w:pPr>
              <w:adjustRightInd w:val="0"/>
              <w:snapToGrid w:val="0"/>
              <w:jc w:val="center"/>
              <w:rPr>
                <w:rFonts w:eastAsia="仿宋"/>
                <w:color w:val="FF0000"/>
                <w:szCs w:val="21"/>
              </w:rPr>
            </w:pPr>
            <w:r>
              <w:rPr>
                <w:rFonts w:eastAsia="仿宋"/>
                <w:color w:val="FF0000"/>
                <w:szCs w:val="21"/>
              </w:rPr>
              <w:t>无</w:t>
            </w:r>
          </w:p>
        </w:tc>
        <w:tc>
          <w:tcPr>
            <w:tcW w:w="1425" w:type="pct"/>
            <w:vMerge w:val="restart"/>
            <w:tcBorders>
              <w:top w:val="single" w:color="auto" w:sz="6" w:space="0"/>
              <w:left w:val="single" w:color="auto" w:sz="6" w:space="0"/>
              <w:bottom w:val="single" w:color="auto" w:sz="6" w:space="0"/>
              <w:right w:val="single" w:color="auto" w:sz="6" w:space="0"/>
            </w:tcBorders>
            <w:noWrap w:val="0"/>
            <w:vAlign w:val="center"/>
          </w:tcPr>
          <w:p w14:paraId="45E6C81E">
            <w:pPr>
              <w:adjustRightInd w:val="0"/>
              <w:snapToGrid w:val="0"/>
              <w:jc w:val="both"/>
              <w:rPr>
                <w:rFonts w:hint="default" w:eastAsia="仿宋"/>
                <w:color w:val="FF0000"/>
                <w:szCs w:val="21"/>
                <w:lang w:val="en-US" w:eastAsia="zh-CN"/>
              </w:rPr>
            </w:pPr>
            <w:r>
              <w:rPr>
                <w:rFonts w:hint="eastAsia" w:eastAsia="仿宋"/>
                <w:color w:val="FF0000"/>
                <w:szCs w:val="21"/>
                <w:lang w:val="en-US" w:eastAsia="zh-CN"/>
              </w:rPr>
              <w:t>废气：有组织和无组织颗粒物；</w:t>
            </w:r>
          </w:p>
          <w:p w14:paraId="1C402263">
            <w:pPr>
              <w:adjustRightInd w:val="0"/>
              <w:snapToGrid w:val="0"/>
              <w:jc w:val="both"/>
              <w:rPr>
                <w:rFonts w:hint="default" w:eastAsia="仿宋"/>
                <w:color w:val="FF0000"/>
                <w:lang w:val="en-US" w:eastAsia="zh-CN"/>
              </w:rPr>
            </w:pPr>
            <w:r>
              <w:rPr>
                <w:rFonts w:eastAsia="仿宋"/>
                <w:color w:val="FF0000"/>
                <w:szCs w:val="21"/>
              </w:rPr>
              <w:t>噪声</w:t>
            </w:r>
            <w:r>
              <w:rPr>
                <w:rFonts w:hint="eastAsia" w:eastAsia="仿宋"/>
                <w:color w:val="FF0000"/>
                <w:szCs w:val="21"/>
                <w:lang w:eastAsia="zh-CN"/>
              </w:rPr>
              <w:t>：</w:t>
            </w:r>
            <w:r>
              <w:rPr>
                <w:rFonts w:hint="eastAsia" w:eastAsia="仿宋"/>
                <w:color w:val="FF0000"/>
                <w:szCs w:val="21"/>
                <w:lang w:val="en-US" w:eastAsia="zh-CN"/>
              </w:rPr>
              <w:t>等效连续A声级。</w:t>
            </w:r>
          </w:p>
        </w:tc>
        <w:tc>
          <w:tcPr>
            <w:tcW w:w="746" w:type="pct"/>
            <w:vMerge w:val="restart"/>
            <w:tcBorders>
              <w:top w:val="single" w:color="auto" w:sz="6" w:space="0"/>
              <w:left w:val="single" w:color="auto" w:sz="6" w:space="0"/>
              <w:bottom w:val="single" w:color="auto" w:sz="6" w:space="0"/>
            </w:tcBorders>
            <w:noWrap w:val="0"/>
            <w:vAlign w:val="center"/>
          </w:tcPr>
          <w:p w14:paraId="3FD2C4C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仿宋" w:cs="Times New Roman"/>
                <w:color w:val="FF0000"/>
                <w:szCs w:val="21"/>
                <w:lang w:val="en-US" w:eastAsia="zh-CN"/>
              </w:rPr>
            </w:pPr>
            <w:r>
              <w:rPr>
                <w:rFonts w:hint="eastAsia" w:ascii="Times New Roman" w:hAnsi="Times New Roman" w:eastAsia="仿宋" w:cs="Times New Roman"/>
                <w:color w:val="FF0000"/>
                <w:szCs w:val="21"/>
                <w:lang w:val="en-US" w:eastAsia="zh-CN"/>
              </w:rPr>
              <w:t>废气：《大气污染物综合排放标准》（GB16297-1996）</w:t>
            </w:r>
          </w:p>
          <w:p w14:paraId="4D01D2E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仿宋" w:cs="Times New Roman"/>
                <w:color w:val="FF0000"/>
                <w:szCs w:val="21"/>
                <w:lang w:val="en-US" w:eastAsia="zh-CN"/>
              </w:rPr>
            </w:pPr>
            <w:r>
              <w:rPr>
                <w:rFonts w:hint="eastAsia" w:ascii="Times New Roman" w:hAnsi="Times New Roman" w:eastAsia="仿宋" w:cs="Times New Roman"/>
                <w:color w:val="FF0000"/>
                <w:szCs w:val="21"/>
                <w:lang w:val="en-US" w:eastAsia="zh-CN"/>
              </w:rPr>
              <w:t>噪声：</w:t>
            </w:r>
          </w:p>
          <w:p w14:paraId="65D256C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eastAsia="仿宋"/>
                <w:color w:val="FF0000"/>
              </w:rPr>
            </w:pPr>
            <w:r>
              <w:rPr>
                <w:rFonts w:hint="eastAsia" w:ascii="Times New Roman" w:hAnsi="Times New Roman" w:eastAsia="仿宋" w:cs="Times New Roman"/>
                <w:color w:val="FF0000"/>
                <w:szCs w:val="21"/>
                <w:lang w:val="en-US" w:eastAsia="zh-CN"/>
              </w:rPr>
              <w:t>《工业企业厂界环境噪声排放标准》（GB12348-2008）中2类标准</w:t>
            </w:r>
          </w:p>
        </w:tc>
      </w:tr>
      <w:tr w14:paraId="227EBC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531" w:type="pct"/>
            <w:vMerge w:val="continue"/>
            <w:tcBorders>
              <w:top w:val="single" w:color="auto" w:sz="6" w:space="0"/>
              <w:bottom w:val="single" w:color="auto" w:sz="6" w:space="0"/>
              <w:right w:val="single" w:color="auto" w:sz="6" w:space="0"/>
            </w:tcBorders>
            <w:noWrap w:val="0"/>
            <w:vAlign w:val="center"/>
          </w:tcPr>
          <w:p w14:paraId="1ED7E241">
            <w:pPr>
              <w:adjustRightInd w:val="0"/>
              <w:snapToGrid w:val="0"/>
              <w:jc w:val="center"/>
              <w:rPr>
                <w:rFonts w:eastAsia="仿宋"/>
                <w:color w:val="FF0000"/>
                <w:szCs w:val="21"/>
              </w:rPr>
            </w:pPr>
          </w:p>
        </w:tc>
        <w:tc>
          <w:tcPr>
            <w:tcW w:w="1416" w:type="pct"/>
            <w:tcBorders>
              <w:top w:val="single" w:color="auto" w:sz="6" w:space="0"/>
              <w:left w:val="single" w:color="auto" w:sz="6" w:space="0"/>
              <w:bottom w:val="single" w:color="auto" w:sz="6" w:space="0"/>
              <w:right w:val="single" w:color="auto" w:sz="6" w:space="0"/>
            </w:tcBorders>
            <w:noWrap w:val="0"/>
            <w:vAlign w:val="center"/>
          </w:tcPr>
          <w:p w14:paraId="27B04904">
            <w:pPr>
              <w:jc w:val="center"/>
              <w:rPr>
                <w:rFonts w:eastAsia="仿宋"/>
                <w:color w:val="FF0000"/>
                <w:szCs w:val="21"/>
              </w:rPr>
            </w:pPr>
            <w:r>
              <w:rPr>
                <w:rFonts w:eastAsia="仿宋"/>
                <w:color w:val="FF0000"/>
                <w:szCs w:val="21"/>
              </w:rPr>
              <w:t>无</w:t>
            </w:r>
          </w:p>
        </w:tc>
        <w:tc>
          <w:tcPr>
            <w:tcW w:w="879" w:type="pct"/>
            <w:tcBorders>
              <w:top w:val="single" w:color="auto" w:sz="6" w:space="0"/>
              <w:left w:val="single" w:color="auto" w:sz="6" w:space="0"/>
              <w:bottom w:val="single" w:color="auto" w:sz="6" w:space="0"/>
              <w:right w:val="single" w:color="auto" w:sz="6" w:space="0"/>
            </w:tcBorders>
            <w:noWrap w:val="0"/>
            <w:vAlign w:val="center"/>
          </w:tcPr>
          <w:p w14:paraId="4AC95890">
            <w:pPr>
              <w:adjustRightInd w:val="0"/>
              <w:snapToGrid w:val="0"/>
              <w:jc w:val="center"/>
              <w:rPr>
                <w:rFonts w:eastAsia="仿宋"/>
                <w:color w:val="FF0000"/>
                <w:szCs w:val="21"/>
              </w:rPr>
            </w:pPr>
            <w:r>
              <w:rPr>
                <w:rFonts w:eastAsia="仿宋"/>
                <w:color w:val="FF0000"/>
                <w:szCs w:val="21"/>
              </w:rPr>
              <w:t>无</w:t>
            </w:r>
          </w:p>
        </w:tc>
        <w:tc>
          <w:tcPr>
            <w:tcW w:w="1425" w:type="pct"/>
            <w:vMerge w:val="continue"/>
            <w:tcBorders>
              <w:top w:val="single" w:color="auto" w:sz="6" w:space="0"/>
              <w:left w:val="single" w:color="auto" w:sz="6" w:space="0"/>
              <w:bottom w:val="single" w:color="auto" w:sz="6" w:space="0"/>
              <w:right w:val="single" w:color="auto" w:sz="6" w:space="0"/>
            </w:tcBorders>
            <w:noWrap w:val="0"/>
            <w:vAlign w:val="center"/>
          </w:tcPr>
          <w:p w14:paraId="0E30067E">
            <w:pPr>
              <w:adjustRightInd w:val="0"/>
              <w:snapToGrid w:val="0"/>
              <w:jc w:val="center"/>
              <w:rPr>
                <w:rFonts w:eastAsia="仿宋"/>
                <w:color w:val="FF0000"/>
                <w:szCs w:val="21"/>
              </w:rPr>
            </w:pPr>
          </w:p>
        </w:tc>
        <w:tc>
          <w:tcPr>
            <w:tcW w:w="746" w:type="pct"/>
            <w:vMerge w:val="continue"/>
            <w:tcBorders>
              <w:top w:val="single" w:color="auto" w:sz="6" w:space="0"/>
              <w:left w:val="single" w:color="auto" w:sz="6" w:space="0"/>
              <w:bottom w:val="single" w:color="auto" w:sz="6" w:space="0"/>
            </w:tcBorders>
            <w:noWrap w:val="0"/>
            <w:vAlign w:val="center"/>
          </w:tcPr>
          <w:p w14:paraId="730BF568">
            <w:pPr>
              <w:adjustRightInd w:val="0"/>
              <w:snapToGrid w:val="0"/>
              <w:jc w:val="center"/>
              <w:rPr>
                <w:rFonts w:eastAsia="仿宋"/>
                <w:color w:val="FF0000"/>
                <w:szCs w:val="21"/>
              </w:rPr>
            </w:pPr>
          </w:p>
        </w:tc>
      </w:tr>
      <w:tr w14:paraId="39170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31" w:type="pct"/>
            <w:tcBorders>
              <w:top w:val="single" w:color="auto" w:sz="6" w:space="0"/>
              <w:bottom w:val="single" w:color="auto" w:sz="8" w:space="0"/>
              <w:right w:val="single" w:color="auto" w:sz="6" w:space="0"/>
            </w:tcBorders>
            <w:noWrap w:val="0"/>
            <w:vAlign w:val="center"/>
          </w:tcPr>
          <w:p w14:paraId="70F02D58">
            <w:pPr>
              <w:adjustRightInd w:val="0"/>
              <w:snapToGrid w:val="0"/>
              <w:jc w:val="center"/>
              <w:rPr>
                <w:rFonts w:eastAsia="仿宋"/>
                <w:color w:val="FF0000"/>
                <w:szCs w:val="21"/>
              </w:rPr>
            </w:pPr>
            <w:r>
              <w:rPr>
                <w:rFonts w:eastAsia="仿宋"/>
                <w:color w:val="FF0000"/>
                <w:szCs w:val="21"/>
              </w:rPr>
              <w:t>其他</w:t>
            </w:r>
          </w:p>
        </w:tc>
        <w:tc>
          <w:tcPr>
            <w:tcW w:w="1416" w:type="pct"/>
            <w:tcBorders>
              <w:top w:val="single" w:color="auto" w:sz="6" w:space="0"/>
              <w:left w:val="single" w:color="auto" w:sz="6" w:space="0"/>
              <w:bottom w:val="single" w:color="auto" w:sz="8" w:space="0"/>
              <w:right w:val="single" w:color="auto" w:sz="6" w:space="0"/>
            </w:tcBorders>
            <w:noWrap w:val="0"/>
            <w:vAlign w:val="center"/>
          </w:tcPr>
          <w:p w14:paraId="7BF80632">
            <w:pPr>
              <w:adjustRightInd w:val="0"/>
              <w:snapToGrid w:val="0"/>
              <w:jc w:val="center"/>
              <w:rPr>
                <w:rFonts w:eastAsia="仿宋"/>
                <w:color w:val="FF0000"/>
                <w:szCs w:val="21"/>
              </w:rPr>
            </w:pPr>
            <w:r>
              <w:rPr>
                <w:rFonts w:eastAsia="仿宋"/>
                <w:color w:val="FF0000"/>
                <w:szCs w:val="21"/>
              </w:rPr>
              <w:t>无</w:t>
            </w:r>
          </w:p>
        </w:tc>
        <w:tc>
          <w:tcPr>
            <w:tcW w:w="879" w:type="pct"/>
            <w:tcBorders>
              <w:top w:val="single" w:color="auto" w:sz="6" w:space="0"/>
              <w:left w:val="single" w:color="auto" w:sz="6" w:space="0"/>
              <w:bottom w:val="single" w:color="auto" w:sz="8" w:space="0"/>
              <w:right w:val="single" w:color="auto" w:sz="6" w:space="0"/>
            </w:tcBorders>
            <w:noWrap w:val="0"/>
            <w:vAlign w:val="center"/>
          </w:tcPr>
          <w:p w14:paraId="4FA890A0">
            <w:pPr>
              <w:adjustRightInd w:val="0"/>
              <w:snapToGrid w:val="0"/>
              <w:jc w:val="center"/>
              <w:rPr>
                <w:rFonts w:eastAsia="仿宋"/>
                <w:color w:val="FF0000"/>
                <w:szCs w:val="21"/>
              </w:rPr>
            </w:pPr>
            <w:r>
              <w:rPr>
                <w:rFonts w:eastAsia="仿宋"/>
                <w:color w:val="FF0000"/>
                <w:szCs w:val="21"/>
              </w:rPr>
              <w:t>无</w:t>
            </w:r>
          </w:p>
        </w:tc>
        <w:tc>
          <w:tcPr>
            <w:tcW w:w="1425" w:type="pct"/>
            <w:tcBorders>
              <w:top w:val="single" w:color="auto" w:sz="6" w:space="0"/>
              <w:left w:val="single" w:color="auto" w:sz="6" w:space="0"/>
              <w:bottom w:val="single" w:color="auto" w:sz="8" w:space="0"/>
              <w:right w:val="single" w:color="auto" w:sz="6" w:space="0"/>
            </w:tcBorders>
            <w:noWrap w:val="0"/>
            <w:vAlign w:val="center"/>
          </w:tcPr>
          <w:p w14:paraId="7AC682B1">
            <w:pPr>
              <w:adjustRightInd w:val="0"/>
              <w:snapToGrid w:val="0"/>
              <w:jc w:val="center"/>
              <w:rPr>
                <w:rFonts w:eastAsia="仿宋"/>
                <w:color w:val="FF0000"/>
                <w:szCs w:val="21"/>
              </w:rPr>
            </w:pPr>
            <w:r>
              <w:rPr>
                <w:rFonts w:eastAsia="仿宋"/>
                <w:color w:val="FF0000"/>
                <w:szCs w:val="21"/>
              </w:rPr>
              <w:t>无</w:t>
            </w:r>
          </w:p>
        </w:tc>
        <w:tc>
          <w:tcPr>
            <w:tcW w:w="746" w:type="pct"/>
            <w:tcBorders>
              <w:top w:val="single" w:color="auto" w:sz="6" w:space="0"/>
              <w:left w:val="single" w:color="auto" w:sz="6" w:space="0"/>
              <w:bottom w:val="single" w:color="auto" w:sz="8" w:space="0"/>
            </w:tcBorders>
            <w:noWrap w:val="0"/>
            <w:vAlign w:val="center"/>
          </w:tcPr>
          <w:p w14:paraId="7B8F02B6">
            <w:pPr>
              <w:adjustRightInd w:val="0"/>
              <w:snapToGrid w:val="0"/>
              <w:jc w:val="center"/>
              <w:rPr>
                <w:rFonts w:eastAsia="仿宋"/>
                <w:color w:val="FF0000"/>
                <w:szCs w:val="21"/>
              </w:rPr>
            </w:pPr>
            <w:r>
              <w:rPr>
                <w:rFonts w:eastAsia="仿宋"/>
                <w:color w:val="FF0000"/>
                <w:szCs w:val="21"/>
              </w:rPr>
              <w:t>无</w:t>
            </w:r>
          </w:p>
        </w:tc>
      </w:tr>
    </w:tbl>
    <w:p w14:paraId="711D8689">
      <w:pPr>
        <w:pStyle w:val="16"/>
        <w:rPr>
          <w:rFonts w:hint="default" w:ascii="Times New Roman" w:hAnsi="Times New Roman" w:eastAsia="仿宋" w:cs="Times New Roman"/>
          <w:color w:val="auto"/>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2C8C574A">
      <w:pPr>
        <w:pStyle w:val="20"/>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default" w:ascii="Times New Roman" w:hAnsi="Times New Roman" w:eastAsia="仿宋" w:cs="Times New Roman"/>
          <w:snapToGrid w:val="0"/>
          <w:color w:val="auto"/>
          <w:sz w:val="30"/>
          <w:szCs w:val="30"/>
          <w:highlight w:val="none"/>
          <w:lang w:val="en-US" w:eastAsia="zh-CN"/>
        </w:rPr>
      </w:pPr>
      <w:r>
        <w:rPr>
          <w:rFonts w:hint="default" w:ascii="Times New Roman" w:hAnsi="Times New Roman" w:eastAsia="仿宋" w:cs="Times New Roman"/>
          <w:snapToGrid w:val="0"/>
          <w:color w:val="auto"/>
          <w:sz w:val="30"/>
          <w:szCs w:val="30"/>
          <w:highlight w:val="none"/>
          <w:lang w:val="en-US" w:eastAsia="zh-CN"/>
        </w:rPr>
        <w:t>七、结论</w:t>
      </w: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2" w:space="0"/>
          <w:insideV w:val="none" w:color="auto" w:sz="0" w:space="0"/>
        </w:tblBorders>
        <w:tblLayout w:type="autofit"/>
        <w:tblCellMar>
          <w:top w:w="0" w:type="dxa"/>
          <w:left w:w="108" w:type="dxa"/>
          <w:bottom w:w="0" w:type="dxa"/>
          <w:right w:w="108" w:type="dxa"/>
        </w:tblCellMar>
      </w:tblPr>
      <w:tblGrid>
        <w:gridCol w:w="9854"/>
      </w:tblGrid>
      <w:tr w14:paraId="6EDD3B29">
        <w:tblPrEx>
          <w:tblBorders>
            <w:top w:val="single" w:color="auto" w:sz="8" w:space="0"/>
            <w:left w:val="single" w:color="auto" w:sz="8" w:space="0"/>
            <w:bottom w:val="single" w:color="auto" w:sz="8" w:space="0"/>
            <w:right w:val="single" w:color="auto" w:sz="8" w:space="0"/>
            <w:insideH w:val="single" w:color="auto" w:sz="2" w:space="0"/>
            <w:insideV w:val="none" w:color="auto" w:sz="0" w:space="0"/>
          </w:tblBorders>
        </w:tblPrEx>
        <w:trPr>
          <w:jc w:val="center"/>
        </w:trPr>
        <w:tc>
          <w:tcPr>
            <w:tcW w:w="5000" w:type="pct"/>
            <w:tcBorders>
              <w:tl2br w:val="nil"/>
              <w:tr2bl w:val="nil"/>
            </w:tcBorders>
            <w:noWrap w:val="0"/>
            <w:vAlign w:val="center"/>
          </w:tcPr>
          <w:p w14:paraId="49B5BC72">
            <w:pPr>
              <w:adjustRightInd w:val="0"/>
              <w:snapToGrid w:val="0"/>
              <w:spacing w:line="360" w:lineRule="auto"/>
              <w:ind w:firstLine="480" w:firstLineChars="200"/>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仿宋" w:cs="Times New Roman"/>
                <w:color w:val="000000" w:themeColor="text1"/>
                <w:sz w:val="24"/>
                <w:highlight w:val="none"/>
                <w14:textFill>
                  <w14:solidFill>
                    <w14:schemeClr w14:val="tx1"/>
                  </w14:solidFill>
                </w14:textFill>
              </w:rPr>
              <w:t>综上所述，</w:t>
            </w:r>
            <w:r>
              <w:rPr>
                <w:rFonts w:hint="eastAsia" w:eastAsia="仿宋" w:cs="Times New Roman"/>
                <w:color w:val="000000" w:themeColor="text1"/>
                <w:sz w:val="24"/>
                <w:szCs w:val="24"/>
                <w:highlight w:val="none"/>
                <w:lang w:val="en-US" w:eastAsia="zh-CN"/>
                <w14:textFill>
                  <w14:solidFill>
                    <w14:schemeClr w14:val="tx1"/>
                  </w14:solidFill>
                </w14:textFill>
              </w:rPr>
              <w:t>临泽县金源矿业有限责任公司平川镇羊圈湾冶金用石英岩矿及配套设施建设项目</w:t>
            </w:r>
            <w:r>
              <w:rPr>
                <w:rFonts w:hint="default" w:ascii="Times New Roman" w:hAnsi="Times New Roman" w:eastAsia="仿宋" w:cs="Times New Roman"/>
                <w:color w:val="000000" w:themeColor="text1"/>
                <w:sz w:val="24"/>
                <w:highlight w:val="none"/>
                <w14:textFill>
                  <w14:solidFill>
                    <w14:schemeClr w14:val="tx1"/>
                  </w14:solidFill>
                </w14:textFill>
              </w:rPr>
              <w:t>通过采取有效合理的污染防治措施，可控制矿区开采过程中所产生的不利影响，使各类污染物均实现达标排放。</w:t>
            </w:r>
          </w:p>
          <w:p w14:paraId="181EF37C">
            <w:pPr>
              <w:adjustRightInd w:val="0"/>
              <w:snapToGrid w:val="0"/>
              <w:spacing w:line="360" w:lineRule="auto"/>
              <w:ind w:firstLine="480" w:firstLineChars="200"/>
              <w:rPr>
                <w:rFonts w:hint="default" w:ascii="Times New Roman" w:hAnsi="Times New Roman" w:eastAsia="仿宋" w:cs="Times New Roman"/>
                <w:color w:val="000000" w:themeColor="text1"/>
                <w:sz w:val="24"/>
                <w:highlight w:val="none"/>
                <w14:textFill>
                  <w14:solidFill>
                    <w14:schemeClr w14:val="tx1"/>
                  </w14:solidFill>
                </w14:textFill>
              </w:rPr>
            </w:pPr>
            <w:r>
              <w:rPr>
                <w:rFonts w:hint="default" w:ascii="Times New Roman" w:hAnsi="Times New Roman" w:eastAsia="仿宋" w:cs="Times New Roman"/>
                <w:color w:val="000000" w:themeColor="text1"/>
                <w:sz w:val="24"/>
                <w:highlight w:val="none"/>
                <w14:textFill>
                  <w14:solidFill>
                    <w14:schemeClr w14:val="tx1"/>
                  </w14:solidFill>
                </w14:textFill>
              </w:rPr>
              <w:t>因此，本评价认为，在严格执行国家环保政策和各项规章管理制度，并切实落实本报告表中的各项污染物防治措施，保证环保设施正常运转的条件下，项目的建设从环保的角度来看是可行的。</w:t>
            </w:r>
          </w:p>
          <w:p w14:paraId="7729B203">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13C31B8D">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1304F95A">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6FE2F690">
            <w:pPr>
              <w:pStyle w:val="15"/>
              <w:ind w:left="0" w:leftChars="0" w:firstLine="0" w:firstLineChars="0"/>
              <w:rPr>
                <w:rFonts w:hint="default" w:ascii="Times New Roman" w:hAnsi="Times New Roman" w:eastAsia="仿宋" w:cs="Times New Roman"/>
                <w:color w:val="000000" w:themeColor="text1"/>
                <w:highlight w:val="none"/>
                <w14:textFill>
                  <w14:solidFill>
                    <w14:schemeClr w14:val="tx1"/>
                  </w14:solidFill>
                </w14:textFill>
              </w:rPr>
            </w:pPr>
          </w:p>
          <w:p w14:paraId="5F647BD4">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04B5CE5A">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3683582E">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58C2593F">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6F311FCB">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2F6A9B61">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6A9E7A96">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539CF113">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38EB392C">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2831B472">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7B1377A4">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327F80E9">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1A11A81D">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5189BECF">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31ABBC5E">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63B331A8">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2E36E0B3">
            <w:pPr>
              <w:pStyle w:val="15"/>
              <w:rPr>
                <w:rFonts w:hint="default" w:ascii="Times New Roman" w:hAnsi="Times New Roman" w:eastAsia="仿宋" w:cs="Times New Roman"/>
                <w:color w:val="000000" w:themeColor="text1"/>
                <w:highlight w:val="none"/>
                <w14:textFill>
                  <w14:solidFill>
                    <w14:schemeClr w14:val="tx1"/>
                  </w14:solidFill>
                </w14:textFill>
              </w:rPr>
            </w:pPr>
          </w:p>
          <w:p w14:paraId="6100E0BA">
            <w:pPr>
              <w:keepNext w:val="0"/>
              <w:keepLines w:val="0"/>
              <w:pageBreakBefore w:val="0"/>
              <w:widowControl w:val="0"/>
              <w:kinsoku/>
              <w:wordWrap/>
              <w:overflowPunct/>
              <w:topLinePunct/>
              <w:autoSpaceDE/>
              <w:autoSpaceDN w:val="0"/>
              <w:bidi w:val="0"/>
              <w:adjustRightInd/>
              <w:snapToGrid/>
              <w:spacing w:line="360" w:lineRule="auto"/>
              <w:ind w:firstLine="480" w:firstLineChars="200"/>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07A67C4C">
            <w:pPr>
              <w:keepNext w:val="0"/>
              <w:keepLines w:val="0"/>
              <w:pageBreakBefore w:val="0"/>
              <w:widowControl w:val="0"/>
              <w:kinsoku/>
              <w:wordWrap/>
              <w:overflowPunct/>
              <w:topLinePunct/>
              <w:autoSpaceDE/>
              <w:autoSpaceDN w:val="0"/>
              <w:bidi w:val="0"/>
              <w:adjustRightInd/>
              <w:snapToGrid/>
              <w:spacing w:line="360" w:lineRule="auto"/>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4DBA3926">
            <w:pPr>
              <w:keepNext w:val="0"/>
              <w:keepLines w:val="0"/>
              <w:pageBreakBefore w:val="0"/>
              <w:widowControl w:val="0"/>
              <w:kinsoku/>
              <w:wordWrap/>
              <w:overflowPunct/>
              <w:topLinePunct/>
              <w:autoSpaceDE/>
              <w:autoSpaceDN w:val="0"/>
              <w:bidi w:val="0"/>
              <w:adjustRightInd/>
              <w:snapToGrid/>
              <w:spacing w:line="360" w:lineRule="auto"/>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4F3CF864">
            <w:pPr>
              <w:keepNext w:val="0"/>
              <w:keepLines w:val="0"/>
              <w:pageBreakBefore w:val="0"/>
              <w:widowControl w:val="0"/>
              <w:kinsoku/>
              <w:wordWrap/>
              <w:overflowPunct/>
              <w:topLinePunct/>
              <w:autoSpaceDE/>
              <w:autoSpaceDN w:val="0"/>
              <w:bidi w:val="0"/>
              <w:adjustRightInd/>
              <w:snapToGrid/>
              <w:spacing w:line="360" w:lineRule="auto"/>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p w14:paraId="37885DB8">
            <w:pPr>
              <w:keepNext w:val="0"/>
              <w:keepLines w:val="0"/>
              <w:pageBreakBefore w:val="0"/>
              <w:widowControl w:val="0"/>
              <w:kinsoku/>
              <w:wordWrap/>
              <w:overflowPunct/>
              <w:topLinePunct/>
              <w:autoSpaceDE/>
              <w:autoSpaceDN w:val="0"/>
              <w:bidi w:val="0"/>
              <w:adjustRightInd/>
              <w:snapToGrid/>
              <w:spacing w:line="360" w:lineRule="auto"/>
              <w:textAlignment w:val="center"/>
              <w:rPr>
                <w:rFonts w:hint="default" w:ascii="Times New Roman" w:hAnsi="Times New Roman" w:eastAsia="仿宋" w:cs="Times New Roman"/>
                <w:color w:val="000000" w:themeColor="text1"/>
                <w:sz w:val="24"/>
                <w:highlight w:val="none"/>
                <w14:textFill>
                  <w14:solidFill>
                    <w14:schemeClr w14:val="tx1"/>
                  </w14:solidFill>
                </w14:textFill>
              </w:rPr>
            </w:pPr>
          </w:p>
        </w:tc>
      </w:tr>
    </w:tbl>
    <w:p w14:paraId="33F78AD9">
      <w:pPr>
        <w:rPr>
          <w:rFonts w:hint="eastAsia"/>
          <w:color w:val="auto"/>
          <w:highlight w:val="none"/>
          <w:lang w:val="en-US" w:eastAsia="zh-CN"/>
        </w:rPr>
      </w:pPr>
    </w:p>
    <w:sectPr>
      <w:pgSz w:w="11906" w:h="16838"/>
      <w:pgMar w:top="1134" w:right="1134" w:bottom="1134" w:left="1134" w:header="680" w:footer="680" w:gutter="0"/>
      <w:pgBorders>
        <w:top w:val="none" w:sz="0" w:space="0"/>
        <w:left w:val="none" w:sz="0" w:space="0"/>
        <w:bottom w:val="none" w:sz="0" w:space="0"/>
        <w:right w:val="none" w:sz="0" w:space="0"/>
      </w:pgBorders>
      <w:pgNumType w:fmt="numberInDash"/>
      <w:cols w:space="720" w:num="1"/>
      <w:docGrid w:linePitch="312" w:charSpace="0"/>
    </w:sectPr>
  </w:body>
</w:document>
</file>

<file path=word/customizations.xml><?xml version="1.0" encoding="utf-8"?>
<wne:tcg xmlns:r="http://schemas.openxmlformats.org/officeDocument/2006/relationships" xmlns:wne="http://schemas.microsoft.com/office/word/2006/wordml">
  <wne:keymaps>
    <wne:keymap wne:kcmPrimary="0450">
      <wne:fci wne:fciName="Bold" wne:swArg="0000"/>
    </wne:keymap>
    <wne:keymap wne:kcmPrimary="044F">
      <wne:fci wne:fciName="NewStyle"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entury Gothic">
    <w:panose1 w:val="020B0502020202020204"/>
    <w:charset w:val="00"/>
    <w:family w:val="swiss"/>
    <w:pitch w:val="default"/>
    <w:sig w:usb0="00000287" w:usb1="00000000" w:usb2="00000000" w:usb3="00000000" w:csb0="2000009F" w:csb1="DFD7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BAA25">
    <w:pPr>
      <w:pStyle w:val="16"/>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63612">
    <w:pPr>
      <w:pStyle w:val="16"/>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66B8B2">
                          <w:pPr>
                            <w:pStyle w:val="16"/>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- 3 -</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66B8B2">
                    <w:pPr>
                      <w:pStyle w:val="16"/>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- 3 -</w:t>
                    </w:r>
                    <w:r>
                      <w:rPr>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35045">
    <w:pPr>
      <w:pStyle w:val="1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4NWQ2MDYxMDgwM2NiNTY5NDRhM2Y3YTc1ZDE1NGIifQ=="/>
  </w:docVars>
  <w:rsids>
    <w:rsidRoot w:val="00172A27"/>
    <w:rsid w:val="00022346"/>
    <w:rsid w:val="00060C6A"/>
    <w:rsid w:val="00203229"/>
    <w:rsid w:val="003357D8"/>
    <w:rsid w:val="003577A2"/>
    <w:rsid w:val="003D0404"/>
    <w:rsid w:val="004874D5"/>
    <w:rsid w:val="004E0863"/>
    <w:rsid w:val="006A1A15"/>
    <w:rsid w:val="007028C5"/>
    <w:rsid w:val="00732078"/>
    <w:rsid w:val="00775675"/>
    <w:rsid w:val="00787A82"/>
    <w:rsid w:val="007A3406"/>
    <w:rsid w:val="007C717F"/>
    <w:rsid w:val="00863B59"/>
    <w:rsid w:val="00A578F8"/>
    <w:rsid w:val="00A641FB"/>
    <w:rsid w:val="00A81D22"/>
    <w:rsid w:val="00A83AD0"/>
    <w:rsid w:val="00B148AF"/>
    <w:rsid w:val="00B701B7"/>
    <w:rsid w:val="00CB51BD"/>
    <w:rsid w:val="00DE1BE7"/>
    <w:rsid w:val="00E0665B"/>
    <w:rsid w:val="00EF16FF"/>
    <w:rsid w:val="00F27441"/>
    <w:rsid w:val="00F66F31"/>
    <w:rsid w:val="00F87710"/>
    <w:rsid w:val="00F9257D"/>
    <w:rsid w:val="00FE6743"/>
    <w:rsid w:val="01017684"/>
    <w:rsid w:val="01090281"/>
    <w:rsid w:val="010D0329"/>
    <w:rsid w:val="01192C1F"/>
    <w:rsid w:val="011A24F4"/>
    <w:rsid w:val="01367BC1"/>
    <w:rsid w:val="01374E54"/>
    <w:rsid w:val="014063FE"/>
    <w:rsid w:val="014337F8"/>
    <w:rsid w:val="014F03EF"/>
    <w:rsid w:val="01500103"/>
    <w:rsid w:val="01536131"/>
    <w:rsid w:val="015D0D5E"/>
    <w:rsid w:val="016025FC"/>
    <w:rsid w:val="0160298A"/>
    <w:rsid w:val="01762404"/>
    <w:rsid w:val="01910DE7"/>
    <w:rsid w:val="01990CED"/>
    <w:rsid w:val="019B5DA2"/>
    <w:rsid w:val="01BA5D05"/>
    <w:rsid w:val="01BD7A4F"/>
    <w:rsid w:val="01BE4108"/>
    <w:rsid w:val="01BE7323"/>
    <w:rsid w:val="01C0309B"/>
    <w:rsid w:val="01C901A1"/>
    <w:rsid w:val="01CD7566"/>
    <w:rsid w:val="01D46B46"/>
    <w:rsid w:val="01D803E5"/>
    <w:rsid w:val="01DD3C4D"/>
    <w:rsid w:val="01DD59FB"/>
    <w:rsid w:val="01E23011"/>
    <w:rsid w:val="01E7687A"/>
    <w:rsid w:val="01E97D67"/>
    <w:rsid w:val="01F30A06"/>
    <w:rsid w:val="01FE5971"/>
    <w:rsid w:val="021138F7"/>
    <w:rsid w:val="02151639"/>
    <w:rsid w:val="021F4265"/>
    <w:rsid w:val="0224199A"/>
    <w:rsid w:val="02296E92"/>
    <w:rsid w:val="022B2C0A"/>
    <w:rsid w:val="02305C56"/>
    <w:rsid w:val="023A4BFB"/>
    <w:rsid w:val="023B4716"/>
    <w:rsid w:val="023B6BC5"/>
    <w:rsid w:val="02443CCC"/>
    <w:rsid w:val="0248629C"/>
    <w:rsid w:val="024D4A7D"/>
    <w:rsid w:val="024E06A7"/>
    <w:rsid w:val="025F28B4"/>
    <w:rsid w:val="026C3AC4"/>
    <w:rsid w:val="026D3223"/>
    <w:rsid w:val="027F2F56"/>
    <w:rsid w:val="0280603C"/>
    <w:rsid w:val="02862EB7"/>
    <w:rsid w:val="02873BB9"/>
    <w:rsid w:val="028B36A9"/>
    <w:rsid w:val="02900CBF"/>
    <w:rsid w:val="02936A01"/>
    <w:rsid w:val="029B5D53"/>
    <w:rsid w:val="02BF3353"/>
    <w:rsid w:val="02CA68DE"/>
    <w:rsid w:val="02D05560"/>
    <w:rsid w:val="02DD16B2"/>
    <w:rsid w:val="03035935"/>
    <w:rsid w:val="03062D2F"/>
    <w:rsid w:val="03092820"/>
    <w:rsid w:val="030B2A3C"/>
    <w:rsid w:val="03157416"/>
    <w:rsid w:val="03183781"/>
    <w:rsid w:val="032D4760"/>
    <w:rsid w:val="03321D76"/>
    <w:rsid w:val="03351867"/>
    <w:rsid w:val="033A6423"/>
    <w:rsid w:val="03474CE7"/>
    <w:rsid w:val="034E4AB3"/>
    <w:rsid w:val="034F5D29"/>
    <w:rsid w:val="035C6DF3"/>
    <w:rsid w:val="03626655"/>
    <w:rsid w:val="03726617"/>
    <w:rsid w:val="03791753"/>
    <w:rsid w:val="03A10CAA"/>
    <w:rsid w:val="03A34A22"/>
    <w:rsid w:val="03A61308"/>
    <w:rsid w:val="03B15391"/>
    <w:rsid w:val="03B92498"/>
    <w:rsid w:val="03BB6210"/>
    <w:rsid w:val="03CD1261"/>
    <w:rsid w:val="03CE5F43"/>
    <w:rsid w:val="03D41080"/>
    <w:rsid w:val="03DD6186"/>
    <w:rsid w:val="03E1394C"/>
    <w:rsid w:val="03E272F9"/>
    <w:rsid w:val="03F139E0"/>
    <w:rsid w:val="040B7FAD"/>
    <w:rsid w:val="040C25C7"/>
    <w:rsid w:val="041132E7"/>
    <w:rsid w:val="041B6CAE"/>
    <w:rsid w:val="04351B1E"/>
    <w:rsid w:val="0436211C"/>
    <w:rsid w:val="043F61B8"/>
    <w:rsid w:val="04402271"/>
    <w:rsid w:val="04510922"/>
    <w:rsid w:val="04575F38"/>
    <w:rsid w:val="045F303F"/>
    <w:rsid w:val="04781ECF"/>
    <w:rsid w:val="049727D9"/>
    <w:rsid w:val="04973014"/>
    <w:rsid w:val="04A86794"/>
    <w:rsid w:val="04A930A7"/>
    <w:rsid w:val="04B213C1"/>
    <w:rsid w:val="04B70785"/>
    <w:rsid w:val="04C2712A"/>
    <w:rsid w:val="04CD7FA9"/>
    <w:rsid w:val="04D36DCC"/>
    <w:rsid w:val="04D77FFE"/>
    <w:rsid w:val="04DA0918"/>
    <w:rsid w:val="04DC7F02"/>
    <w:rsid w:val="04DD3F64"/>
    <w:rsid w:val="04F574FF"/>
    <w:rsid w:val="04FA68C4"/>
    <w:rsid w:val="05015EA4"/>
    <w:rsid w:val="05025778"/>
    <w:rsid w:val="05057D29"/>
    <w:rsid w:val="05080FE1"/>
    <w:rsid w:val="050A0D98"/>
    <w:rsid w:val="050B287F"/>
    <w:rsid w:val="05123C0E"/>
    <w:rsid w:val="051E0804"/>
    <w:rsid w:val="05281538"/>
    <w:rsid w:val="053A13B6"/>
    <w:rsid w:val="053A3164"/>
    <w:rsid w:val="053C0C8A"/>
    <w:rsid w:val="0548762F"/>
    <w:rsid w:val="054A784B"/>
    <w:rsid w:val="054F6A7F"/>
    <w:rsid w:val="055E50A5"/>
    <w:rsid w:val="056062C2"/>
    <w:rsid w:val="056C6DC3"/>
    <w:rsid w:val="05740424"/>
    <w:rsid w:val="05761F9D"/>
    <w:rsid w:val="057E74F5"/>
    <w:rsid w:val="05835CF9"/>
    <w:rsid w:val="05922FA0"/>
    <w:rsid w:val="05924D4E"/>
    <w:rsid w:val="059705B7"/>
    <w:rsid w:val="05983B33"/>
    <w:rsid w:val="059F7C3A"/>
    <w:rsid w:val="05A67887"/>
    <w:rsid w:val="05A84572"/>
    <w:rsid w:val="05AE59F1"/>
    <w:rsid w:val="05B13426"/>
    <w:rsid w:val="05C9419E"/>
    <w:rsid w:val="05D76C05"/>
    <w:rsid w:val="05DC0987"/>
    <w:rsid w:val="05E573F1"/>
    <w:rsid w:val="05F257ED"/>
    <w:rsid w:val="05FD666C"/>
    <w:rsid w:val="060D7AD6"/>
    <w:rsid w:val="06190FCC"/>
    <w:rsid w:val="061C0FDE"/>
    <w:rsid w:val="062077BC"/>
    <w:rsid w:val="062956B3"/>
    <w:rsid w:val="062F07EF"/>
    <w:rsid w:val="063B53E6"/>
    <w:rsid w:val="06473FDA"/>
    <w:rsid w:val="06515C6C"/>
    <w:rsid w:val="065169B7"/>
    <w:rsid w:val="06597D17"/>
    <w:rsid w:val="065E2E82"/>
    <w:rsid w:val="06624721"/>
    <w:rsid w:val="066761DB"/>
    <w:rsid w:val="06693D01"/>
    <w:rsid w:val="0669721D"/>
    <w:rsid w:val="066B5CCB"/>
    <w:rsid w:val="066F6E3E"/>
    <w:rsid w:val="0673692E"/>
    <w:rsid w:val="06736949"/>
    <w:rsid w:val="067D59FE"/>
    <w:rsid w:val="06826B02"/>
    <w:rsid w:val="068C5C42"/>
    <w:rsid w:val="068F128E"/>
    <w:rsid w:val="069C5EED"/>
    <w:rsid w:val="06A87133"/>
    <w:rsid w:val="06AA5246"/>
    <w:rsid w:val="06C947A0"/>
    <w:rsid w:val="06DA4BFF"/>
    <w:rsid w:val="06E67100"/>
    <w:rsid w:val="06E93094"/>
    <w:rsid w:val="06EB0BBA"/>
    <w:rsid w:val="06F37A6F"/>
    <w:rsid w:val="07043A2A"/>
    <w:rsid w:val="070B6B66"/>
    <w:rsid w:val="07177C01"/>
    <w:rsid w:val="071F6AB6"/>
    <w:rsid w:val="07206123"/>
    <w:rsid w:val="0728596A"/>
    <w:rsid w:val="07293490"/>
    <w:rsid w:val="072D11D3"/>
    <w:rsid w:val="073267E9"/>
    <w:rsid w:val="0737795B"/>
    <w:rsid w:val="07480C4F"/>
    <w:rsid w:val="074F232A"/>
    <w:rsid w:val="075D3DDC"/>
    <w:rsid w:val="075E138C"/>
    <w:rsid w:val="07630750"/>
    <w:rsid w:val="07634BF4"/>
    <w:rsid w:val="07645999"/>
    <w:rsid w:val="0766439A"/>
    <w:rsid w:val="077566D6"/>
    <w:rsid w:val="07812C00"/>
    <w:rsid w:val="07854AE1"/>
    <w:rsid w:val="0797664C"/>
    <w:rsid w:val="07983E97"/>
    <w:rsid w:val="07A1396F"/>
    <w:rsid w:val="07A33243"/>
    <w:rsid w:val="07BA3E7B"/>
    <w:rsid w:val="07BB058C"/>
    <w:rsid w:val="07C66F31"/>
    <w:rsid w:val="07C82CA9"/>
    <w:rsid w:val="07D94EB6"/>
    <w:rsid w:val="07E01DA1"/>
    <w:rsid w:val="07E605D4"/>
    <w:rsid w:val="07E850FA"/>
    <w:rsid w:val="07F25F78"/>
    <w:rsid w:val="07FC0BA5"/>
    <w:rsid w:val="0808579C"/>
    <w:rsid w:val="080E3DBE"/>
    <w:rsid w:val="0822060B"/>
    <w:rsid w:val="08236132"/>
    <w:rsid w:val="082C4FE6"/>
    <w:rsid w:val="08397703"/>
    <w:rsid w:val="083E7563"/>
    <w:rsid w:val="08430582"/>
    <w:rsid w:val="0845254C"/>
    <w:rsid w:val="084F6F27"/>
    <w:rsid w:val="08687FE8"/>
    <w:rsid w:val="08732C15"/>
    <w:rsid w:val="087E15BA"/>
    <w:rsid w:val="0883616D"/>
    <w:rsid w:val="08843074"/>
    <w:rsid w:val="08955281"/>
    <w:rsid w:val="0898267C"/>
    <w:rsid w:val="08996E7A"/>
    <w:rsid w:val="089A4646"/>
    <w:rsid w:val="08A87EBF"/>
    <w:rsid w:val="08A90D2D"/>
    <w:rsid w:val="08A94AD5"/>
    <w:rsid w:val="08B374B6"/>
    <w:rsid w:val="08B65C4C"/>
    <w:rsid w:val="08BB45BC"/>
    <w:rsid w:val="08BE727D"/>
    <w:rsid w:val="08C54D2F"/>
    <w:rsid w:val="08DA2C94"/>
    <w:rsid w:val="08DE7336"/>
    <w:rsid w:val="08E12275"/>
    <w:rsid w:val="08E30F28"/>
    <w:rsid w:val="08F02F97"/>
    <w:rsid w:val="08F8136C"/>
    <w:rsid w:val="08FA6E92"/>
    <w:rsid w:val="09023F99"/>
    <w:rsid w:val="09094B1A"/>
    <w:rsid w:val="09143C87"/>
    <w:rsid w:val="09187C60"/>
    <w:rsid w:val="091D7025"/>
    <w:rsid w:val="091F4B4B"/>
    <w:rsid w:val="09322AD0"/>
    <w:rsid w:val="09371E95"/>
    <w:rsid w:val="093A07A3"/>
    <w:rsid w:val="093F343F"/>
    <w:rsid w:val="094933D9"/>
    <w:rsid w:val="0949606C"/>
    <w:rsid w:val="09572537"/>
    <w:rsid w:val="0958757D"/>
    <w:rsid w:val="095E38C5"/>
    <w:rsid w:val="09630EDC"/>
    <w:rsid w:val="09675321"/>
    <w:rsid w:val="097529BD"/>
    <w:rsid w:val="097C3D4B"/>
    <w:rsid w:val="098470A4"/>
    <w:rsid w:val="098615E3"/>
    <w:rsid w:val="099079F2"/>
    <w:rsid w:val="0995305F"/>
    <w:rsid w:val="099948FD"/>
    <w:rsid w:val="099B4C93"/>
    <w:rsid w:val="09A514F4"/>
    <w:rsid w:val="09AA4D5C"/>
    <w:rsid w:val="09C3197A"/>
    <w:rsid w:val="09C94AB7"/>
    <w:rsid w:val="09CD22A3"/>
    <w:rsid w:val="09ED4C49"/>
    <w:rsid w:val="09EE6734"/>
    <w:rsid w:val="09F2400E"/>
    <w:rsid w:val="0A0F2384"/>
    <w:rsid w:val="0A173A74"/>
    <w:rsid w:val="0A187F18"/>
    <w:rsid w:val="0A1977EC"/>
    <w:rsid w:val="0A283ED3"/>
    <w:rsid w:val="0A2D14EA"/>
    <w:rsid w:val="0A2F2A2F"/>
    <w:rsid w:val="0A3E7253"/>
    <w:rsid w:val="0A496AA6"/>
    <w:rsid w:val="0A7433AB"/>
    <w:rsid w:val="0A782765"/>
    <w:rsid w:val="0A7964DD"/>
    <w:rsid w:val="0A7E3AF3"/>
    <w:rsid w:val="0A7E7C0C"/>
    <w:rsid w:val="0A876E4C"/>
    <w:rsid w:val="0A8C7FBE"/>
    <w:rsid w:val="0A8D438C"/>
    <w:rsid w:val="0A8E0EBA"/>
    <w:rsid w:val="0A8F4BB2"/>
    <w:rsid w:val="0A993185"/>
    <w:rsid w:val="0A9B6453"/>
    <w:rsid w:val="0AA77F3D"/>
    <w:rsid w:val="0AB12DC0"/>
    <w:rsid w:val="0ABC5BC4"/>
    <w:rsid w:val="0ACE05D7"/>
    <w:rsid w:val="0AD2152B"/>
    <w:rsid w:val="0AD23814"/>
    <w:rsid w:val="0AD57BB7"/>
    <w:rsid w:val="0AE45E63"/>
    <w:rsid w:val="0AFF69E2"/>
    <w:rsid w:val="0B106E41"/>
    <w:rsid w:val="0B112BB9"/>
    <w:rsid w:val="0B380146"/>
    <w:rsid w:val="0B3A20D5"/>
    <w:rsid w:val="0B3C19E4"/>
    <w:rsid w:val="0B3C7C36"/>
    <w:rsid w:val="0B4E34C6"/>
    <w:rsid w:val="0B52745A"/>
    <w:rsid w:val="0B6E5916"/>
    <w:rsid w:val="0B723658"/>
    <w:rsid w:val="0B786794"/>
    <w:rsid w:val="0B7A55AB"/>
    <w:rsid w:val="0B7F5D75"/>
    <w:rsid w:val="0B884C29"/>
    <w:rsid w:val="0B8D2240"/>
    <w:rsid w:val="0B9F1F73"/>
    <w:rsid w:val="0BA8707A"/>
    <w:rsid w:val="0BB01C9B"/>
    <w:rsid w:val="0BB579E9"/>
    <w:rsid w:val="0BD31C1D"/>
    <w:rsid w:val="0BE1433A"/>
    <w:rsid w:val="0BE82C2E"/>
    <w:rsid w:val="0BEB340A"/>
    <w:rsid w:val="0BF957ED"/>
    <w:rsid w:val="0C0A1AE2"/>
    <w:rsid w:val="0C1C7A68"/>
    <w:rsid w:val="0C2030B4"/>
    <w:rsid w:val="0C2E341F"/>
    <w:rsid w:val="0C300E1D"/>
    <w:rsid w:val="0C3628D7"/>
    <w:rsid w:val="0C3923C8"/>
    <w:rsid w:val="0C4F1BEB"/>
    <w:rsid w:val="0C50326D"/>
    <w:rsid w:val="0C517711"/>
    <w:rsid w:val="0C547201"/>
    <w:rsid w:val="0C5D60B6"/>
    <w:rsid w:val="0C5F53AF"/>
    <w:rsid w:val="0C6531BD"/>
    <w:rsid w:val="0C684A5B"/>
    <w:rsid w:val="0C7E7DDA"/>
    <w:rsid w:val="0C821767"/>
    <w:rsid w:val="0C840865"/>
    <w:rsid w:val="0C8C24F7"/>
    <w:rsid w:val="0C8F1FE8"/>
    <w:rsid w:val="0C905EEA"/>
    <w:rsid w:val="0C9E047D"/>
    <w:rsid w:val="0CAC4948"/>
    <w:rsid w:val="0CB101B0"/>
    <w:rsid w:val="0CBA46B8"/>
    <w:rsid w:val="0CBD4DA7"/>
    <w:rsid w:val="0CBF0B1F"/>
    <w:rsid w:val="0CC2522B"/>
    <w:rsid w:val="0CF663AE"/>
    <w:rsid w:val="0D157D63"/>
    <w:rsid w:val="0D164953"/>
    <w:rsid w:val="0D18022F"/>
    <w:rsid w:val="0D1A3FA7"/>
    <w:rsid w:val="0D205087"/>
    <w:rsid w:val="0D272220"/>
    <w:rsid w:val="0D2C3CDA"/>
    <w:rsid w:val="0D374B59"/>
    <w:rsid w:val="0D3B5CCB"/>
    <w:rsid w:val="0D4E3C51"/>
    <w:rsid w:val="0D5A43A4"/>
    <w:rsid w:val="0D8E04F1"/>
    <w:rsid w:val="0D953916"/>
    <w:rsid w:val="0D957AD2"/>
    <w:rsid w:val="0D977DB4"/>
    <w:rsid w:val="0DC12675"/>
    <w:rsid w:val="0DC363ED"/>
    <w:rsid w:val="0DC576D1"/>
    <w:rsid w:val="0DCF532A"/>
    <w:rsid w:val="0DDF0D4D"/>
    <w:rsid w:val="0DE819AF"/>
    <w:rsid w:val="0DEA4012"/>
    <w:rsid w:val="0DF62754"/>
    <w:rsid w:val="0E0662D9"/>
    <w:rsid w:val="0E0D66D5"/>
    <w:rsid w:val="0E11354D"/>
    <w:rsid w:val="0E15651D"/>
    <w:rsid w:val="0E197DBB"/>
    <w:rsid w:val="0E1A376D"/>
    <w:rsid w:val="0E2A021A"/>
    <w:rsid w:val="0E342E47"/>
    <w:rsid w:val="0E3E5A73"/>
    <w:rsid w:val="0E3F3599"/>
    <w:rsid w:val="0E4017EB"/>
    <w:rsid w:val="0E4D4EA6"/>
    <w:rsid w:val="0E5C05EF"/>
    <w:rsid w:val="0E5E1C72"/>
    <w:rsid w:val="0E6B25E0"/>
    <w:rsid w:val="0E6F0323"/>
    <w:rsid w:val="0E72396F"/>
    <w:rsid w:val="0E7616B1"/>
    <w:rsid w:val="0E7E7133"/>
    <w:rsid w:val="0E9B2EC6"/>
    <w:rsid w:val="0EA63619"/>
    <w:rsid w:val="0EB14497"/>
    <w:rsid w:val="0EB16245"/>
    <w:rsid w:val="0EB36461"/>
    <w:rsid w:val="0EC51CF1"/>
    <w:rsid w:val="0ECA7307"/>
    <w:rsid w:val="0ED40186"/>
    <w:rsid w:val="0ED4462A"/>
    <w:rsid w:val="0ED65CAC"/>
    <w:rsid w:val="0ED945B2"/>
    <w:rsid w:val="0EDC703A"/>
    <w:rsid w:val="0EDD34DE"/>
    <w:rsid w:val="0EE228A3"/>
    <w:rsid w:val="0EF808FE"/>
    <w:rsid w:val="0F0D4101"/>
    <w:rsid w:val="0F2E7896"/>
    <w:rsid w:val="0F3D5D2B"/>
    <w:rsid w:val="0F4B48EC"/>
    <w:rsid w:val="0F4F5A5E"/>
    <w:rsid w:val="0F58641A"/>
    <w:rsid w:val="0F5E660A"/>
    <w:rsid w:val="0F7E5CE7"/>
    <w:rsid w:val="0F841BAC"/>
    <w:rsid w:val="0F851480"/>
    <w:rsid w:val="0F854CFE"/>
    <w:rsid w:val="0F957915"/>
    <w:rsid w:val="0F96368D"/>
    <w:rsid w:val="0FA933C0"/>
    <w:rsid w:val="0FAB7138"/>
    <w:rsid w:val="0FB87AA7"/>
    <w:rsid w:val="0FC87CEA"/>
    <w:rsid w:val="0FDC366F"/>
    <w:rsid w:val="0FE97C61"/>
    <w:rsid w:val="0FF0470E"/>
    <w:rsid w:val="0FF7412C"/>
    <w:rsid w:val="10207B26"/>
    <w:rsid w:val="102E468F"/>
    <w:rsid w:val="1030763E"/>
    <w:rsid w:val="104C1597"/>
    <w:rsid w:val="1067241C"/>
    <w:rsid w:val="10680FAB"/>
    <w:rsid w:val="106D0892"/>
    <w:rsid w:val="108A4FA0"/>
    <w:rsid w:val="108D2CE2"/>
    <w:rsid w:val="10954653"/>
    <w:rsid w:val="10A122E9"/>
    <w:rsid w:val="10A70026"/>
    <w:rsid w:val="10AA08EC"/>
    <w:rsid w:val="10C9235E"/>
    <w:rsid w:val="10CC55B8"/>
    <w:rsid w:val="10CD1330"/>
    <w:rsid w:val="10D10E21"/>
    <w:rsid w:val="10D426BF"/>
    <w:rsid w:val="10F22B45"/>
    <w:rsid w:val="10F83996"/>
    <w:rsid w:val="11131439"/>
    <w:rsid w:val="11134CAC"/>
    <w:rsid w:val="11194576"/>
    <w:rsid w:val="112076B2"/>
    <w:rsid w:val="112371A2"/>
    <w:rsid w:val="11274EE5"/>
    <w:rsid w:val="112C24FB"/>
    <w:rsid w:val="11305976"/>
    <w:rsid w:val="114415F3"/>
    <w:rsid w:val="11472E91"/>
    <w:rsid w:val="11477335"/>
    <w:rsid w:val="114E2471"/>
    <w:rsid w:val="11592BC4"/>
    <w:rsid w:val="115C2E09"/>
    <w:rsid w:val="115F642C"/>
    <w:rsid w:val="116E2B13"/>
    <w:rsid w:val="116F23E8"/>
    <w:rsid w:val="118606E8"/>
    <w:rsid w:val="119A7465"/>
    <w:rsid w:val="119C3D10"/>
    <w:rsid w:val="11A007F3"/>
    <w:rsid w:val="11BD2243"/>
    <w:rsid w:val="11E132E5"/>
    <w:rsid w:val="11E3705D"/>
    <w:rsid w:val="11F12DFD"/>
    <w:rsid w:val="11F8062F"/>
    <w:rsid w:val="12072620"/>
    <w:rsid w:val="120945EA"/>
    <w:rsid w:val="120E7E53"/>
    <w:rsid w:val="121A05A5"/>
    <w:rsid w:val="122136E2"/>
    <w:rsid w:val="12374CB3"/>
    <w:rsid w:val="12470518"/>
    <w:rsid w:val="124F5746"/>
    <w:rsid w:val="124F64A1"/>
    <w:rsid w:val="12575356"/>
    <w:rsid w:val="126D2DCB"/>
    <w:rsid w:val="127A3E77"/>
    <w:rsid w:val="12AF6F40"/>
    <w:rsid w:val="12B502CE"/>
    <w:rsid w:val="12BF7968"/>
    <w:rsid w:val="12CC5D44"/>
    <w:rsid w:val="12D44BF8"/>
    <w:rsid w:val="13082AF4"/>
    <w:rsid w:val="130D1EB8"/>
    <w:rsid w:val="13140A84"/>
    <w:rsid w:val="13174AE5"/>
    <w:rsid w:val="131E2317"/>
    <w:rsid w:val="13203999"/>
    <w:rsid w:val="1328154C"/>
    <w:rsid w:val="13294F44"/>
    <w:rsid w:val="13453400"/>
    <w:rsid w:val="13533D6F"/>
    <w:rsid w:val="13581385"/>
    <w:rsid w:val="13637D2A"/>
    <w:rsid w:val="13645F7C"/>
    <w:rsid w:val="136938F2"/>
    <w:rsid w:val="136A67D5"/>
    <w:rsid w:val="137B32C6"/>
    <w:rsid w:val="137B7981"/>
    <w:rsid w:val="13854144"/>
    <w:rsid w:val="138A1694"/>
    <w:rsid w:val="13916645"/>
    <w:rsid w:val="139323BD"/>
    <w:rsid w:val="13945107"/>
    <w:rsid w:val="139D148E"/>
    <w:rsid w:val="139F5206"/>
    <w:rsid w:val="13A75E69"/>
    <w:rsid w:val="13AE36E7"/>
    <w:rsid w:val="13BC624E"/>
    <w:rsid w:val="13C133CE"/>
    <w:rsid w:val="13C21712"/>
    <w:rsid w:val="13DA7FEC"/>
    <w:rsid w:val="13DD188A"/>
    <w:rsid w:val="13F13CC6"/>
    <w:rsid w:val="13F15336"/>
    <w:rsid w:val="13F17949"/>
    <w:rsid w:val="13F217DA"/>
    <w:rsid w:val="13F64023"/>
    <w:rsid w:val="13FF685B"/>
    <w:rsid w:val="140908D1"/>
    <w:rsid w:val="14103A0E"/>
    <w:rsid w:val="141530E1"/>
    <w:rsid w:val="142E0338"/>
    <w:rsid w:val="14495172"/>
    <w:rsid w:val="144B0EEA"/>
    <w:rsid w:val="145A3CBB"/>
    <w:rsid w:val="145F4995"/>
    <w:rsid w:val="1461070D"/>
    <w:rsid w:val="14773A8D"/>
    <w:rsid w:val="14795A57"/>
    <w:rsid w:val="147E12BF"/>
    <w:rsid w:val="14891A12"/>
    <w:rsid w:val="1490577D"/>
    <w:rsid w:val="149503B7"/>
    <w:rsid w:val="14977C8B"/>
    <w:rsid w:val="149F4D92"/>
    <w:rsid w:val="14A00736"/>
    <w:rsid w:val="14A36843"/>
    <w:rsid w:val="14AB1989"/>
    <w:rsid w:val="14AD4D89"/>
    <w:rsid w:val="14B22D17"/>
    <w:rsid w:val="14B922F8"/>
    <w:rsid w:val="14BB6B5A"/>
    <w:rsid w:val="14C02644"/>
    <w:rsid w:val="14C12F5A"/>
    <w:rsid w:val="14CD71FB"/>
    <w:rsid w:val="14D62EA9"/>
    <w:rsid w:val="14DD3F69"/>
    <w:rsid w:val="14E07884"/>
    <w:rsid w:val="14E530ED"/>
    <w:rsid w:val="14F04178"/>
    <w:rsid w:val="14FE41AE"/>
    <w:rsid w:val="15121A08"/>
    <w:rsid w:val="152B4878"/>
    <w:rsid w:val="153951E6"/>
    <w:rsid w:val="15400323"/>
    <w:rsid w:val="15415E49"/>
    <w:rsid w:val="15446404"/>
    <w:rsid w:val="15485429"/>
    <w:rsid w:val="154C2A1B"/>
    <w:rsid w:val="154D0C92"/>
    <w:rsid w:val="154E5444"/>
    <w:rsid w:val="155D7127"/>
    <w:rsid w:val="15664A1D"/>
    <w:rsid w:val="156952BD"/>
    <w:rsid w:val="156E3B31"/>
    <w:rsid w:val="156F29B6"/>
    <w:rsid w:val="157B368E"/>
    <w:rsid w:val="158A5A42"/>
    <w:rsid w:val="15924739"/>
    <w:rsid w:val="159E1687"/>
    <w:rsid w:val="15A80E34"/>
    <w:rsid w:val="15A9411A"/>
    <w:rsid w:val="15C50828"/>
    <w:rsid w:val="15E05662"/>
    <w:rsid w:val="15F42D71"/>
    <w:rsid w:val="15F630D7"/>
    <w:rsid w:val="15FB249C"/>
    <w:rsid w:val="160202FE"/>
    <w:rsid w:val="16070E41"/>
    <w:rsid w:val="161F43DC"/>
    <w:rsid w:val="16290DB7"/>
    <w:rsid w:val="16337E88"/>
    <w:rsid w:val="1635775C"/>
    <w:rsid w:val="16377978"/>
    <w:rsid w:val="163A7468"/>
    <w:rsid w:val="163E0198"/>
    <w:rsid w:val="163F05DA"/>
    <w:rsid w:val="16473933"/>
    <w:rsid w:val="164976AB"/>
    <w:rsid w:val="1651030E"/>
    <w:rsid w:val="166718DF"/>
    <w:rsid w:val="1690575B"/>
    <w:rsid w:val="169564A9"/>
    <w:rsid w:val="169E17A5"/>
    <w:rsid w:val="16AE1F94"/>
    <w:rsid w:val="16B0772A"/>
    <w:rsid w:val="16C136E5"/>
    <w:rsid w:val="16C94348"/>
    <w:rsid w:val="16DA1F16"/>
    <w:rsid w:val="16E11692"/>
    <w:rsid w:val="16EB0762"/>
    <w:rsid w:val="16FA09A5"/>
    <w:rsid w:val="16FE2244"/>
    <w:rsid w:val="170A4D61"/>
    <w:rsid w:val="17231CAA"/>
    <w:rsid w:val="172D17AE"/>
    <w:rsid w:val="17400A52"/>
    <w:rsid w:val="17424826"/>
    <w:rsid w:val="174A7237"/>
    <w:rsid w:val="17544559"/>
    <w:rsid w:val="17585181"/>
    <w:rsid w:val="175A77B8"/>
    <w:rsid w:val="17602EFE"/>
    <w:rsid w:val="176A78D9"/>
    <w:rsid w:val="176C53FF"/>
    <w:rsid w:val="17716EB9"/>
    <w:rsid w:val="17740758"/>
    <w:rsid w:val="177C13BA"/>
    <w:rsid w:val="178169D1"/>
    <w:rsid w:val="178564C1"/>
    <w:rsid w:val="17872239"/>
    <w:rsid w:val="178A001D"/>
    <w:rsid w:val="17984446"/>
    <w:rsid w:val="17A4103D"/>
    <w:rsid w:val="17A80401"/>
    <w:rsid w:val="17B2302E"/>
    <w:rsid w:val="17C76AD9"/>
    <w:rsid w:val="17CA65CA"/>
    <w:rsid w:val="17D47448"/>
    <w:rsid w:val="17E53404"/>
    <w:rsid w:val="17E72FBC"/>
    <w:rsid w:val="17EF7DDE"/>
    <w:rsid w:val="17F3167D"/>
    <w:rsid w:val="17FF3042"/>
    <w:rsid w:val="181E2472"/>
    <w:rsid w:val="18207E76"/>
    <w:rsid w:val="183A72AB"/>
    <w:rsid w:val="183B1275"/>
    <w:rsid w:val="183C74C7"/>
    <w:rsid w:val="183D2903"/>
    <w:rsid w:val="184B14B9"/>
    <w:rsid w:val="18506ACF"/>
    <w:rsid w:val="185920F0"/>
    <w:rsid w:val="186B3909"/>
    <w:rsid w:val="187A3B4C"/>
    <w:rsid w:val="187B3D57"/>
    <w:rsid w:val="188B3FAB"/>
    <w:rsid w:val="18953AB2"/>
    <w:rsid w:val="189E3CDE"/>
    <w:rsid w:val="18B73C50"/>
    <w:rsid w:val="18B76B4E"/>
    <w:rsid w:val="18C94C7E"/>
    <w:rsid w:val="18E134FB"/>
    <w:rsid w:val="19020E73"/>
    <w:rsid w:val="190653E0"/>
    <w:rsid w:val="190D7AB1"/>
    <w:rsid w:val="19120228"/>
    <w:rsid w:val="19122ACA"/>
    <w:rsid w:val="193C52A5"/>
    <w:rsid w:val="194D1260"/>
    <w:rsid w:val="19526877"/>
    <w:rsid w:val="1954439D"/>
    <w:rsid w:val="195725A1"/>
    <w:rsid w:val="195B2D8B"/>
    <w:rsid w:val="195C14A3"/>
    <w:rsid w:val="196B16E7"/>
    <w:rsid w:val="196E061F"/>
    <w:rsid w:val="19722A75"/>
    <w:rsid w:val="197467ED"/>
    <w:rsid w:val="197B10BA"/>
    <w:rsid w:val="198A7DBF"/>
    <w:rsid w:val="1991739F"/>
    <w:rsid w:val="19957A1E"/>
    <w:rsid w:val="19A370D2"/>
    <w:rsid w:val="19B27315"/>
    <w:rsid w:val="19BE215E"/>
    <w:rsid w:val="19C57049"/>
    <w:rsid w:val="19D84FCE"/>
    <w:rsid w:val="19DF45AE"/>
    <w:rsid w:val="19E82D37"/>
    <w:rsid w:val="19EC0249"/>
    <w:rsid w:val="19F17097"/>
    <w:rsid w:val="19F35017"/>
    <w:rsid w:val="19F964B3"/>
    <w:rsid w:val="1A0A53A3"/>
    <w:rsid w:val="1A1E00F2"/>
    <w:rsid w:val="1A200723"/>
    <w:rsid w:val="1A310B82"/>
    <w:rsid w:val="1A3B555D"/>
    <w:rsid w:val="1A506BEA"/>
    <w:rsid w:val="1A562397"/>
    <w:rsid w:val="1A6505DB"/>
    <w:rsid w:val="1A693E78"/>
    <w:rsid w:val="1A6C3968"/>
    <w:rsid w:val="1A7171D0"/>
    <w:rsid w:val="1A75281D"/>
    <w:rsid w:val="1A766595"/>
    <w:rsid w:val="1A7840BB"/>
    <w:rsid w:val="1A8213DE"/>
    <w:rsid w:val="1A845156"/>
    <w:rsid w:val="1A9126A9"/>
    <w:rsid w:val="1A9223BA"/>
    <w:rsid w:val="1A98475D"/>
    <w:rsid w:val="1A9C023A"/>
    <w:rsid w:val="1A9F6725"/>
    <w:rsid w:val="1AAE3F81"/>
    <w:rsid w:val="1AB23A71"/>
    <w:rsid w:val="1AD35795"/>
    <w:rsid w:val="1AD37563"/>
    <w:rsid w:val="1AD5775F"/>
    <w:rsid w:val="1ADA200B"/>
    <w:rsid w:val="1AE410CF"/>
    <w:rsid w:val="1AE52F70"/>
    <w:rsid w:val="1AEE290D"/>
    <w:rsid w:val="1AF000F5"/>
    <w:rsid w:val="1AFA7372"/>
    <w:rsid w:val="1AFC2F3E"/>
    <w:rsid w:val="1B087B35"/>
    <w:rsid w:val="1B09565B"/>
    <w:rsid w:val="1B0B61FD"/>
    <w:rsid w:val="1B1942FF"/>
    <w:rsid w:val="1B1D7B9C"/>
    <w:rsid w:val="1B1F5A2C"/>
    <w:rsid w:val="1B2304CB"/>
    <w:rsid w:val="1B285AE1"/>
    <w:rsid w:val="1B446693"/>
    <w:rsid w:val="1B545156"/>
    <w:rsid w:val="1B5468D6"/>
    <w:rsid w:val="1B5865B3"/>
    <w:rsid w:val="1B5B127F"/>
    <w:rsid w:val="1B625EA0"/>
    <w:rsid w:val="1B632FBD"/>
    <w:rsid w:val="1B6B3C20"/>
    <w:rsid w:val="1B79633D"/>
    <w:rsid w:val="1B7C6B8B"/>
    <w:rsid w:val="1B83540D"/>
    <w:rsid w:val="1B8B6070"/>
    <w:rsid w:val="1B9E5DA3"/>
    <w:rsid w:val="1BA35913"/>
    <w:rsid w:val="1BA95DB1"/>
    <w:rsid w:val="1BAF3D07"/>
    <w:rsid w:val="1BAF6202"/>
    <w:rsid w:val="1BAF7FB0"/>
    <w:rsid w:val="1BBD091F"/>
    <w:rsid w:val="1BC752FA"/>
    <w:rsid w:val="1BC93A52"/>
    <w:rsid w:val="1BD451D1"/>
    <w:rsid w:val="1BD468A2"/>
    <w:rsid w:val="1BDE2644"/>
    <w:rsid w:val="1BEA2D97"/>
    <w:rsid w:val="1BF95848"/>
    <w:rsid w:val="1C1027E3"/>
    <w:rsid w:val="1C1B6A36"/>
    <w:rsid w:val="1C1D2216"/>
    <w:rsid w:val="1C2E4268"/>
    <w:rsid w:val="1C3E5A5B"/>
    <w:rsid w:val="1C3F7586"/>
    <w:rsid w:val="1C4912E1"/>
    <w:rsid w:val="1C4F3541"/>
    <w:rsid w:val="1C5B1EE6"/>
    <w:rsid w:val="1C5F3784"/>
    <w:rsid w:val="1C6012AB"/>
    <w:rsid w:val="1C646FED"/>
    <w:rsid w:val="1C6B037B"/>
    <w:rsid w:val="1C6E1C1A"/>
    <w:rsid w:val="1C6E7E6B"/>
    <w:rsid w:val="1C871208"/>
    <w:rsid w:val="1C9C36AC"/>
    <w:rsid w:val="1CA0010E"/>
    <w:rsid w:val="1CA32F0A"/>
    <w:rsid w:val="1CAB5593"/>
    <w:rsid w:val="1CB3587E"/>
    <w:rsid w:val="1CB533A4"/>
    <w:rsid w:val="1CB6711D"/>
    <w:rsid w:val="1CBD074D"/>
    <w:rsid w:val="1CCB1BEA"/>
    <w:rsid w:val="1CD75A11"/>
    <w:rsid w:val="1CDA105D"/>
    <w:rsid w:val="1CDD5945"/>
    <w:rsid w:val="1CDF6673"/>
    <w:rsid w:val="1CE27F12"/>
    <w:rsid w:val="1CE7377A"/>
    <w:rsid w:val="1CF53615"/>
    <w:rsid w:val="1D0205B4"/>
    <w:rsid w:val="1D07523B"/>
    <w:rsid w:val="1D085BCA"/>
    <w:rsid w:val="1D167BBB"/>
    <w:rsid w:val="1D1F1166"/>
    <w:rsid w:val="1D2B3667"/>
    <w:rsid w:val="1D305121"/>
    <w:rsid w:val="1D3249F5"/>
    <w:rsid w:val="1D350989"/>
    <w:rsid w:val="1D414461"/>
    <w:rsid w:val="1D41732E"/>
    <w:rsid w:val="1D47376B"/>
    <w:rsid w:val="1D491D3F"/>
    <w:rsid w:val="1D4E4F63"/>
    <w:rsid w:val="1D530E41"/>
    <w:rsid w:val="1D6146B5"/>
    <w:rsid w:val="1D660B43"/>
    <w:rsid w:val="1D6A0296"/>
    <w:rsid w:val="1D905BC0"/>
    <w:rsid w:val="1D94745E"/>
    <w:rsid w:val="1D9E066F"/>
    <w:rsid w:val="1DB624A5"/>
    <w:rsid w:val="1DD12460"/>
    <w:rsid w:val="1DE2466D"/>
    <w:rsid w:val="1DF92DEE"/>
    <w:rsid w:val="1E075E82"/>
    <w:rsid w:val="1E0C16EA"/>
    <w:rsid w:val="1E0C793C"/>
    <w:rsid w:val="1E0D0FBE"/>
    <w:rsid w:val="1E1124CF"/>
    <w:rsid w:val="1E1467F1"/>
    <w:rsid w:val="1E1E141D"/>
    <w:rsid w:val="1E1E4F79"/>
    <w:rsid w:val="1E285DF8"/>
    <w:rsid w:val="1E352934"/>
    <w:rsid w:val="1E470974"/>
    <w:rsid w:val="1E4A3FC0"/>
    <w:rsid w:val="1E5329F5"/>
    <w:rsid w:val="1E594203"/>
    <w:rsid w:val="1E5B1DB9"/>
    <w:rsid w:val="1E6848B0"/>
    <w:rsid w:val="1E74103D"/>
    <w:rsid w:val="1E766B63"/>
    <w:rsid w:val="1E7B4939"/>
    <w:rsid w:val="1E7B6870"/>
    <w:rsid w:val="1E956E12"/>
    <w:rsid w:val="1EA25BAA"/>
    <w:rsid w:val="1EA27958"/>
    <w:rsid w:val="1EA5569B"/>
    <w:rsid w:val="1EA96F39"/>
    <w:rsid w:val="1EC2624D"/>
    <w:rsid w:val="1EC91F8E"/>
    <w:rsid w:val="1ECB5101"/>
    <w:rsid w:val="1ED02718"/>
    <w:rsid w:val="1EE00481"/>
    <w:rsid w:val="1EE118D6"/>
    <w:rsid w:val="1EE12B77"/>
    <w:rsid w:val="1EE2069D"/>
    <w:rsid w:val="1EE95587"/>
    <w:rsid w:val="1EEB0ADD"/>
    <w:rsid w:val="1EEC0ADC"/>
    <w:rsid w:val="1EFF2FFD"/>
    <w:rsid w:val="1F010B23"/>
    <w:rsid w:val="1F02489B"/>
    <w:rsid w:val="1F182311"/>
    <w:rsid w:val="1F282554"/>
    <w:rsid w:val="1F2F1980"/>
    <w:rsid w:val="1F3B1A9F"/>
    <w:rsid w:val="1F5844BB"/>
    <w:rsid w:val="1F6368EB"/>
    <w:rsid w:val="1F666BD8"/>
    <w:rsid w:val="1F6A5E52"/>
    <w:rsid w:val="1F6B41EE"/>
    <w:rsid w:val="1F72557D"/>
    <w:rsid w:val="1F7A36E2"/>
    <w:rsid w:val="1F7C464D"/>
    <w:rsid w:val="1F8855B0"/>
    <w:rsid w:val="1F8F25D3"/>
    <w:rsid w:val="1F911BA8"/>
    <w:rsid w:val="1F941997"/>
    <w:rsid w:val="1F9574BD"/>
    <w:rsid w:val="1F980D5B"/>
    <w:rsid w:val="1FA140B4"/>
    <w:rsid w:val="1FA616CA"/>
    <w:rsid w:val="1FB43DE7"/>
    <w:rsid w:val="1FB62E02"/>
    <w:rsid w:val="1FBA5176"/>
    <w:rsid w:val="1FD7009C"/>
    <w:rsid w:val="1FEA7809"/>
    <w:rsid w:val="1FEB3581"/>
    <w:rsid w:val="1FEE799E"/>
    <w:rsid w:val="1FF266BE"/>
    <w:rsid w:val="200148E1"/>
    <w:rsid w:val="20032679"/>
    <w:rsid w:val="20041C8A"/>
    <w:rsid w:val="2009078B"/>
    <w:rsid w:val="200975F7"/>
    <w:rsid w:val="20191E9C"/>
    <w:rsid w:val="202A22FB"/>
    <w:rsid w:val="202A40A9"/>
    <w:rsid w:val="203767C6"/>
    <w:rsid w:val="203942EC"/>
    <w:rsid w:val="203F5E7C"/>
    <w:rsid w:val="204607B7"/>
    <w:rsid w:val="206D21E8"/>
    <w:rsid w:val="20744B6F"/>
    <w:rsid w:val="2076109D"/>
    <w:rsid w:val="20783067"/>
    <w:rsid w:val="20812A38"/>
    <w:rsid w:val="209B1BE3"/>
    <w:rsid w:val="20A06FFF"/>
    <w:rsid w:val="20AC4ABE"/>
    <w:rsid w:val="20AF45AF"/>
    <w:rsid w:val="20B816B5"/>
    <w:rsid w:val="20C4005A"/>
    <w:rsid w:val="20DB35F6"/>
    <w:rsid w:val="20DF4E94"/>
    <w:rsid w:val="20E701EC"/>
    <w:rsid w:val="20F16975"/>
    <w:rsid w:val="20F3301C"/>
    <w:rsid w:val="2107263D"/>
    <w:rsid w:val="210963B5"/>
    <w:rsid w:val="210E1060"/>
    <w:rsid w:val="211014F1"/>
    <w:rsid w:val="21134B3E"/>
    <w:rsid w:val="211469CB"/>
    <w:rsid w:val="211D59BC"/>
    <w:rsid w:val="211F42DC"/>
    <w:rsid w:val="213E4D66"/>
    <w:rsid w:val="2148549B"/>
    <w:rsid w:val="214A19CD"/>
    <w:rsid w:val="214C5406"/>
    <w:rsid w:val="2152522B"/>
    <w:rsid w:val="21584C46"/>
    <w:rsid w:val="215C4736"/>
    <w:rsid w:val="215D6492"/>
    <w:rsid w:val="21673F69"/>
    <w:rsid w:val="21725D08"/>
    <w:rsid w:val="21731A80"/>
    <w:rsid w:val="217467A4"/>
    <w:rsid w:val="217A696B"/>
    <w:rsid w:val="21863561"/>
    <w:rsid w:val="218872DA"/>
    <w:rsid w:val="21920158"/>
    <w:rsid w:val="21921F06"/>
    <w:rsid w:val="219914E7"/>
    <w:rsid w:val="21A165ED"/>
    <w:rsid w:val="21A659B2"/>
    <w:rsid w:val="21AB3214"/>
    <w:rsid w:val="21B33E55"/>
    <w:rsid w:val="21BE0F4D"/>
    <w:rsid w:val="21D544E9"/>
    <w:rsid w:val="21D97B35"/>
    <w:rsid w:val="21DB76DD"/>
    <w:rsid w:val="21E25749"/>
    <w:rsid w:val="21E36D0C"/>
    <w:rsid w:val="21E85FCA"/>
    <w:rsid w:val="21EB7868"/>
    <w:rsid w:val="21F229A5"/>
    <w:rsid w:val="22053DC1"/>
    <w:rsid w:val="22121299"/>
    <w:rsid w:val="2217240B"/>
    <w:rsid w:val="221768AF"/>
    <w:rsid w:val="221E19EC"/>
    <w:rsid w:val="222F1E4B"/>
    <w:rsid w:val="222F3BF9"/>
    <w:rsid w:val="224111B2"/>
    <w:rsid w:val="224376A4"/>
    <w:rsid w:val="22456F79"/>
    <w:rsid w:val="22511DC1"/>
    <w:rsid w:val="225E1E13"/>
    <w:rsid w:val="226A69DF"/>
    <w:rsid w:val="228A52D3"/>
    <w:rsid w:val="228C104B"/>
    <w:rsid w:val="229D5752"/>
    <w:rsid w:val="229D6DB5"/>
    <w:rsid w:val="22A46395"/>
    <w:rsid w:val="22A87507"/>
    <w:rsid w:val="22AA14D2"/>
    <w:rsid w:val="22AE0FC2"/>
    <w:rsid w:val="22AF0896"/>
    <w:rsid w:val="22B934C3"/>
    <w:rsid w:val="22BA5BB9"/>
    <w:rsid w:val="22C2681B"/>
    <w:rsid w:val="22C95DFC"/>
    <w:rsid w:val="22D92514"/>
    <w:rsid w:val="22E6302E"/>
    <w:rsid w:val="22F866E1"/>
    <w:rsid w:val="22F95FB5"/>
    <w:rsid w:val="22FD3CF7"/>
    <w:rsid w:val="23024E6A"/>
    <w:rsid w:val="23201794"/>
    <w:rsid w:val="232149CB"/>
    <w:rsid w:val="23233C10"/>
    <w:rsid w:val="23250B58"/>
    <w:rsid w:val="233A2855"/>
    <w:rsid w:val="235A4CA6"/>
    <w:rsid w:val="23614286"/>
    <w:rsid w:val="236D2C2B"/>
    <w:rsid w:val="236F3264"/>
    <w:rsid w:val="237044C9"/>
    <w:rsid w:val="237A0EA4"/>
    <w:rsid w:val="238D5344"/>
    <w:rsid w:val="23931F66"/>
    <w:rsid w:val="239E2AAD"/>
    <w:rsid w:val="23A10B26"/>
    <w:rsid w:val="23A36435"/>
    <w:rsid w:val="23A61C99"/>
    <w:rsid w:val="23AC3027"/>
    <w:rsid w:val="23AE0B4E"/>
    <w:rsid w:val="23B720F8"/>
    <w:rsid w:val="23DD452A"/>
    <w:rsid w:val="23F30C56"/>
    <w:rsid w:val="23F83D03"/>
    <w:rsid w:val="24062404"/>
    <w:rsid w:val="240F73B9"/>
    <w:rsid w:val="24170DE9"/>
    <w:rsid w:val="24257F68"/>
    <w:rsid w:val="2432357B"/>
    <w:rsid w:val="24343749"/>
    <w:rsid w:val="24376D95"/>
    <w:rsid w:val="24390D5F"/>
    <w:rsid w:val="24430339"/>
    <w:rsid w:val="2443573A"/>
    <w:rsid w:val="2452597D"/>
    <w:rsid w:val="245711E5"/>
    <w:rsid w:val="245931AF"/>
    <w:rsid w:val="24635DDC"/>
    <w:rsid w:val="246758CC"/>
    <w:rsid w:val="246C2EE2"/>
    <w:rsid w:val="24773635"/>
    <w:rsid w:val="247E2C16"/>
    <w:rsid w:val="247E49C4"/>
    <w:rsid w:val="248D47ED"/>
    <w:rsid w:val="24972EE3"/>
    <w:rsid w:val="249B0CBF"/>
    <w:rsid w:val="24B6415E"/>
    <w:rsid w:val="24C543A1"/>
    <w:rsid w:val="24C83E91"/>
    <w:rsid w:val="24D32F62"/>
    <w:rsid w:val="24D45EF2"/>
    <w:rsid w:val="24EF7670"/>
    <w:rsid w:val="24FB4266"/>
    <w:rsid w:val="24FE7276"/>
    <w:rsid w:val="25090731"/>
    <w:rsid w:val="250C6474"/>
    <w:rsid w:val="25273FA6"/>
    <w:rsid w:val="25341526"/>
    <w:rsid w:val="253A7D86"/>
    <w:rsid w:val="254774AC"/>
    <w:rsid w:val="25493224"/>
    <w:rsid w:val="255B2B29"/>
    <w:rsid w:val="256E4A38"/>
    <w:rsid w:val="25973F8F"/>
    <w:rsid w:val="259C3436"/>
    <w:rsid w:val="259D70CC"/>
    <w:rsid w:val="25A25CAC"/>
    <w:rsid w:val="25AF4F52"/>
    <w:rsid w:val="25CB3C39"/>
    <w:rsid w:val="25D02FFD"/>
    <w:rsid w:val="25D21167"/>
    <w:rsid w:val="25D66AED"/>
    <w:rsid w:val="260333D3"/>
    <w:rsid w:val="260D680E"/>
    <w:rsid w:val="262477ED"/>
    <w:rsid w:val="26347509"/>
    <w:rsid w:val="263537A8"/>
    <w:rsid w:val="263A491A"/>
    <w:rsid w:val="263D55B6"/>
    <w:rsid w:val="26417419"/>
    <w:rsid w:val="26437C73"/>
    <w:rsid w:val="264659B5"/>
    <w:rsid w:val="264D28A0"/>
    <w:rsid w:val="26571970"/>
    <w:rsid w:val="26600825"/>
    <w:rsid w:val="2665408D"/>
    <w:rsid w:val="267C232B"/>
    <w:rsid w:val="2685203A"/>
    <w:rsid w:val="26864004"/>
    <w:rsid w:val="26AF355A"/>
    <w:rsid w:val="26B172D2"/>
    <w:rsid w:val="26BB59F0"/>
    <w:rsid w:val="26C07516"/>
    <w:rsid w:val="26C82FA1"/>
    <w:rsid w:val="26CB1A16"/>
    <w:rsid w:val="26CC1737"/>
    <w:rsid w:val="26CF78A8"/>
    <w:rsid w:val="26DE174A"/>
    <w:rsid w:val="26E31456"/>
    <w:rsid w:val="26E50D2A"/>
    <w:rsid w:val="26FE1DEC"/>
    <w:rsid w:val="27037402"/>
    <w:rsid w:val="270F1490"/>
    <w:rsid w:val="27135897"/>
    <w:rsid w:val="27167136"/>
    <w:rsid w:val="2722776F"/>
    <w:rsid w:val="27315D1D"/>
    <w:rsid w:val="27475541"/>
    <w:rsid w:val="27533EE6"/>
    <w:rsid w:val="27534580"/>
    <w:rsid w:val="27604855"/>
    <w:rsid w:val="27653C19"/>
    <w:rsid w:val="278C0B8E"/>
    <w:rsid w:val="27932534"/>
    <w:rsid w:val="27952750"/>
    <w:rsid w:val="279544FE"/>
    <w:rsid w:val="279A5075"/>
    <w:rsid w:val="27A24E6D"/>
    <w:rsid w:val="27A40BE5"/>
    <w:rsid w:val="27AA74C6"/>
    <w:rsid w:val="27BD3A55"/>
    <w:rsid w:val="27C070A1"/>
    <w:rsid w:val="27CB6172"/>
    <w:rsid w:val="27DD40F7"/>
    <w:rsid w:val="27EB432A"/>
    <w:rsid w:val="27EE3C0E"/>
    <w:rsid w:val="27F54F9D"/>
    <w:rsid w:val="28096C9A"/>
    <w:rsid w:val="280C0423"/>
    <w:rsid w:val="280E3CD6"/>
    <w:rsid w:val="28164F13"/>
    <w:rsid w:val="283B52BD"/>
    <w:rsid w:val="283B7B44"/>
    <w:rsid w:val="284B72B3"/>
    <w:rsid w:val="28500425"/>
    <w:rsid w:val="28551EE0"/>
    <w:rsid w:val="285D2B42"/>
    <w:rsid w:val="28677F46"/>
    <w:rsid w:val="28885E11"/>
    <w:rsid w:val="288F719F"/>
    <w:rsid w:val="2895247D"/>
    <w:rsid w:val="289C7B0E"/>
    <w:rsid w:val="28A30E9D"/>
    <w:rsid w:val="28B135BA"/>
    <w:rsid w:val="28B5297E"/>
    <w:rsid w:val="28C130D1"/>
    <w:rsid w:val="28D56B7C"/>
    <w:rsid w:val="28E15521"/>
    <w:rsid w:val="28EC17CE"/>
    <w:rsid w:val="28F60FCD"/>
    <w:rsid w:val="290A4A78"/>
    <w:rsid w:val="29121B7F"/>
    <w:rsid w:val="2920429C"/>
    <w:rsid w:val="29210904"/>
    <w:rsid w:val="29257B04"/>
    <w:rsid w:val="29310257"/>
    <w:rsid w:val="29323FCF"/>
    <w:rsid w:val="29373393"/>
    <w:rsid w:val="293A0405"/>
    <w:rsid w:val="293B10D5"/>
    <w:rsid w:val="293D6BFB"/>
    <w:rsid w:val="294025BD"/>
    <w:rsid w:val="29565F0F"/>
    <w:rsid w:val="295E4DC4"/>
    <w:rsid w:val="2976054D"/>
    <w:rsid w:val="297812BE"/>
    <w:rsid w:val="297B5976"/>
    <w:rsid w:val="297D0F61"/>
    <w:rsid w:val="297F5466"/>
    <w:rsid w:val="29883BEF"/>
    <w:rsid w:val="298C5FF3"/>
    <w:rsid w:val="298C7B83"/>
    <w:rsid w:val="298F1421"/>
    <w:rsid w:val="299A22A0"/>
    <w:rsid w:val="299A79A5"/>
    <w:rsid w:val="29A21154"/>
    <w:rsid w:val="29A30A29"/>
    <w:rsid w:val="29A547A1"/>
    <w:rsid w:val="29B64203"/>
    <w:rsid w:val="29BA1263"/>
    <w:rsid w:val="29C25353"/>
    <w:rsid w:val="29D11435"/>
    <w:rsid w:val="29D15596"/>
    <w:rsid w:val="29D61491"/>
    <w:rsid w:val="29E67293"/>
    <w:rsid w:val="29F00112"/>
    <w:rsid w:val="29F23CDD"/>
    <w:rsid w:val="29FA4AED"/>
    <w:rsid w:val="2A0B4F4C"/>
    <w:rsid w:val="2A102562"/>
    <w:rsid w:val="2A1200C5"/>
    <w:rsid w:val="2A1B05EA"/>
    <w:rsid w:val="2A4D7312"/>
    <w:rsid w:val="2A5157B7"/>
    <w:rsid w:val="2A6E1037"/>
    <w:rsid w:val="2A726D79"/>
    <w:rsid w:val="2A77438F"/>
    <w:rsid w:val="2A7F0C3A"/>
    <w:rsid w:val="2A7F3244"/>
    <w:rsid w:val="2A81520E"/>
    <w:rsid w:val="2A830F86"/>
    <w:rsid w:val="2A97233B"/>
    <w:rsid w:val="2A9A62D0"/>
    <w:rsid w:val="2AA333D6"/>
    <w:rsid w:val="2AA607D0"/>
    <w:rsid w:val="2AC1385C"/>
    <w:rsid w:val="2AC60E73"/>
    <w:rsid w:val="2ACE1AD5"/>
    <w:rsid w:val="2AD27817"/>
    <w:rsid w:val="2AD4533E"/>
    <w:rsid w:val="2AD7377C"/>
    <w:rsid w:val="2ADC2444"/>
    <w:rsid w:val="2AEB08D9"/>
    <w:rsid w:val="2AF35949"/>
    <w:rsid w:val="2B022A53"/>
    <w:rsid w:val="2B0379D1"/>
    <w:rsid w:val="2B0F6376"/>
    <w:rsid w:val="2B116592"/>
    <w:rsid w:val="2B1438D3"/>
    <w:rsid w:val="2B1A4D1A"/>
    <w:rsid w:val="2B227D8A"/>
    <w:rsid w:val="2B3758CC"/>
    <w:rsid w:val="2B4A1AA4"/>
    <w:rsid w:val="2B4D6E9E"/>
    <w:rsid w:val="2B647B3D"/>
    <w:rsid w:val="2B6C5576"/>
    <w:rsid w:val="2B6D7278"/>
    <w:rsid w:val="2B710DDE"/>
    <w:rsid w:val="2B824D9A"/>
    <w:rsid w:val="2B8F74B6"/>
    <w:rsid w:val="2B9D6077"/>
    <w:rsid w:val="2BAC38A0"/>
    <w:rsid w:val="2BBD2276"/>
    <w:rsid w:val="2BC2163A"/>
    <w:rsid w:val="2BD355F5"/>
    <w:rsid w:val="2BD650E5"/>
    <w:rsid w:val="2BD80E5D"/>
    <w:rsid w:val="2BDA2E28"/>
    <w:rsid w:val="2BE710A1"/>
    <w:rsid w:val="2C0003B4"/>
    <w:rsid w:val="2C043A01"/>
    <w:rsid w:val="2C057779"/>
    <w:rsid w:val="2C136339"/>
    <w:rsid w:val="2C22032B"/>
    <w:rsid w:val="2C22675B"/>
    <w:rsid w:val="2C312A39"/>
    <w:rsid w:val="2C33078A"/>
    <w:rsid w:val="2C3C763E"/>
    <w:rsid w:val="2C412EA7"/>
    <w:rsid w:val="2C5A5D16"/>
    <w:rsid w:val="2C6A7172"/>
    <w:rsid w:val="2C6B1CD2"/>
    <w:rsid w:val="2C754DAB"/>
    <w:rsid w:val="2C787292"/>
    <w:rsid w:val="2C7A3CC3"/>
    <w:rsid w:val="2C803D25"/>
    <w:rsid w:val="2C8043FC"/>
    <w:rsid w:val="2C892158"/>
    <w:rsid w:val="2C8B6FDB"/>
    <w:rsid w:val="2C9C632F"/>
    <w:rsid w:val="2CA56118"/>
    <w:rsid w:val="2CA74A69"/>
    <w:rsid w:val="2CAC34BC"/>
    <w:rsid w:val="2CAE1A8C"/>
    <w:rsid w:val="2CB21FD4"/>
    <w:rsid w:val="2CBE343C"/>
    <w:rsid w:val="2CBF3DCB"/>
    <w:rsid w:val="2CC338BC"/>
    <w:rsid w:val="2CC82C80"/>
    <w:rsid w:val="2CD5539D"/>
    <w:rsid w:val="2CD86C3B"/>
    <w:rsid w:val="2CDE24A4"/>
    <w:rsid w:val="2CDF621C"/>
    <w:rsid w:val="2CEA709A"/>
    <w:rsid w:val="2D053ED4"/>
    <w:rsid w:val="2D142369"/>
    <w:rsid w:val="2D1934DC"/>
    <w:rsid w:val="2D194E5C"/>
    <w:rsid w:val="2D236108"/>
    <w:rsid w:val="2D281971"/>
    <w:rsid w:val="2D2D6F87"/>
    <w:rsid w:val="2D2E420C"/>
    <w:rsid w:val="2D32566A"/>
    <w:rsid w:val="2D482013"/>
    <w:rsid w:val="2D485B6F"/>
    <w:rsid w:val="2D502C75"/>
    <w:rsid w:val="2D6C5D01"/>
    <w:rsid w:val="2D766B80"/>
    <w:rsid w:val="2D8B00C8"/>
    <w:rsid w:val="2DA84860"/>
    <w:rsid w:val="2DA95122"/>
    <w:rsid w:val="2DB43204"/>
    <w:rsid w:val="2DB90714"/>
    <w:rsid w:val="2DCF0DA2"/>
    <w:rsid w:val="2DDD09AD"/>
    <w:rsid w:val="2DE77C1B"/>
    <w:rsid w:val="2DF06932"/>
    <w:rsid w:val="2DF301D1"/>
    <w:rsid w:val="2E0940C9"/>
    <w:rsid w:val="2E1563DF"/>
    <w:rsid w:val="2E2D1998"/>
    <w:rsid w:val="2E4A5917"/>
    <w:rsid w:val="2E4D4369"/>
    <w:rsid w:val="2E5D389C"/>
    <w:rsid w:val="2E5F5866"/>
    <w:rsid w:val="2E644C2A"/>
    <w:rsid w:val="2E7342E5"/>
    <w:rsid w:val="2E7C6418"/>
    <w:rsid w:val="2E7D3F3E"/>
    <w:rsid w:val="2E8C4181"/>
    <w:rsid w:val="2E933762"/>
    <w:rsid w:val="2E95660B"/>
    <w:rsid w:val="2E9C6E95"/>
    <w:rsid w:val="2E9F2106"/>
    <w:rsid w:val="2EA72D69"/>
    <w:rsid w:val="2EB57234"/>
    <w:rsid w:val="2ECE6548"/>
    <w:rsid w:val="2EE267B1"/>
    <w:rsid w:val="2EE443A2"/>
    <w:rsid w:val="2EEE2746"/>
    <w:rsid w:val="2EF44200"/>
    <w:rsid w:val="2EF53AD4"/>
    <w:rsid w:val="2F0B7FB0"/>
    <w:rsid w:val="2F212B1B"/>
    <w:rsid w:val="2F2701B6"/>
    <w:rsid w:val="2F2F5238"/>
    <w:rsid w:val="2F302D5E"/>
    <w:rsid w:val="2F3A1A4A"/>
    <w:rsid w:val="2F3E547B"/>
    <w:rsid w:val="2F3F11F4"/>
    <w:rsid w:val="2F590681"/>
    <w:rsid w:val="2F593EA0"/>
    <w:rsid w:val="2F5A7DDB"/>
    <w:rsid w:val="2F5B30CB"/>
    <w:rsid w:val="2F68699C"/>
    <w:rsid w:val="2F6B1FE9"/>
    <w:rsid w:val="2F6F3887"/>
    <w:rsid w:val="2F713AA3"/>
    <w:rsid w:val="2F7E3ACA"/>
    <w:rsid w:val="2F8A6913"/>
    <w:rsid w:val="2F9E5A1F"/>
    <w:rsid w:val="2FA0158E"/>
    <w:rsid w:val="2FA8323D"/>
    <w:rsid w:val="2FB26576"/>
    <w:rsid w:val="2FB971F8"/>
    <w:rsid w:val="2FBB7F09"/>
    <w:rsid w:val="2FCB01CD"/>
    <w:rsid w:val="2FD7142C"/>
    <w:rsid w:val="2FDD2EE6"/>
    <w:rsid w:val="2FE16A5C"/>
    <w:rsid w:val="2FE808CB"/>
    <w:rsid w:val="2FED502D"/>
    <w:rsid w:val="2FFF65BD"/>
    <w:rsid w:val="30017308"/>
    <w:rsid w:val="30063B76"/>
    <w:rsid w:val="3009232B"/>
    <w:rsid w:val="300A35B0"/>
    <w:rsid w:val="300D4E4E"/>
    <w:rsid w:val="30126D48"/>
    <w:rsid w:val="302428C3"/>
    <w:rsid w:val="302E0AEA"/>
    <w:rsid w:val="30316D8E"/>
    <w:rsid w:val="303351E4"/>
    <w:rsid w:val="303B7C0D"/>
    <w:rsid w:val="30584FEE"/>
    <w:rsid w:val="306B04F2"/>
    <w:rsid w:val="306E71C1"/>
    <w:rsid w:val="307153DD"/>
    <w:rsid w:val="30893C43"/>
    <w:rsid w:val="309061AB"/>
    <w:rsid w:val="30A25EDE"/>
    <w:rsid w:val="30A9726C"/>
    <w:rsid w:val="30B80CAC"/>
    <w:rsid w:val="30BC0D4E"/>
    <w:rsid w:val="30BD6874"/>
    <w:rsid w:val="30C776F3"/>
    <w:rsid w:val="30D51E0F"/>
    <w:rsid w:val="30D836AE"/>
    <w:rsid w:val="30E262DA"/>
    <w:rsid w:val="30E958BB"/>
    <w:rsid w:val="30F7099D"/>
    <w:rsid w:val="30FF6135"/>
    <w:rsid w:val="31061FC9"/>
    <w:rsid w:val="310D5147"/>
    <w:rsid w:val="311957CC"/>
    <w:rsid w:val="311A5A74"/>
    <w:rsid w:val="312863E3"/>
    <w:rsid w:val="312F7772"/>
    <w:rsid w:val="313A3321"/>
    <w:rsid w:val="313C3D20"/>
    <w:rsid w:val="31523460"/>
    <w:rsid w:val="315947EF"/>
    <w:rsid w:val="315D675B"/>
    <w:rsid w:val="3164658E"/>
    <w:rsid w:val="316867E0"/>
    <w:rsid w:val="31692558"/>
    <w:rsid w:val="317167A5"/>
    <w:rsid w:val="31740571"/>
    <w:rsid w:val="317E05C4"/>
    <w:rsid w:val="317E3133"/>
    <w:rsid w:val="318178A1"/>
    <w:rsid w:val="318C4BC4"/>
    <w:rsid w:val="31A16195"/>
    <w:rsid w:val="31A17F44"/>
    <w:rsid w:val="31AC0DC2"/>
    <w:rsid w:val="31D125D7"/>
    <w:rsid w:val="31D2654B"/>
    <w:rsid w:val="31E20151"/>
    <w:rsid w:val="31F44517"/>
    <w:rsid w:val="322070BA"/>
    <w:rsid w:val="32313075"/>
    <w:rsid w:val="32330274"/>
    <w:rsid w:val="323D7C6C"/>
    <w:rsid w:val="32430FFB"/>
    <w:rsid w:val="324348E9"/>
    <w:rsid w:val="324803BF"/>
    <w:rsid w:val="324A05DB"/>
    <w:rsid w:val="324C7EAF"/>
    <w:rsid w:val="324E655B"/>
    <w:rsid w:val="324F174E"/>
    <w:rsid w:val="324F1E45"/>
    <w:rsid w:val="324F5BF1"/>
    <w:rsid w:val="3253071D"/>
    <w:rsid w:val="325437AC"/>
    <w:rsid w:val="325F5E35"/>
    <w:rsid w:val="32672F3B"/>
    <w:rsid w:val="32696ACB"/>
    <w:rsid w:val="327D62BB"/>
    <w:rsid w:val="32867865"/>
    <w:rsid w:val="32987598"/>
    <w:rsid w:val="329E028F"/>
    <w:rsid w:val="32AE0B6A"/>
    <w:rsid w:val="32B37542"/>
    <w:rsid w:val="32BD2B5B"/>
    <w:rsid w:val="32BF2D77"/>
    <w:rsid w:val="32C0264B"/>
    <w:rsid w:val="32C75788"/>
    <w:rsid w:val="32CC1D4A"/>
    <w:rsid w:val="32DA4C19"/>
    <w:rsid w:val="32DE69D8"/>
    <w:rsid w:val="32E20814"/>
    <w:rsid w:val="32EB591A"/>
    <w:rsid w:val="3307027A"/>
    <w:rsid w:val="330969BC"/>
    <w:rsid w:val="330D3AE3"/>
    <w:rsid w:val="3313548D"/>
    <w:rsid w:val="33154745"/>
    <w:rsid w:val="331F3816"/>
    <w:rsid w:val="3320203F"/>
    <w:rsid w:val="33247EDB"/>
    <w:rsid w:val="333077D1"/>
    <w:rsid w:val="33354DE7"/>
    <w:rsid w:val="333A23FE"/>
    <w:rsid w:val="333E4F9D"/>
    <w:rsid w:val="333F17C2"/>
    <w:rsid w:val="3347662A"/>
    <w:rsid w:val="33482D6D"/>
    <w:rsid w:val="334D0383"/>
    <w:rsid w:val="334E7C57"/>
    <w:rsid w:val="3355548A"/>
    <w:rsid w:val="33951EF8"/>
    <w:rsid w:val="339B7340"/>
    <w:rsid w:val="339C4E66"/>
    <w:rsid w:val="33A31D51"/>
    <w:rsid w:val="33A335DC"/>
    <w:rsid w:val="33AD2BD0"/>
    <w:rsid w:val="33AD497E"/>
    <w:rsid w:val="33C341A1"/>
    <w:rsid w:val="33CA3782"/>
    <w:rsid w:val="33D4015C"/>
    <w:rsid w:val="33E34843"/>
    <w:rsid w:val="33E95481"/>
    <w:rsid w:val="33FC5905"/>
    <w:rsid w:val="34056568"/>
    <w:rsid w:val="3434509F"/>
    <w:rsid w:val="34367069"/>
    <w:rsid w:val="344277BC"/>
    <w:rsid w:val="34496D9C"/>
    <w:rsid w:val="345508FD"/>
    <w:rsid w:val="34572B3B"/>
    <w:rsid w:val="345A1F52"/>
    <w:rsid w:val="345B262C"/>
    <w:rsid w:val="346239BA"/>
    <w:rsid w:val="346314E0"/>
    <w:rsid w:val="348F22D5"/>
    <w:rsid w:val="349D49F2"/>
    <w:rsid w:val="349F69BC"/>
    <w:rsid w:val="34A2025B"/>
    <w:rsid w:val="34A94F8C"/>
    <w:rsid w:val="34B27881"/>
    <w:rsid w:val="34B54432"/>
    <w:rsid w:val="34CC177B"/>
    <w:rsid w:val="34D367CB"/>
    <w:rsid w:val="350607E9"/>
    <w:rsid w:val="350C6B72"/>
    <w:rsid w:val="35151DC2"/>
    <w:rsid w:val="35156C7E"/>
    <w:rsid w:val="35167431"/>
    <w:rsid w:val="35213875"/>
    <w:rsid w:val="35223149"/>
    <w:rsid w:val="35262C3A"/>
    <w:rsid w:val="3538296D"/>
    <w:rsid w:val="3540754C"/>
    <w:rsid w:val="354C01C6"/>
    <w:rsid w:val="355F14A0"/>
    <w:rsid w:val="356F7A5D"/>
    <w:rsid w:val="3575596F"/>
    <w:rsid w:val="3575771D"/>
    <w:rsid w:val="357D65D2"/>
    <w:rsid w:val="357E075F"/>
    <w:rsid w:val="357F7F4A"/>
    <w:rsid w:val="3599165E"/>
    <w:rsid w:val="359E222F"/>
    <w:rsid w:val="35A85D44"/>
    <w:rsid w:val="35AC4840"/>
    <w:rsid w:val="35B3528C"/>
    <w:rsid w:val="35B46497"/>
    <w:rsid w:val="35BA7826"/>
    <w:rsid w:val="35C4548A"/>
    <w:rsid w:val="35CD1307"/>
    <w:rsid w:val="35D452FB"/>
    <w:rsid w:val="35EE5151"/>
    <w:rsid w:val="35F04FF6"/>
    <w:rsid w:val="35F5085E"/>
    <w:rsid w:val="35F5260C"/>
    <w:rsid w:val="35FB2318"/>
    <w:rsid w:val="36146F36"/>
    <w:rsid w:val="361E6007"/>
    <w:rsid w:val="362829E1"/>
    <w:rsid w:val="362D4175"/>
    <w:rsid w:val="36323860"/>
    <w:rsid w:val="363323F5"/>
    <w:rsid w:val="36334EF7"/>
    <w:rsid w:val="3641163C"/>
    <w:rsid w:val="364E6D67"/>
    <w:rsid w:val="36585C64"/>
    <w:rsid w:val="365D08DD"/>
    <w:rsid w:val="365D6B2F"/>
    <w:rsid w:val="367D0F7F"/>
    <w:rsid w:val="36877708"/>
    <w:rsid w:val="36880627"/>
    <w:rsid w:val="369037A3"/>
    <w:rsid w:val="369462C9"/>
    <w:rsid w:val="36A27736"/>
    <w:rsid w:val="36A929F9"/>
    <w:rsid w:val="36AE1139"/>
    <w:rsid w:val="36B96B2F"/>
    <w:rsid w:val="36BE6EA2"/>
    <w:rsid w:val="36C721FA"/>
    <w:rsid w:val="36CE3589"/>
    <w:rsid w:val="36D13079"/>
    <w:rsid w:val="36D668E1"/>
    <w:rsid w:val="36EC3A0F"/>
    <w:rsid w:val="36EF34FF"/>
    <w:rsid w:val="36F80606"/>
    <w:rsid w:val="370074BA"/>
    <w:rsid w:val="37113475"/>
    <w:rsid w:val="37173FFC"/>
    <w:rsid w:val="371A6BA6"/>
    <w:rsid w:val="37210F1A"/>
    <w:rsid w:val="37215DAE"/>
    <w:rsid w:val="37380488"/>
    <w:rsid w:val="37461371"/>
    <w:rsid w:val="374E6564"/>
    <w:rsid w:val="375B496F"/>
    <w:rsid w:val="37677539"/>
    <w:rsid w:val="37710608"/>
    <w:rsid w:val="377608D7"/>
    <w:rsid w:val="37797999"/>
    <w:rsid w:val="37841E99"/>
    <w:rsid w:val="378B3228"/>
    <w:rsid w:val="37922808"/>
    <w:rsid w:val="379B5B54"/>
    <w:rsid w:val="379C16BD"/>
    <w:rsid w:val="379F6CD3"/>
    <w:rsid w:val="37B2058C"/>
    <w:rsid w:val="37B87D95"/>
    <w:rsid w:val="37CD3840"/>
    <w:rsid w:val="37DA432A"/>
    <w:rsid w:val="37EB3CC7"/>
    <w:rsid w:val="37F7266B"/>
    <w:rsid w:val="38064FA4"/>
    <w:rsid w:val="380F20AB"/>
    <w:rsid w:val="380F5C07"/>
    <w:rsid w:val="381551E7"/>
    <w:rsid w:val="381F5604"/>
    <w:rsid w:val="38266AD2"/>
    <w:rsid w:val="38277F31"/>
    <w:rsid w:val="38283E32"/>
    <w:rsid w:val="382947EF"/>
    <w:rsid w:val="38371ACC"/>
    <w:rsid w:val="38376F0C"/>
    <w:rsid w:val="383B4C4E"/>
    <w:rsid w:val="384004B6"/>
    <w:rsid w:val="38651CCB"/>
    <w:rsid w:val="38685317"/>
    <w:rsid w:val="386C187C"/>
    <w:rsid w:val="38740160"/>
    <w:rsid w:val="38795776"/>
    <w:rsid w:val="38797524"/>
    <w:rsid w:val="387C6CD3"/>
    <w:rsid w:val="387D5F09"/>
    <w:rsid w:val="389774A4"/>
    <w:rsid w:val="38B05592"/>
    <w:rsid w:val="38C06F01"/>
    <w:rsid w:val="38C74734"/>
    <w:rsid w:val="38CA7D80"/>
    <w:rsid w:val="38CC1D4A"/>
    <w:rsid w:val="38CD2594"/>
    <w:rsid w:val="38D96022"/>
    <w:rsid w:val="39006B4A"/>
    <w:rsid w:val="390810C8"/>
    <w:rsid w:val="39186D3D"/>
    <w:rsid w:val="39216B01"/>
    <w:rsid w:val="39363667"/>
    <w:rsid w:val="394144E6"/>
    <w:rsid w:val="394A2C6F"/>
    <w:rsid w:val="39504729"/>
    <w:rsid w:val="395A08EE"/>
    <w:rsid w:val="395A1104"/>
    <w:rsid w:val="39653C7D"/>
    <w:rsid w:val="39663086"/>
    <w:rsid w:val="39677CC5"/>
    <w:rsid w:val="39736669"/>
    <w:rsid w:val="397B72CC"/>
    <w:rsid w:val="397D1296"/>
    <w:rsid w:val="398048E2"/>
    <w:rsid w:val="3991089E"/>
    <w:rsid w:val="399A7CBE"/>
    <w:rsid w:val="39A139C2"/>
    <w:rsid w:val="39A84565"/>
    <w:rsid w:val="39AA4969"/>
    <w:rsid w:val="39AB7BB1"/>
    <w:rsid w:val="39B527DE"/>
    <w:rsid w:val="39B822CE"/>
    <w:rsid w:val="39B8407C"/>
    <w:rsid w:val="39B9281C"/>
    <w:rsid w:val="39BC268B"/>
    <w:rsid w:val="39CB0253"/>
    <w:rsid w:val="39D54C2E"/>
    <w:rsid w:val="39DA3296"/>
    <w:rsid w:val="39E11825"/>
    <w:rsid w:val="39F01A68"/>
    <w:rsid w:val="39FF1CAB"/>
    <w:rsid w:val="3A0A0D7C"/>
    <w:rsid w:val="3A0A3805"/>
    <w:rsid w:val="3A0E1EEE"/>
    <w:rsid w:val="3A10210A"/>
    <w:rsid w:val="3A1E4827"/>
    <w:rsid w:val="3A266A81"/>
    <w:rsid w:val="3A267238"/>
    <w:rsid w:val="3A296D8E"/>
    <w:rsid w:val="3A2A4F7A"/>
    <w:rsid w:val="3A3D4F53"/>
    <w:rsid w:val="3A4A1178"/>
    <w:rsid w:val="3A4D2A17"/>
    <w:rsid w:val="3A5F2B0F"/>
    <w:rsid w:val="3A6D335B"/>
    <w:rsid w:val="3A6F6E31"/>
    <w:rsid w:val="3A726921"/>
    <w:rsid w:val="3A856654"/>
    <w:rsid w:val="3A8D72B7"/>
    <w:rsid w:val="3A953F23"/>
    <w:rsid w:val="3A9643BE"/>
    <w:rsid w:val="3A976388"/>
    <w:rsid w:val="3AF70BD4"/>
    <w:rsid w:val="3B0D21A6"/>
    <w:rsid w:val="3B143534"/>
    <w:rsid w:val="3B1479D8"/>
    <w:rsid w:val="3B181184"/>
    <w:rsid w:val="3B1E43B3"/>
    <w:rsid w:val="3B1E53B3"/>
    <w:rsid w:val="3B33651B"/>
    <w:rsid w:val="3B35773D"/>
    <w:rsid w:val="3B36794F"/>
    <w:rsid w:val="3B3C3EF3"/>
    <w:rsid w:val="3B3F2CA7"/>
    <w:rsid w:val="3B4262F3"/>
    <w:rsid w:val="3B43343F"/>
    <w:rsid w:val="3B44206B"/>
    <w:rsid w:val="3B5344E9"/>
    <w:rsid w:val="3B5D312D"/>
    <w:rsid w:val="3B6049CB"/>
    <w:rsid w:val="3B617584"/>
    <w:rsid w:val="3B702E61"/>
    <w:rsid w:val="3B7A0AE9"/>
    <w:rsid w:val="3B847696"/>
    <w:rsid w:val="3B883620"/>
    <w:rsid w:val="3B8E5313"/>
    <w:rsid w:val="3B90705F"/>
    <w:rsid w:val="3B950B19"/>
    <w:rsid w:val="3B985F13"/>
    <w:rsid w:val="3B9E5263"/>
    <w:rsid w:val="3BA0301A"/>
    <w:rsid w:val="3BA048E0"/>
    <w:rsid w:val="3BAC19BF"/>
    <w:rsid w:val="3BB15227"/>
    <w:rsid w:val="3BB6283D"/>
    <w:rsid w:val="3BC0349F"/>
    <w:rsid w:val="3BC1546A"/>
    <w:rsid w:val="3BCB0097"/>
    <w:rsid w:val="3BCE7B87"/>
    <w:rsid w:val="3BD553B9"/>
    <w:rsid w:val="3BD80A06"/>
    <w:rsid w:val="3BDA7A57"/>
    <w:rsid w:val="3BDF3B42"/>
    <w:rsid w:val="3BEA3FF0"/>
    <w:rsid w:val="3BF33A92"/>
    <w:rsid w:val="3BF427E6"/>
    <w:rsid w:val="3BFA097C"/>
    <w:rsid w:val="3BFC46F4"/>
    <w:rsid w:val="3C095063"/>
    <w:rsid w:val="3C137C90"/>
    <w:rsid w:val="3C1C0565"/>
    <w:rsid w:val="3C320116"/>
    <w:rsid w:val="3C3420E0"/>
    <w:rsid w:val="3C394A07"/>
    <w:rsid w:val="3C3A6FCB"/>
    <w:rsid w:val="3C4542ED"/>
    <w:rsid w:val="3C4E2A76"/>
    <w:rsid w:val="3C5067EE"/>
    <w:rsid w:val="3C5C33E5"/>
    <w:rsid w:val="3C636420"/>
    <w:rsid w:val="3C875514"/>
    <w:rsid w:val="3C8B5A78"/>
    <w:rsid w:val="3C8D4884"/>
    <w:rsid w:val="3C8D7A42"/>
    <w:rsid w:val="3C9568F7"/>
    <w:rsid w:val="3C9E57AB"/>
    <w:rsid w:val="3CB97EED"/>
    <w:rsid w:val="3CBA010B"/>
    <w:rsid w:val="3CC95DA2"/>
    <w:rsid w:val="3CE21B3C"/>
    <w:rsid w:val="3CE8493B"/>
    <w:rsid w:val="3CF20D59"/>
    <w:rsid w:val="3CF278A5"/>
    <w:rsid w:val="3CF867AB"/>
    <w:rsid w:val="3D076E86"/>
    <w:rsid w:val="3D0777F5"/>
    <w:rsid w:val="3D0E18C9"/>
    <w:rsid w:val="3D0F0457"/>
    <w:rsid w:val="3D107FF9"/>
    <w:rsid w:val="3D143CBF"/>
    <w:rsid w:val="3D1617E6"/>
    <w:rsid w:val="3D2C4384"/>
    <w:rsid w:val="3D2F28A7"/>
    <w:rsid w:val="3D3B124C"/>
    <w:rsid w:val="3D4C3459"/>
    <w:rsid w:val="3D583BAC"/>
    <w:rsid w:val="3D7529B0"/>
    <w:rsid w:val="3D78424E"/>
    <w:rsid w:val="3D7E7B2A"/>
    <w:rsid w:val="3D826E7B"/>
    <w:rsid w:val="3D8C298A"/>
    <w:rsid w:val="3D9F6D2F"/>
    <w:rsid w:val="3DA05C59"/>
    <w:rsid w:val="3DA439C6"/>
    <w:rsid w:val="3DA46DF1"/>
    <w:rsid w:val="3DA711B3"/>
    <w:rsid w:val="3DAE5677"/>
    <w:rsid w:val="3DC54FBA"/>
    <w:rsid w:val="3DC72AE0"/>
    <w:rsid w:val="3DC94AAA"/>
    <w:rsid w:val="3DD07BE6"/>
    <w:rsid w:val="3DDC47DD"/>
    <w:rsid w:val="3DDF7E2A"/>
    <w:rsid w:val="3DE74F30"/>
    <w:rsid w:val="3DEA67CE"/>
    <w:rsid w:val="3DEB4A20"/>
    <w:rsid w:val="3DEF5C1E"/>
    <w:rsid w:val="3E0E02DB"/>
    <w:rsid w:val="3E3E6CD1"/>
    <w:rsid w:val="3E4405D4"/>
    <w:rsid w:val="3E495BEB"/>
    <w:rsid w:val="3E592176"/>
    <w:rsid w:val="3E5A3954"/>
    <w:rsid w:val="3E5C4A42"/>
    <w:rsid w:val="3E5E3444"/>
    <w:rsid w:val="3E6622F9"/>
    <w:rsid w:val="3E817133"/>
    <w:rsid w:val="3E891477"/>
    <w:rsid w:val="3E8B6203"/>
    <w:rsid w:val="3E8D7925"/>
    <w:rsid w:val="3E952BDE"/>
    <w:rsid w:val="3EAD43CC"/>
    <w:rsid w:val="3EB72B54"/>
    <w:rsid w:val="3EC33C3E"/>
    <w:rsid w:val="3ED249D1"/>
    <w:rsid w:val="3ED96F6F"/>
    <w:rsid w:val="3EDB4A95"/>
    <w:rsid w:val="3EE31B9B"/>
    <w:rsid w:val="3EF26958"/>
    <w:rsid w:val="3EF43DA9"/>
    <w:rsid w:val="3EF45B57"/>
    <w:rsid w:val="3EF913BF"/>
    <w:rsid w:val="3F1B7587"/>
    <w:rsid w:val="3F1E1110"/>
    <w:rsid w:val="3F2207F7"/>
    <w:rsid w:val="3F261A88"/>
    <w:rsid w:val="3F310B59"/>
    <w:rsid w:val="3F35513C"/>
    <w:rsid w:val="3F381EE7"/>
    <w:rsid w:val="3F43088C"/>
    <w:rsid w:val="3F47037C"/>
    <w:rsid w:val="3F473ED8"/>
    <w:rsid w:val="3F4967D2"/>
    <w:rsid w:val="3F4B551F"/>
    <w:rsid w:val="3F4D5267"/>
    <w:rsid w:val="3F5D7BA0"/>
    <w:rsid w:val="3F5E7474"/>
    <w:rsid w:val="3F632CDC"/>
    <w:rsid w:val="3F67573F"/>
    <w:rsid w:val="3F7153F9"/>
    <w:rsid w:val="3F80513D"/>
    <w:rsid w:val="3F870779"/>
    <w:rsid w:val="3F8B74A4"/>
    <w:rsid w:val="3F9D1D4A"/>
    <w:rsid w:val="3FA3668F"/>
    <w:rsid w:val="3FC65745"/>
    <w:rsid w:val="3FCA4B09"/>
    <w:rsid w:val="3FCB5E99"/>
    <w:rsid w:val="3FD85478"/>
    <w:rsid w:val="3FDC0668"/>
    <w:rsid w:val="3FE0432D"/>
    <w:rsid w:val="3FE1257F"/>
    <w:rsid w:val="3FE21E53"/>
    <w:rsid w:val="3FEF631E"/>
    <w:rsid w:val="3FF37C19"/>
    <w:rsid w:val="401144E6"/>
    <w:rsid w:val="402045AD"/>
    <w:rsid w:val="402E5098"/>
    <w:rsid w:val="40324B88"/>
    <w:rsid w:val="40387CC5"/>
    <w:rsid w:val="405D772B"/>
    <w:rsid w:val="4061721C"/>
    <w:rsid w:val="40644F5E"/>
    <w:rsid w:val="40646634"/>
    <w:rsid w:val="406805AA"/>
    <w:rsid w:val="406B1E48"/>
    <w:rsid w:val="406B3BF6"/>
    <w:rsid w:val="407A6EB2"/>
    <w:rsid w:val="40905D53"/>
    <w:rsid w:val="409619DD"/>
    <w:rsid w:val="40980764"/>
    <w:rsid w:val="40AC47DC"/>
    <w:rsid w:val="40AE7F87"/>
    <w:rsid w:val="40B57568"/>
    <w:rsid w:val="40BB4B54"/>
    <w:rsid w:val="40C17CBA"/>
    <w:rsid w:val="40C97B9E"/>
    <w:rsid w:val="40CC076D"/>
    <w:rsid w:val="40DE261A"/>
    <w:rsid w:val="40E1035D"/>
    <w:rsid w:val="40E165AE"/>
    <w:rsid w:val="40E8793D"/>
    <w:rsid w:val="40EB4D37"/>
    <w:rsid w:val="40F57964"/>
    <w:rsid w:val="40F8759F"/>
    <w:rsid w:val="40FA31CC"/>
    <w:rsid w:val="410A78B3"/>
    <w:rsid w:val="410F7001"/>
    <w:rsid w:val="41233739"/>
    <w:rsid w:val="4125649B"/>
    <w:rsid w:val="41257D97"/>
    <w:rsid w:val="41265D6F"/>
    <w:rsid w:val="412D35A2"/>
    <w:rsid w:val="41377F7D"/>
    <w:rsid w:val="414601C0"/>
    <w:rsid w:val="41556814"/>
    <w:rsid w:val="415B1EBD"/>
    <w:rsid w:val="4162149D"/>
    <w:rsid w:val="41652D3C"/>
    <w:rsid w:val="41723D8B"/>
    <w:rsid w:val="41841B1C"/>
    <w:rsid w:val="41881A54"/>
    <w:rsid w:val="41961147"/>
    <w:rsid w:val="41A970CC"/>
    <w:rsid w:val="41AF633F"/>
    <w:rsid w:val="41B11ADD"/>
    <w:rsid w:val="41B31CF9"/>
    <w:rsid w:val="41B7260D"/>
    <w:rsid w:val="41C9151C"/>
    <w:rsid w:val="41D35EF7"/>
    <w:rsid w:val="41D74E79"/>
    <w:rsid w:val="41E00614"/>
    <w:rsid w:val="41E023C2"/>
    <w:rsid w:val="41E2438C"/>
    <w:rsid w:val="41E719A3"/>
    <w:rsid w:val="41E81277"/>
    <w:rsid w:val="41EA1493"/>
    <w:rsid w:val="41FA16D6"/>
    <w:rsid w:val="42051549"/>
    <w:rsid w:val="420E58EB"/>
    <w:rsid w:val="42187DAE"/>
    <w:rsid w:val="423544BC"/>
    <w:rsid w:val="4236106E"/>
    <w:rsid w:val="423C1CEE"/>
    <w:rsid w:val="423F17DF"/>
    <w:rsid w:val="42487538"/>
    <w:rsid w:val="424E37D0"/>
    <w:rsid w:val="425012F6"/>
    <w:rsid w:val="4250579A"/>
    <w:rsid w:val="42512B6F"/>
    <w:rsid w:val="42537038"/>
    <w:rsid w:val="425C5EED"/>
    <w:rsid w:val="42607A93"/>
    <w:rsid w:val="4267663F"/>
    <w:rsid w:val="42750D5C"/>
    <w:rsid w:val="4278084D"/>
    <w:rsid w:val="427A6373"/>
    <w:rsid w:val="427F7E2D"/>
    <w:rsid w:val="428216CB"/>
    <w:rsid w:val="428611BC"/>
    <w:rsid w:val="429A34D5"/>
    <w:rsid w:val="429C382E"/>
    <w:rsid w:val="42BC028E"/>
    <w:rsid w:val="42BC2E2F"/>
    <w:rsid w:val="42C972FA"/>
    <w:rsid w:val="42CB6BCE"/>
    <w:rsid w:val="42D00689"/>
    <w:rsid w:val="42D71A17"/>
    <w:rsid w:val="42F36125"/>
    <w:rsid w:val="42F86EFF"/>
    <w:rsid w:val="42F97BDF"/>
    <w:rsid w:val="4309709E"/>
    <w:rsid w:val="43155AE0"/>
    <w:rsid w:val="432277B1"/>
    <w:rsid w:val="43252782"/>
    <w:rsid w:val="43442B3E"/>
    <w:rsid w:val="4346094B"/>
    <w:rsid w:val="434F77FF"/>
    <w:rsid w:val="43525542"/>
    <w:rsid w:val="435A4BCB"/>
    <w:rsid w:val="435C394B"/>
    <w:rsid w:val="435C47D8"/>
    <w:rsid w:val="43657023"/>
    <w:rsid w:val="43754D8C"/>
    <w:rsid w:val="438C0A54"/>
    <w:rsid w:val="438D0328"/>
    <w:rsid w:val="439B2A45"/>
    <w:rsid w:val="439F6C52"/>
    <w:rsid w:val="43AA580A"/>
    <w:rsid w:val="43B12268"/>
    <w:rsid w:val="43B25232"/>
    <w:rsid w:val="43BB30E7"/>
    <w:rsid w:val="43BD24F7"/>
    <w:rsid w:val="43BF6DCD"/>
    <w:rsid w:val="43CF6B92"/>
    <w:rsid w:val="43D85A47"/>
    <w:rsid w:val="43DB5537"/>
    <w:rsid w:val="43E67164"/>
    <w:rsid w:val="43E97C54"/>
    <w:rsid w:val="43EC32A0"/>
    <w:rsid w:val="43F3462F"/>
    <w:rsid w:val="43F6411F"/>
    <w:rsid w:val="43FB1735"/>
    <w:rsid w:val="44095C00"/>
    <w:rsid w:val="4413082D"/>
    <w:rsid w:val="44185E43"/>
    <w:rsid w:val="441F0A36"/>
    <w:rsid w:val="442962A2"/>
    <w:rsid w:val="442B201A"/>
    <w:rsid w:val="44427364"/>
    <w:rsid w:val="44497B7A"/>
    <w:rsid w:val="44515EAE"/>
    <w:rsid w:val="4467501D"/>
    <w:rsid w:val="447F2366"/>
    <w:rsid w:val="448C1378"/>
    <w:rsid w:val="448E07FB"/>
    <w:rsid w:val="44916187"/>
    <w:rsid w:val="44937BC0"/>
    <w:rsid w:val="4497145E"/>
    <w:rsid w:val="449776B0"/>
    <w:rsid w:val="449B49DA"/>
    <w:rsid w:val="44A616A1"/>
    <w:rsid w:val="44A771C7"/>
    <w:rsid w:val="44B33DBE"/>
    <w:rsid w:val="44B6394B"/>
    <w:rsid w:val="44C51D41"/>
    <w:rsid w:val="44C67F95"/>
    <w:rsid w:val="44CB1108"/>
    <w:rsid w:val="44D121F7"/>
    <w:rsid w:val="44DB7FE4"/>
    <w:rsid w:val="44DE4925"/>
    <w:rsid w:val="44E34714"/>
    <w:rsid w:val="44E67CEF"/>
    <w:rsid w:val="4513485D"/>
    <w:rsid w:val="452A7C8A"/>
    <w:rsid w:val="452F5B3A"/>
    <w:rsid w:val="45322F35"/>
    <w:rsid w:val="453379EE"/>
    <w:rsid w:val="453A628D"/>
    <w:rsid w:val="453D0F56"/>
    <w:rsid w:val="454F1D39"/>
    <w:rsid w:val="45596713"/>
    <w:rsid w:val="45605CF4"/>
    <w:rsid w:val="45637592"/>
    <w:rsid w:val="456A0921"/>
    <w:rsid w:val="4577303D"/>
    <w:rsid w:val="458F46CB"/>
    <w:rsid w:val="458F65D9"/>
    <w:rsid w:val="45B147A1"/>
    <w:rsid w:val="45BB73CE"/>
    <w:rsid w:val="45C02C36"/>
    <w:rsid w:val="45CB2253"/>
    <w:rsid w:val="45D87F80"/>
    <w:rsid w:val="45E83F3B"/>
    <w:rsid w:val="45EF0E26"/>
    <w:rsid w:val="460D74FE"/>
    <w:rsid w:val="46116FEE"/>
    <w:rsid w:val="4614088C"/>
    <w:rsid w:val="4627448B"/>
    <w:rsid w:val="462C5BD6"/>
    <w:rsid w:val="463351B6"/>
    <w:rsid w:val="46377DB5"/>
    <w:rsid w:val="463C61C9"/>
    <w:rsid w:val="463D4287"/>
    <w:rsid w:val="46463567"/>
    <w:rsid w:val="464C6278"/>
    <w:rsid w:val="465B3E17"/>
    <w:rsid w:val="466510E8"/>
    <w:rsid w:val="4665558C"/>
    <w:rsid w:val="46690BD8"/>
    <w:rsid w:val="466B2BA2"/>
    <w:rsid w:val="466C06C8"/>
    <w:rsid w:val="46712183"/>
    <w:rsid w:val="467232DF"/>
    <w:rsid w:val="467278F2"/>
    <w:rsid w:val="46893028"/>
    <w:rsid w:val="468C2B19"/>
    <w:rsid w:val="469320F9"/>
    <w:rsid w:val="469B2D5C"/>
    <w:rsid w:val="469C7200"/>
    <w:rsid w:val="46A00372"/>
    <w:rsid w:val="46A41C10"/>
    <w:rsid w:val="46A77952"/>
    <w:rsid w:val="46B04A59"/>
    <w:rsid w:val="46B207D1"/>
    <w:rsid w:val="46C65912"/>
    <w:rsid w:val="46D523A5"/>
    <w:rsid w:val="46F34946"/>
    <w:rsid w:val="46FC0A6C"/>
    <w:rsid w:val="471F4CB7"/>
    <w:rsid w:val="4732227C"/>
    <w:rsid w:val="47332F94"/>
    <w:rsid w:val="473C009B"/>
    <w:rsid w:val="473C62ED"/>
    <w:rsid w:val="4746716B"/>
    <w:rsid w:val="474927B8"/>
    <w:rsid w:val="47495A20"/>
    <w:rsid w:val="474D42B3"/>
    <w:rsid w:val="47723ABC"/>
    <w:rsid w:val="47745A86"/>
    <w:rsid w:val="478101A3"/>
    <w:rsid w:val="479E4A72"/>
    <w:rsid w:val="47A55B07"/>
    <w:rsid w:val="47BC567F"/>
    <w:rsid w:val="47BD6A22"/>
    <w:rsid w:val="47DB3D58"/>
    <w:rsid w:val="47DC362C"/>
    <w:rsid w:val="47E45AC6"/>
    <w:rsid w:val="47E726FC"/>
    <w:rsid w:val="47EA7AF7"/>
    <w:rsid w:val="47F44E19"/>
    <w:rsid w:val="47F60B91"/>
    <w:rsid w:val="47FA1015"/>
    <w:rsid w:val="48014387"/>
    <w:rsid w:val="48082673"/>
    <w:rsid w:val="480D1A37"/>
    <w:rsid w:val="481C1C7A"/>
    <w:rsid w:val="482215FF"/>
    <w:rsid w:val="4823054E"/>
    <w:rsid w:val="4825602A"/>
    <w:rsid w:val="482E032B"/>
    <w:rsid w:val="485338EE"/>
    <w:rsid w:val="48636AD7"/>
    <w:rsid w:val="486C49B0"/>
    <w:rsid w:val="48831CF9"/>
    <w:rsid w:val="48873598"/>
    <w:rsid w:val="489D725F"/>
    <w:rsid w:val="489F2FD7"/>
    <w:rsid w:val="48A04659"/>
    <w:rsid w:val="48BC28A6"/>
    <w:rsid w:val="48CC18F2"/>
    <w:rsid w:val="48CE7418"/>
    <w:rsid w:val="48D34A2F"/>
    <w:rsid w:val="48E10AB0"/>
    <w:rsid w:val="48E72288"/>
    <w:rsid w:val="48F52BF7"/>
    <w:rsid w:val="48F7696F"/>
    <w:rsid w:val="48FA1FBB"/>
    <w:rsid w:val="490270C2"/>
    <w:rsid w:val="49083C3D"/>
    <w:rsid w:val="4910358D"/>
    <w:rsid w:val="4924528A"/>
    <w:rsid w:val="493368FD"/>
    <w:rsid w:val="4944592C"/>
    <w:rsid w:val="4948541D"/>
    <w:rsid w:val="494C3F17"/>
    <w:rsid w:val="49521DF7"/>
    <w:rsid w:val="49647D7D"/>
    <w:rsid w:val="49746212"/>
    <w:rsid w:val="49757894"/>
    <w:rsid w:val="498B03D8"/>
    <w:rsid w:val="498F4DFA"/>
    <w:rsid w:val="49900B72"/>
    <w:rsid w:val="49A81A17"/>
    <w:rsid w:val="49C167BA"/>
    <w:rsid w:val="49C32CF5"/>
    <w:rsid w:val="49CC649E"/>
    <w:rsid w:val="49DC5B65"/>
    <w:rsid w:val="49E62540"/>
    <w:rsid w:val="49F44C5D"/>
    <w:rsid w:val="49F45035"/>
    <w:rsid w:val="49FD1143"/>
    <w:rsid w:val="4A064990"/>
    <w:rsid w:val="4A0B3920"/>
    <w:rsid w:val="4A0D5D1E"/>
    <w:rsid w:val="4A174B4D"/>
    <w:rsid w:val="4A1A5872"/>
    <w:rsid w:val="4A1B668D"/>
    <w:rsid w:val="4A280DAA"/>
    <w:rsid w:val="4A5E2A1E"/>
    <w:rsid w:val="4A677B24"/>
    <w:rsid w:val="4A6B0C41"/>
    <w:rsid w:val="4A761B16"/>
    <w:rsid w:val="4A8C1339"/>
    <w:rsid w:val="4A905977"/>
    <w:rsid w:val="4A985C6B"/>
    <w:rsid w:val="4AA06B93"/>
    <w:rsid w:val="4AB663B6"/>
    <w:rsid w:val="4ABE282C"/>
    <w:rsid w:val="4AC30F79"/>
    <w:rsid w:val="4AC9433B"/>
    <w:rsid w:val="4AD056CA"/>
    <w:rsid w:val="4ADF3C78"/>
    <w:rsid w:val="4AED20BE"/>
    <w:rsid w:val="4B054C48"/>
    <w:rsid w:val="4B11183E"/>
    <w:rsid w:val="4B137364"/>
    <w:rsid w:val="4B1A4B97"/>
    <w:rsid w:val="4B1A6945"/>
    <w:rsid w:val="4B271062"/>
    <w:rsid w:val="4B3519D1"/>
    <w:rsid w:val="4B4E4840"/>
    <w:rsid w:val="4B50680B"/>
    <w:rsid w:val="4B5758A1"/>
    <w:rsid w:val="4B7778F3"/>
    <w:rsid w:val="4B887D52"/>
    <w:rsid w:val="4B895879"/>
    <w:rsid w:val="4B971A57"/>
    <w:rsid w:val="4B9761E7"/>
    <w:rsid w:val="4B9F509C"/>
    <w:rsid w:val="4BA34B8C"/>
    <w:rsid w:val="4BAD77B9"/>
    <w:rsid w:val="4BBF74EC"/>
    <w:rsid w:val="4BEA671C"/>
    <w:rsid w:val="4BF47196"/>
    <w:rsid w:val="4BF929FE"/>
    <w:rsid w:val="4BFC0FE8"/>
    <w:rsid w:val="4BFC24EE"/>
    <w:rsid w:val="4C076645"/>
    <w:rsid w:val="4C1710F2"/>
    <w:rsid w:val="4C1C493F"/>
    <w:rsid w:val="4C1E2465"/>
    <w:rsid w:val="4C246D62"/>
    <w:rsid w:val="4C3D0A93"/>
    <w:rsid w:val="4C40062D"/>
    <w:rsid w:val="4C431ECB"/>
    <w:rsid w:val="4C5A1566"/>
    <w:rsid w:val="4C5C2F8D"/>
    <w:rsid w:val="4C6065D9"/>
    <w:rsid w:val="4C666CE7"/>
    <w:rsid w:val="4C6F0F12"/>
    <w:rsid w:val="4C6F2CC0"/>
    <w:rsid w:val="4C7107E7"/>
    <w:rsid w:val="4C72630D"/>
    <w:rsid w:val="4C765DFD"/>
    <w:rsid w:val="4C786019"/>
    <w:rsid w:val="4CA311D2"/>
    <w:rsid w:val="4CB132D9"/>
    <w:rsid w:val="4CB35B97"/>
    <w:rsid w:val="4CBF00ED"/>
    <w:rsid w:val="4CC4707B"/>
    <w:rsid w:val="4CC528E0"/>
    <w:rsid w:val="4CC76658"/>
    <w:rsid w:val="4CC83045"/>
    <w:rsid w:val="4CD1167F"/>
    <w:rsid w:val="4CD23E2A"/>
    <w:rsid w:val="4CD64AED"/>
    <w:rsid w:val="4CDB2104"/>
    <w:rsid w:val="4CE76CFB"/>
    <w:rsid w:val="4CE92A73"/>
    <w:rsid w:val="4CE94821"/>
    <w:rsid w:val="4CF03E01"/>
    <w:rsid w:val="4CF257EA"/>
    <w:rsid w:val="4CF5766A"/>
    <w:rsid w:val="4CFB09F8"/>
    <w:rsid w:val="4CFD02CC"/>
    <w:rsid w:val="4D13189E"/>
    <w:rsid w:val="4D1A2C2C"/>
    <w:rsid w:val="4D2F41FE"/>
    <w:rsid w:val="4D331F40"/>
    <w:rsid w:val="4D371A30"/>
    <w:rsid w:val="4D486879"/>
    <w:rsid w:val="4D4B0A94"/>
    <w:rsid w:val="4D4D284E"/>
    <w:rsid w:val="4D4E6D7A"/>
    <w:rsid w:val="4D5679DC"/>
    <w:rsid w:val="4D5804D8"/>
    <w:rsid w:val="4D772BED"/>
    <w:rsid w:val="4D7A36CB"/>
    <w:rsid w:val="4D7E765F"/>
    <w:rsid w:val="4D813EC1"/>
    <w:rsid w:val="4D8E53C8"/>
    <w:rsid w:val="4D8E7176"/>
    <w:rsid w:val="4D902EEE"/>
    <w:rsid w:val="4D932B4F"/>
    <w:rsid w:val="4D9351AC"/>
    <w:rsid w:val="4D9C1893"/>
    <w:rsid w:val="4DAE5A6A"/>
    <w:rsid w:val="4DC40DEA"/>
    <w:rsid w:val="4DCD7C9F"/>
    <w:rsid w:val="4DCE6A2D"/>
    <w:rsid w:val="4DD0778F"/>
    <w:rsid w:val="4DED6593"/>
    <w:rsid w:val="4DF74D1B"/>
    <w:rsid w:val="4DFD5DB8"/>
    <w:rsid w:val="4E035DB6"/>
    <w:rsid w:val="4E2448D3"/>
    <w:rsid w:val="4E2509C9"/>
    <w:rsid w:val="4E277CA8"/>
    <w:rsid w:val="4E3450F0"/>
    <w:rsid w:val="4E4D5283"/>
    <w:rsid w:val="4E5E2FEC"/>
    <w:rsid w:val="4E6A1991"/>
    <w:rsid w:val="4E6F6FA8"/>
    <w:rsid w:val="4E7C3473"/>
    <w:rsid w:val="4E8348FE"/>
    <w:rsid w:val="4E9E163B"/>
    <w:rsid w:val="4E9F12A9"/>
    <w:rsid w:val="4EAA6232"/>
    <w:rsid w:val="4EB1136E"/>
    <w:rsid w:val="4EB250E6"/>
    <w:rsid w:val="4EBB21ED"/>
    <w:rsid w:val="4EDD6607"/>
    <w:rsid w:val="4EE90D99"/>
    <w:rsid w:val="4EF13E61"/>
    <w:rsid w:val="4EF67834"/>
    <w:rsid w:val="4F0A0A7E"/>
    <w:rsid w:val="4F147B4F"/>
    <w:rsid w:val="4F1E1B73"/>
    <w:rsid w:val="4F297CD5"/>
    <w:rsid w:val="4F2E2FD8"/>
    <w:rsid w:val="4F477F24"/>
    <w:rsid w:val="4F5B1872"/>
    <w:rsid w:val="4F70158F"/>
    <w:rsid w:val="4F7C5E20"/>
    <w:rsid w:val="4F8D1DDB"/>
    <w:rsid w:val="4F936CC6"/>
    <w:rsid w:val="4F9E6A11"/>
    <w:rsid w:val="4FA90297"/>
    <w:rsid w:val="4FB07878"/>
    <w:rsid w:val="4FB8497E"/>
    <w:rsid w:val="4FC6709B"/>
    <w:rsid w:val="4FC71BA0"/>
    <w:rsid w:val="4FDF63AF"/>
    <w:rsid w:val="4FE614EB"/>
    <w:rsid w:val="4FE94B38"/>
    <w:rsid w:val="4FEE23C0"/>
    <w:rsid w:val="50010F5D"/>
    <w:rsid w:val="50212524"/>
    <w:rsid w:val="502426D2"/>
    <w:rsid w:val="50250266"/>
    <w:rsid w:val="5029091A"/>
    <w:rsid w:val="502A762A"/>
    <w:rsid w:val="503C110B"/>
    <w:rsid w:val="503D7E93"/>
    <w:rsid w:val="50483F54"/>
    <w:rsid w:val="504A73FF"/>
    <w:rsid w:val="50506965"/>
    <w:rsid w:val="505C6EC4"/>
    <w:rsid w:val="507149A6"/>
    <w:rsid w:val="5076286F"/>
    <w:rsid w:val="507C1E50"/>
    <w:rsid w:val="507C775A"/>
    <w:rsid w:val="508F56DF"/>
    <w:rsid w:val="509048BD"/>
    <w:rsid w:val="50A218B6"/>
    <w:rsid w:val="50A70C7B"/>
    <w:rsid w:val="50A849F3"/>
    <w:rsid w:val="50B060E2"/>
    <w:rsid w:val="50B36711"/>
    <w:rsid w:val="50BB4726"/>
    <w:rsid w:val="50BC3FFA"/>
    <w:rsid w:val="50BD62B6"/>
    <w:rsid w:val="50C57353"/>
    <w:rsid w:val="50DA4597"/>
    <w:rsid w:val="50E0418D"/>
    <w:rsid w:val="50E81293"/>
    <w:rsid w:val="50E83041"/>
    <w:rsid w:val="50F25C6E"/>
    <w:rsid w:val="50F908F9"/>
    <w:rsid w:val="510065DD"/>
    <w:rsid w:val="5107796B"/>
    <w:rsid w:val="51134562"/>
    <w:rsid w:val="511E4CB5"/>
    <w:rsid w:val="5124706D"/>
    <w:rsid w:val="512F520F"/>
    <w:rsid w:val="513444D8"/>
    <w:rsid w:val="513F7105"/>
    <w:rsid w:val="514C1822"/>
    <w:rsid w:val="514C385F"/>
    <w:rsid w:val="51516E38"/>
    <w:rsid w:val="51547E24"/>
    <w:rsid w:val="51581F75"/>
    <w:rsid w:val="515B1A65"/>
    <w:rsid w:val="5181498A"/>
    <w:rsid w:val="519B00B4"/>
    <w:rsid w:val="51B2610E"/>
    <w:rsid w:val="51BA2C30"/>
    <w:rsid w:val="51C07B1A"/>
    <w:rsid w:val="51F96F4E"/>
    <w:rsid w:val="52045C59"/>
    <w:rsid w:val="520E2408"/>
    <w:rsid w:val="52132340"/>
    <w:rsid w:val="5224454D"/>
    <w:rsid w:val="522D0189"/>
    <w:rsid w:val="52337450"/>
    <w:rsid w:val="52373A50"/>
    <w:rsid w:val="523C53F3"/>
    <w:rsid w:val="52462715"/>
    <w:rsid w:val="5248023B"/>
    <w:rsid w:val="527903F5"/>
    <w:rsid w:val="52884ADC"/>
    <w:rsid w:val="528C5C43"/>
    <w:rsid w:val="52943481"/>
    <w:rsid w:val="529534B4"/>
    <w:rsid w:val="529A38F1"/>
    <w:rsid w:val="529C40E3"/>
    <w:rsid w:val="52A01E26"/>
    <w:rsid w:val="52A5743C"/>
    <w:rsid w:val="52AF02BB"/>
    <w:rsid w:val="52B04D36"/>
    <w:rsid w:val="52B256B5"/>
    <w:rsid w:val="52BC6534"/>
    <w:rsid w:val="52C06024"/>
    <w:rsid w:val="52C8312A"/>
    <w:rsid w:val="52CB6777"/>
    <w:rsid w:val="52D10231"/>
    <w:rsid w:val="52D63A99"/>
    <w:rsid w:val="52D675F5"/>
    <w:rsid w:val="52E11A7E"/>
    <w:rsid w:val="52E971EF"/>
    <w:rsid w:val="52EC4C3E"/>
    <w:rsid w:val="52F80609"/>
    <w:rsid w:val="52FD61A9"/>
    <w:rsid w:val="52FE6D48"/>
    <w:rsid w:val="53016EFE"/>
    <w:rsid w:val="53073C53"/>
    <w:rsid w:val="530D6275"/>
    <w:rsid w:val="530F71AF"/>
    <w:rsid w:val="532C190B"/>
    <w:rsid w:val="532E5683"/>
    <w:rsid w:val="5338205E"/>
    <w:rsid w:val="533A40F8"/>
    <w:rsid w:val="533F6118"/>
    <w:rsid w:val="53400F13"/>
    <w:rsid w:val="534034E3"/>
    <w:rsid w:val="53566988"/>
    <w:rsid w:val="535D4D1B"/>
    <w:rsid w:val="536B7291"/>
    <w:rsid w:val="537C1D68"/>
    <w:rsid w:val="538416CB"/>
    <w:rsid w:val="538C5F06"/>
    <w:rsid w:val="53A40680"/>
    <w:rsid w:val="53A94D0A"/>
    <w:rsid w:val="53BD2563"/>
    <w:rsid w:val="53C2401E"/>
    <w:rsid w:val="53D8114B"/>
    <w:rsid w:val="53DF072C"/>
    <w:rsid w:val="53E775E0"/>
    <w:rsid w:val="53EB5322"/>
    <w:rsid w:val="53F8359B"/>
    <w:rsid w:val="53FF492A"/>
    <w:rsid w:val="54047A2B"/>
    <w:rsid w:val="540A5703"/>
    <w:rsid w:val="541846EA"/>
    <w:rsid w:val="541A79B6"/>
    <w:rsid w:val="54260108"/>
    <w:rsid w:val="5429409D"/>
    <w:rsid w:val="54316AAD"/>
    <w:rsid w:val="54484523"/>
    <w:rsid w:val="54547399"/>
    <w:rsid w:val="547370C6"/>
    <w:rsid w:val="54751090"/>
    <w:rsid w:val="54813591"/>
    <w:rsid w:val="5483555B"/>
    <w:rsid w:val="54893D5D"/>
    <w:rsid w:val="5492579E"/>
    <w:rsid w:val="5495703C"/>
    <w:rsid w:val="549F414F"/>
    <w:rsid w:val="54AB2D04"/>
    <w:rsid w:val="54BA4CF5"/>
    <w:rsid w:val="54DA0EF3"/>
    <w:rsid w:val="54E16725"/>
    <w:rsid w:val="54EA0988"/>
    <w:rsid w:val="54EA382C"/>
    <w:rsid w:val="54EB4EAE"/>
    <w:rsid w:val="54FB77E7"/>
    <w:rsid w:val="54FC5FEF"/>
    <w:rsid w:val="54FD265E"/>
    <w:rsid w:val="55061CE8"/>
    <w:rsid w:val="550A054A"/>
    <w:rsid w:val="55106F91"/>
    <w:rsid w:val="551E68BF"/>
    <w:rsid w:val="552B5DF4"/>
    <w:rsid w:val="55652EB2"/>
    <w:rsid w:val="557650C0"/>
    <w:rsid w:val="557C32F9"/>
    <w:rsid w:val="558C48E3"/>
    <w:rsid w:val="55924389"/>
    <w:rsid w:val="559334FE"/>
    <w:rsid w:val="55937A20"/>
    <w:rsid w:val="55945546"/>
    <w:rsid w:val="559A316C"/>
    <w:rsid w:val="559A7000"/>
    <w:rsid w:val="559B0682"/>
    <w:rsid w:val="55A0038E"/>
    <w:rsid w:val="55AA4D69"/>
    <w:rsid w:val="55AF412E"/>
    <w:rsid w:val="55BD4A9D"/>
    <w:rsid w:val="55CB5E54"/>
    <w:rsid w:val="55D818D6"/>
    <w:rsid w:val="55DE4049"/>
    <w:rsid w:val="55DF21EA"/>
    <w:rsid w:val="55E069DD"/>
    <w:rsid w:val="55EF09CE"/>
    <w:rsid w:val="55F67FAE"/>
    <w:rsid w:val="55FD133D"/>
    <w:rsid w:val="56336B0D"/>
    <w:rsid w:val="563A60ED"/>
    <w:rsid w:val="563D52F4"/>
    <w:rsid w:val="565562EF"/>
    <w:rsid w:val="565C42B5"/>
    <w:rsid w:val="56674A08"/>
    <w:rsid w:val="567315FF"/>
    <w:rsid w:val="56772E9D"/>
    <w:rsid w:val="567F7FA4"/>
    <w:rsid w:val="568455BA"/>
    <w:rsid w:val="56847368"/>
    <w:rsid w:val="568D0913"/>
    <w:rsid w:val="56982E14"/>
    <w:rsid w:val="569A63F6"/>
    <w:rsid w:val="569F63FD"/>
    <w:rsid w:val="56A25A40"/>
    <w:rsid w:val="56A47A0A"/>
    <w:rsid w:val="56B22127"/>
    <w:rsid w:val="56B54AE7"/>
    <w:rsid w:val="56BC6B02"/>
    <w:rsid w:val="56C22EC4"/>
    <w:rsid w:val="56CB31E9"/>
    <w:rsid w:val="56E10C5F"/>
    <w:rsid w:val="56E85B49"/>
    <w:rsid w:val="57032983"/>
    <w:rsid w:val="572172AD"/>
    <w:rsid w:val="57222FD3"/>
    <w:rsid w:val="572A7F10"/>
    <w:rsid w:val="574D50F9"/>
    <w:rsid w:val="575378B5"/>
    <w:rsid w:val="575A03FE"/>
    <w:rsid w:val="575A774B"/>
    <w:rsid w:val="57603931"/>
    <w:rsid w:val="57646494"/>
    <w:rsid w:val="576553EC"/>
    <w:rsid w:val="576867C3"/>
    <w:rsid w:val="576F3AEF"/>
    <w:rsid w:val="577218B7"/>
    <w:rsid w:val="578D66F1"/>
    <w:rsid w:val="57945CD1"/>
    <w:rsid w:val="579B2BBB"/>
    <w:rsid w:val="57BB500C"/>
    <w:rsid w:val="57D969F9"/>
    <w:rsid w:val="57DB56AE"/>
    <w:rsid w:val="57E5652D"/>
    <w:rsid w:val="57E97DCB"/>
    <w:rsid w:val="57EE53E1"/>
    <w:rsid w:val="57EF1159"/>
    <w:rsid w:val="57F548C0"/>
    <w:rsid w:val="57F85020"/>
    <w:rsid w:val="57F86260"/>
    <w:rsid w:val="57FA1FD8"/>
    <w:rsid w:val="57FF53A4"/>
    <w:rsid w:val="57FF5568"/>
    <w:rsid w:val="58020E8D"/>
    <w:rsid w:val="580469B3"/>
    <w:rsid w:val="580E5A83"/>
    <w:rsid w:val="58117322"/>
    <w:rsid w:val="581666E6"/>
    <w:rsid w:val="583A0626"/>
    <w:rsid w:val="58403763"/>
    <w:rsid w:val="58450D79"/>
    <w:rsid w:val="584A50B0"/>
    <w:rsid w:val="584B45E2"/>
    <w:rsid w:val="584F7BB2"/>
    <w:rsid w:val="58501BF8"/>
    <w:rsid w:val="58515970"/>
    <w:rsid w:val="58527FAB"/>
    <w:rsid w:val="585F1E3B"/>
    <w:rsid w:val="586B4C84"/>
    <w:rsid w:val="58770BF6"/>
    <w:rsid w:val="587D6765"/>
    <w:rsid w:val="58937D37"/>
    <w:rsid w:val="58B101BD"/>
    <w:rsid w:val="58B636C1"/>
    <w:rsid w:val="58B71C77"/>
    <w:rsid w:val="58C12AF6"/>
    <w:rsid w:val="58C46142"/>
    <w:rsid w:val="58D2260D"/>
    <w:rsid w:val="58D81BED"/>
    <w:rsid w:val="58E84C86"/>
    <w:rsid w:val="58E97957"/>
    <w:rsid w:val="58ED38EB"/>
    <w:rsid w:val="58EF353A"/>
    <w:rsid w:val="58FB758C"/>
    <w:rsid w:val="59036C6A"/>
    <w:rsid w:val="590D1897"/>
    <w:rsid w:val="591075D9"/>
    <w:rsid w:val="59197759"/>
    <w:rsid w:val="59205946"/>
    <w:rsid w:val="592117E6"/>
    <w:rsid w:val="592B4413"/>
    <w:rsid w:val="592F3F03"/>
    <w:rsid w:val="593006C8"/>
    <w:rsid w:val="593F3A1A"/>
    <w:rsid w:val="5947124D"/>
    <w:rsid w:val="59480B21"/>
    <w:rsid w:val="594A4899"/>
    <w:rsid w:val="595F64B7"/>
    <w:rsid w:val="596516D3"/>
    <w:rsid w:val="59676172"/>
    <w:rsid w:val="59725B9E"/>
    <w:rsid w:val="597724C1"/>
    <w:rsid w:val="59822285"/>
    <w:rsid w:val="59836B47"/>
    <w:rsid w:val="599E4BE5"/>
    <w:rsid w:val="599F37FD"/>
    <w:rsid w:val="59A3044D"/>
    <w:rsid w:val="59A321FB"/>
    <w:rsid w:val="59B2243E"/>
    <w:rsid w:val="59B85CA7"/>
    <w:rsid w:val="59B95834"/>
    <w:rsid w:val="59BA0072"/>
    <w:rsid w:val="59BE0DE3"/>
    <w:rsid w:val="59CA59DA"/>
    <w:rsid w:val="59CA7788"/>
    <w:rsid w:val="59D70DF6"/>
    <w:rsid w:val="59DD7A81"/>
    <w:rsid w:val="59EC76FE"/>
    <w:rsid w:val="59EF71EF"/>
    <w:rsid w:val="59F20A8D"/>
    <w:rsid w:val="59F46672"/>
    <w:rsid w:val="59F82547"/>
    <w:rsid w:val="59F842F5"/>
    <w:rsid w:val="59FC654F"/>
    <w:rsid w:val="59FE7432"/>
    <w:rsid w:val="5A0A4028"/>
    <w:rsid w:val="5A184997"/>
    <w:rsid w:val="5A186745"/>
    <w:rsid w:val="5A290952"/>
    <w:rsid w:val="5A4C41C4"/>
    <w:rsid w:val="5A586636"/>
    <w:rsid w:val="5A5A352C"/>
    <w:rsid w:val="5A70032F"/>
    <w:rsid w:val="5A7476F4"/>
    <w:rsid w:val="5A8262B5"/>
    <w:rsid w:val="5A8C2C8F"/>
    <w:rsid w:val="5A90452E"/>
    <w:rsid w:val="5A951B44"/>
    <w:rsid w:val="5A957D96"/>
    <w:rsid w:val="5A9A0A6B"/>
    <w:rsid w:val="5AB53F94"/>
    <w:rsid w:val="5AB71A6B"/>
    <w:rsid w:val="5AB83A84"/>
    <w:rsid w:val="5ABA76CD"/>
    <w:rsid w:val="5AC02939"/>
    <w:rsid w:val="5AC97A40"/>
    <w:rsid w:val="5ACB22C3"/>
    <w:rsid w:val="5AD862C2"/>
    <w:rsid w:val="5AE66844"/>
    <w:rsid w:val="5AF945A4"/>
    <w:rsid w:val="5AF96577"/>
    <w:rsid w:val="5B0B0058"/>
    <w:rsid w:val="5B1316AD"/>
    <w:rsid w:val="5B1419A0"/>
    <w:rsid w:val="5B1F0E6B"/>
    <w:rsid w:val="5B1F3B03"/>
    <w:rsid w:val="5B2335F4"/>
    <w:rsid w:val="5B322F5E"/>
    <w:rsid w:val="5B4A5024"/>
    <w:rsid w:val="5B61411C"/>
    <w:rsid w:val="5B726D1D"/>
    <w:rsid w:val="5B735536"/>
    <w:rsid w:val="5B7B3430"/>
    <w:rsid w:val="5B7F45A2"/>
    <w:rsid w:val="5B823826"/>
    <w:rsid w:val="5BB16E51"/>
    <w:rsid w:val="5BB64468"/>
    <w:rsid w:val="5BB97AB4"/>
    <w:rsid w:val="5BC50226"/>
    <w:rsid w:val="5BCB3FDF"/>
    <w:rsid w:val="5BCD5541"/>
    <w:rsid w:val="5BD53192"/>
    <w:rsid w:val="5BDE39BF"/>
    <w:rsid w:val="5BDE576D"/>
    <w:rsid w:val="5BE508A9"/>
    <w:rsid w:val="5BE54D4D"/>
    <w:rsid w:val="5BF40AEC"/>
    <w:rsid w:val="5BF67809"/>
    <w:rsid w:val="5C0009AC"/>
    <w:rsid w:val="5C003935"/>
    <w:rsid w:val="5C0151D1"/>
    <w:rsid w:val="5C0C22DA"/>
    <w:rsid w:val="5C1F025F"/>
    <w:rsid w:val="5C2A09B2"/>
    <w:rsid w:val="5C36109E"/>
    <w:rsid w:val="5C3E7FB9"/>
    <w:rsid w:val="5C3F445D"/>
    <w:rsid w:val="5C451348"/>
    <w:rsid w:val="5C480E38"/>
    <w:rsid w:val="5C563555"/>
    <w:rsid w:val="5C583771"/>
    <w:rsid w:val="5C5958C8"/>
    <w:rsid w:val="5C5F68AD"/>
    <w:rsid w:val="5C653E6B"/>
    <w:rsid w:val="5C757E7F"/>
    <w:rsid w:val="5C841E70"/>
    <w:rsid w:val="5C8A1451"/>
    <w:rsid w:val="5C9B540C"/>
    <w:rsid w:val="5C9C18B0"/>
    <w:rsid w:val="5C9D1184"/>
    <w:rsid w:val="5CA53E91"/>
    <w:rsid w:val="5CA72002"/>
    <w:rsid w:val="5CAF2C65"/>
    <w:rsid w:val="5CB07109"/>
    <w:rsid w:val="5CBD5382"/>
    <w:rsid w:val="5CC11316"/>
    <w:rsid w:val="5CD13199"/>
    <w:rsid w:val="5CE24DE9"/>
    <w:rsid w:val="5CE46A2F"/>
    <w:rsid w:val="5CED3EB9"/>
    <w:rsid w:val="5CF81F43"/>
    <w:rsid w:val="5CFA4828"/>
    <w:rsid w:val="5CFC234E"/>
    <w:rsid w:val="5CFE5EA8"/>
    <w:rsid w:val="5D063D09"/>
    <w:rsid w:val="5D066D29"/>
    <w:rsid w:val="5D0F6595"/>
    <w:rsid w:val="5D1256CE"/>
    <w:rsid w:val="5D192F00"/>
    <w:rsid w:val="5D1E0517"/>
    <w:rsid w:val="5D3715D8"/>
    <w:rsid w:val="5D396252"/>
    <w:rsid w:val="5D3C099D"/>
    <w:rsid w:val="5D3C274B"/>
    <w:rsid w:val="5D3C6BEF"/>
    <w:rsid w:val="5D5061F6"/>
    <w:rsid w:val="5D584A47"/>
    <w:rsid w:val="5D5959A6"/>
    <w:rsid w:val="5D6121B1"/>
    <w:rsid w:val="5D665A1A"/>
    <w:rsid w:val="5D6D056A"/>
    <w:rsid w:val="5D720123"/>
    <w:rsid w:val="5D8030A5"/>
    <w:rsid w:val="5D8B58F7"/>
    <w:rsid w:val="5D9C143B"/>
    <w:rsid w:val="5DA16A52"/>
    <w:rsid w:val="5DA6050C"/>
    <w:rsid w:val="5DB42C29"/>
    <w:rsid w:val="5DB9023F"/>
    <w:rsid w:val="5DD1318C"/>
    <w:rsid w:val="5DDA6E15"/>
    <w:rsid w:val="5DDA70C6"/>
    <w:rsid w:val="5DE3706A"/>
    <w:rsid w:val="5DE66B5A"/>
    <w:rsid w:val="5DE9049B"/>
    <w:rsid w:val="5DEB5F1F"/>
    <w:rsid w:val="5DEC46B7"/>
    <w:rsid w:val="5DFE3EA4"/>
    <w:rsid w:val="5E082F75"/>
    <w:rsid w:val="5E36363E"/>
    <w:rsid w:val="5E451AD3"/>
    <w:rsid w:val="5E4958B0"/>
    <w:rsid w:val="5E512226"/>
    <w:rsid w:val="5E513E2B"/>
    <w:rsid w:val="5E6261E1"/>
    <w:rsid w:val="5E6A153A"/>
    <w:rsid w:val="5E736640"/>
    <w:rsid w:val="5E767EDE"/>
    <w:rsid w:val="5E7B3747"/>
    <w:rsid w:val="5E895E64"/>
    <w:rsid w:val="5E8B544C"/>
    <w:rsid w:val="5E99597B"/>
    <w:rsid w:val="5E9D546B"/>
    <w:rsid w:val="5EA4274E"/>
    <w:rsid w:val="5EAE6EA2"/>
    <w:rsid w:val="5EC724E8"/>
    <w:rsid w:val="5ECC3AB8"/>
    <w:rsid w:val="5EDC4304"/>
    <w:rsid w:val="5EDD61AF"/>
    <w:rsid w:val="5EE15E62"/>
    <w:rsid w:val="5EEE3F19"/>
    <w:rsid w:val="5EF157B7"/>
    <w:rsid w:val="5EFD0600"/>
    <w:rsid w:val="5F0E6B03"/>
    <w:rsid w:val="5F217E4A"/>
    <w:rsid w:val="5F230BC9"/>
    <w:rsid w:val="5F426012"/>
    <w:rsid w:val="5F441D8B"/>
    <w:rsid w:val="5F4678B1"/>
    <w:rsid w:val="5F473B2B"/>
    <w:rsid w:val="5F4E2C09"/>
    <w:rsid w:val="5F605F9A"/>
    <w:rsid w:val="5F61293D"/>
    <w:rsid w:val="5F6146EB"/>
    <w:rsid w:val="5F622211"/>
    <w:rsid w:val="5F70492E"/>
    <w:rsid w:val="5F7268F8"/>
    <w:rsid w:val="5F8108E9"/>
    <w:rsid w:val="5F814D8D"/>
    <w:rsid w:val="5F93061C"/>
    <w:rsid w:val="5F954394"/>
    <w:rsid w:val="5F962C10"/>
    <w:rsid w:val="5F990328"/>
    <w:rsid w:val="5FA32F55"/>
    <w:rsid w:val="5FA45BA7"/>
    <w:rsid w:val="5FB23198"/>
    <w:rsid w:val="5FB94527"/>
    <w:rsid w:val="5FC35B9F"/>
    <w:rsid w:val="5FC37153"/>
    <w:rsid w:val="5FCC6E13"/>
    <w:rsid w:val="5FCD3B2E"/>
    <w:rsid w:val="5FEB2206"/>
    <w:rsid w:val="5FED2422"/>
    <w:rsid w:val="5FF23595"/>
    <w:rsid w:val="5FF3766A"/>
    <w:rsid w:val="5FFC2665"/>
    <w:rsid w:val="6005776C"/>
    <w:rsid w:val="603242D9"/>
    <w:rsid w:val="603F6F23"/>
    <w:rsid w:val="604162CA"/>
    <w:rsid w:val="60427649"/>
    <w:rsid w:val="604638E0"/>
    <w:rsid w:val="60545FFD"/>
    <w:rsid w:val="605D0C05"/>
    <w:rsid w:val="605D3104"/>
    <w:rsid w:val="606721D5"/>
    <w:rsid w:val="606F2E37"/>
    <w:rsid w:val="60803296"/>
    <w:rsid w:val="608A3A2F"/>
    <w:rsid w:val="608E59B3"/>
    <w:rsid w:val="60916EBE"/>
    <w:rsid w:val="609B00D0"/>
    <w:rsid w:val="609D79A4"/>
    <w:rsid w:val="60A24FBB"/>
    <w:rsid w:val="60AF76D8"/>
    <w:rsid w:val="60B52758"/>
    <w:rsid w:val="60C2466F"/>
    <w:rsid w:val="60C2565D"/>
    <w:rsid w:val="60CA2662"/>
    <w:rsid w:val="60E04F50"/>
    <w:rsid w:val="611759A9"/>
    <w:rsid w:val="611C2FBF"/>
    <w:rsid w:val="61204131"/>
    <w:rsid w:val="61271964"/>
    <w:rsid w:val="612C0D28"/>
    <w:rsid w:val="61391170"/>
    <w:rsid w:val="61453B98"/>
    <w:rsid w:val="615A3AE7"/>
    <w:rsid w:val="615E35D8"/>
    <w:rsid w:val="61657696"/>
    <w:rsid w:val="6168596C"/>
    <w:rsid w:val="617C3A5E"/>
    <w:rsid w:val="61840B64"/>
    <w:rsid w:val="619568CD"/>
    <w:rsid w:val="61970898"/>
    <w:rsid w:val="619A3EE4"/>
    <w:rsid w:val="61A15272"/>
    <w:rsid w:val="61A30FEA"/>
    <w:rsid w:val="61AC7224"/>
    <w:rsid w:val="61CF0031"/>
    <w:rsid w:val="61D03DA9"/>
    <w:rsid w:val="61D22356"/>
    <w:rsid w:val="61D92C5E"/>
    <w:rsid w:val="61E26443"/>
    <w:rsid w:val="61F71B97"/>
    <w:rsid w:val="62022F83"/>
    <w:rsid w:val="62031A89"/>
    <w:rsid w:val="62046DAA"/>
    <w:rsid w:val="620F3203"/>
    <w:rsid w:val="62436F12"/>
    <w:rsid w:val="6245446B"/>
    <w:rsid w:val="624D0F56"/>
    <w:rsid w:val="624D49DE"/>
    <w:rsid w:val="625978FB"/>
    <w:rsid w:val="625C0D21"/>
    <w:rsid w:val="62692FCC"/>
    <w:rsid w:val="626F35C2"/>
    <w:rsid w:val="627D22DF"/>
    <w:rsid w:val="627D62A0"/>
    <w:rsid w:val="628129F0"/>
    <w:rsid w:val="62860B3E"/>
    <w:rsid w:val="62A0552A"/>
    <w:rsid w:val="62B2525D"/>
    <w:rsid w:val="62C531E2"/>
    <w:rsid w:val="62D11B87"/>
    <w:rsid w:val="62D41677"/>
    <w:rsid w:val="62D90A3C"/>
    <w:rsid w:val="62DB0C58"/>
    <w:rsid w:val="62DB5DE4"/>
    <w:rsid w:val="62E02800"/>
    <w:rsid w:val="62E73159"/>
    <w:rsid w:val="62FE4D81"/>
    <w:rsid w:val="631F28F3"/>
    <w:rsid w:val="63273E9D"/>
    <w:rsid w:val="632A1297"/>
    <w:rsid w:val="63336109"/>
    <w:rsid w:val="63500CFE"/>
    <w:rsid w:val="63506F50"/>
    <w:rsid w:val="635C2524"/>
    <w:rsid w:val="63666773"/>
    <w:rsid w:val="636B3D8A"/>
    <w:rsid w:val="636E73D6"/>
    <w:rsid w:val="63745746"/>
    <w:rsid w:val="637C5F97"/>
    <w:rsid w:val="637D1D0F"/>
    <w:rsid w:val="638D707F"/>
    <w:rsid w:val="63A23E91"/>
    <w:rsid w:val="63AB062A"/>
    <w:rsid w:val="63AB3AFB"/>
    <w:rsid w:val="63BB75EA"/>
    <w:rsid w:val="63C33BC6"/>
    <w:rsid w:val="63C60FC0"/>
    <w:rsid w:val="63CC4651"/>
    <w:rsid w:val="63E15DFA"/>
    <w:rsid w:val="63E356AC"/>
    <w:rsid w:val="63E36016"/>
    <w:rsid w:val="63F0603D"/>
    <w:rsid w:val="64041AE8"/>
    <w:rsid w:val="64073CB6"/>
    <w:rsid w:val="640C6BCC"/>
    <w:rsid w:val="64143FA1"/>
    <w:rsid w:val="641F4B74"/>
    <w:rsid w:val="64395C36"/>
    <w:rsid w:val="643C74D4"/>
    <w:rsid w:val="64412D3D"/>
    <w:rsid w:val="644A1BF1"/>
    <w:rsid w:val="646507D9"/>
    <w:rsid w:val="646B11DF"/>
    <w:rsid w:val="646D58E0"/>
    <w:rsid w:val="646F3406"/>
    <w:rsid w:val="6477675E"/>
    <w:rsid w:val="6486074F"/>
    <w:rsid w:val="64A31301"/>
    <w:rsid w:val="64B21544"/>
    <w:rsid w:val="64B61035"/>
    <w:rsid w:val="64CC0858"/>
    <w:rsid w:val="64DE058B"/>
    <w:rsid w:val="64E35BA2"/>
    <w:rsid w:val="64E738E4"/>
    <w:rsid w:val="64EF072B"/>
    <w:rsid w:val="64F1206D"/>
    <w:rsid w:val="64F14763"/>
    <w:rsid w:val="64FB113D"/>
    <w:rsid w:val="6502427A"/>
    <w:rsid w:val="650E128B"/>
    <w:rsid w:val="650E70C3"/>
    <w:rsid w:val="65154BC1"/>
    <w:rsid w:val="65183A9D"/>
    <w:rsid w:val="651D78EC"/>
    <w:rsid w:val="651F4C2C"/>
    <w:rsid w:val="65242442"/>
    <w:rsid w:val="65273CE0"/>
    <w:rsid w:val="652E0D3C"/>
    <w:rsid w:val="65366619"/>
    <w:rsid w:val="6562740E"/>
    <w:rsid w:val="65674A25"/>
    <w:rsid w:val="656942F9"/>
    <w:rsid w:val="65694391"/>
    <w:rsid w:val="657131AE"/>
    <w:rsid w:val="65801643"/>
    <w:rsid w:val="65847385"/>
    <w:rsid w:val="658A639C"/>
    <w:rsid w:val="65913850"/>
    <w:rsid w:val="65931376"/>
    <w:rsid w:val="65A11CE5"/>
    <w:rsid w:val="65B23EF2"/>
    <w:rsid w:val="65B31A18"/>
    <w:rsid w:val="65B431E5"/>
    <w:rsid w:val="65BD4645"/>
    <w:rsid w:val="65C168CA"/>
    <w:rsid w:val="65C77271"/>
    <w:rsid w:val="65D0781C"/>
    <w:rsid w:val="65D75707"/>
    <w:rsid w:val="65D8322D"/>
    <w:rsid w:val="65E63B9C"/>
    <w:rsid w:val="65E73470"/>
    <w:rsid w:val="65EC0A86"/>
    <w:rsid w:val="65F8742B"/>
    <w:rsid w:val="660109D5"/>
    <w:rsid w:val="660F30F2"/>
    <w:rsid w:val="66101DFA"/>
    <w:rsid w:val="661E1587"/>
    <w:rsid w:val="66254192"/>
    <w:rsid w:val="66285F62"/>
    <w:rsid w:val="66303069"/>
    <w:rsid w:val="66465D2D"/>
    <w:rsid w:val="66502142"/>
    <w:rsid w:val="66536218"/>
    <w:rsid w:val="66540B05"/>
    <w:rsid w:val="665C3E5E"/>
    <w:rsid w:val="665C4848"/>
    <w:rsid w:val="6660394E"/>
    <w:rsid w:val="66650F64"/>
    <w:rsid w:val="66707909"/>
    <w:rsid w:val="667422FB"/>
    <w:rsid w:val="667A42E4"/>
    <w:rsid w:val="66860EDB"/>
    <w:rsid w:val="66884C53"/>
    <w:rsid w:val="668D04BB"/>
    <w:rsid w:val="669C20C8"/>
    <w:rsid w:val="669F0140"/>
    <w:rsid w:val="66B912B0"/>
    <w:rsid w:val="66BC48FC"/>
    <w:rsid w:val="66BD7ED9"/>
    <w:rsid w:val="66CC0FE3"/>
    <w:rsid w:val="66CF2882"/>
    <w:rsid w:val="66D659BE"/>
    <w:rsid w:val="66D954AE"/>
    <w:rsid w:val="66E75E1D"/>
    <w:rsid w:val="66EA76BB"/>
    <w:rsid w:val="66EF082E"/>
    <w:rsid w:val="66F5177A"/>
    <w:rsid w:val="66F978FF"/>
    <w:rsid w:val="66FB2AAF"/>
    <w:rsid w:val="66FD73EF"/>
    <w:rsid w:val="670C5884"/>
    <w:rsid w:val="67152E2B"/>
    <w:rsid w:val="6716400D"/>
    <w:rsid w:val="672A6364"/>
    <w:rsid w:val="672A7AB8"/>
    <w:rsid w:val="672C7CD4"/>
    <w:rsid w:val="67386679"/>
    <w:rsid w:val="67456600"/>
    <w:rsid w:val="676236F6"/>
    <w:rsid w:val="67765C92"/>
    <w:rsid w:val="678056D4"/>
    <w:rsid w:val="679A2E90"/>
    <w:rsid w:val="679A3784"/>
    <w:rsid w:val="679F4002"/>
    <w:rsid w:val="67AA0D17"/>
    <w:rsid w:val="67B22418"/>
    <w:rsid w:val="67B33F51"/>
    <w:rsid w:val="67B41816"/>
    <w:rsid w:val="67B57CC9"/>
    <w:rsid w:val="67D839B8"/>
    <w:rsid w:val="67F02AB0"/>
    <w:rsid w:val="67F87BB6"/>
    <w:rsid w:val="67FD1E64"/>
    <w:rsid w:val="68012F0F"/>
    <w:rsid w:val="682E182A"/>
    <w:rsid w:val="6832198B"/>
    <w:rsid w:val="68330BEE"/>
    <w:rsid w:val="68437083"/>
    <w:rsid w:val="6844104D"/>
    <w:rsid w:val="6848469A"/>
    <w:rsid w:val="684D7F02"/>
    <w:rsid w:val="685C1EF3"/>
    <w:rsid w:val="687920A3"/>
    <w:rsid w:val="68866F70"/>
    <w:rsid w:val="688E13C2"/>
    <w:rsid w:val="68A5389A"/>
    <w:rsid w:val="68A67612"/>
    <w:rsid w:val="68AB2E7A"/>
    <w:rsid w:val="68CD2DF1"/>
    <w:rsid w:val="68D528AE"/>
    <w:rsid w:val="68DB550E"/>
    <w:rsid w:val="68DE3A82"/>
    <w:rsid w:val="68DE6DAC"/>
    <w:rsid w:val="68ED6FEF"/>
    <w:rsid w:val="68ED7DC4"/>
    <w:rsid w:val="68EF2D67"/>
    <w:rsid w:val="68FE744E"/>
    <w:rsid w:val="68FF0055"/>
    <w:rsid w:val="691722BE"/>
    <w:rsid w:val="69180510"/>
    <w:rsid w:val="691C1682"/>
    <w:rsid w:val="691D5B26"/>
    <w:rsid w:val="691E189E"/>
    <w:rsid w:val="69230C63"/>
    <w:rsid w:val="692E7D33"/>
    <w:rsid w:val="693764BC"/>
    <w:rsid w:val="693C3AD3"/>
    <w:rsid w:val="694035C3"/>
    <w:rsid w:val="6945507D"/>
    <w:rsid w:val="69472BA3"/>
    <w:rsid w:val="69690D6B"/>
    <w:rsid w:val="69735746"/>
    <w:rsid w:val="6976144B"/>
    <w:rsid w:val="69813B91"/>
    <w:rsid w:val="69912070"/>
    <w:rsid w:val="6994390F"/>
    <w:rsid w:val="699658D9"/>
    <w:rsid w:val="699F0A60"/>
    <w:rsid w:val="699F653B"/>
    <w:rsid w:val="69A00505"/>
    <w:rsid w:val="69A70094"/>
    <w:rsid w:val="69B530A7"/>
    <w:rsid w:val="69BE2712"/>
    <w:rsid w:val="69BE2E51"/>
    <w:rsid w:val="69C2222A"/>
    <w:rsid w:val="69E71C90"/>
    <w:rsid w:val="69F04FE9"/>
    <w:rsid w:val="6A004944"/>
    <w:rsid w:val="6A0A1434"/>
    <w:rsid w:val="6A102F95"/>
    <w:rsid w:val="6A18009C"/>
    <w:rsid w:val="6A1D00FB"/>
    <w:rsid w:val="6A303043"/>
    <w:rsid w:val="6A331379"/>
    <w:rsid w:val="6A356EA0"/>
    <w:rsid w:val="6A38073E"/>
    <w:rsid w:val="6A3D5D54"/>
    <w:rsid w:val="6A4B0471"/>
    <w:rsid w:val="6A5A06B4"/>
    <w:rsid w:val="6A5D01A4"/>
    <w:rsid w:val="6A5F5CCB"/>
    <w:rsid w:val="6A6652AB"/>
    <w:rsid w:val="6A6E4160"/>
    <w:rsid w:val="6A771C2C"/>
    <w:rsid w:val="6A7B723E"/>
    <w:rsid w:val="6A7E25F5"/>
    <w:rsid w:val="6A89333E"/>
    <w:rsid w:val="6A8A28EE"/>
    <w:rsid w:val="6A920310"/>
    <w:rsid w:val="6A933BC6"/>
    <w:rsid w:val="6AA67D9D"/>
    <w:rsid w:val="6AB06526"/>
    <w:rsid w:val="6AC65D4A"/>
    <w:rsid w:val="6ACA583A"/>
    <w:rsid w:val="6AD34175"/>
    <w:rsid w:val="6AEA6B50"/>
    <w:rsid w:val="6AEB57B0"/>
    <w:rsid w:val="6AEC2279"/>
    <w:rsid w:val="6AF9611F"/>
    <w:rsid w:val="6AFE54E3"/>
    <w:rsid w:val="6B2C02A3"/>
    <w:rsid w:val="6B3158B9"/>
    <w:rsid w:val="6B3B748B"/>
    <w:rsid w:val="6B3C600C"/>
    <w:rsid w:val="6B3C7DBA"/>
    <w:rsid w:val="6B4A0729"/>
    <w:rsid w:val="6B4E24B7"/>
    <w:rsid w:val="6B5359D4"/>
    <w:rsid w:val="6B5415A7"/>
    <w:rsid w:val="6B5B2936"/>
    <w:rsid w:val="6B5C50EF"/>
    <w:rsid w:val="6B5F6F8D"/>
    <w:rsid w:val="6B686E01"/>
    <w:rsid w:val="6B76151E"/>
    <w:rsid w:val="6B9D4CFC"/>
    <w:rsid w:val="6BA240C1"/>
    <w:rsid w:val="6BA77929"/>
    <w:rsid w:val="6BA936A1"/>
    <w:rsid w:val="6BAC4F3F"/>
    <w:rsid w:val="6BB34F40"/>
    <w:rsid w:val="6BC06C3D"/>
    <w:rsid w:val="6BD85D34"/>
    <w:rsid w:val="6BD9385B"/>
    <w:rsid w:val="6BDC65BF"/>
    <w:rsid w:val="6BDF70C3"/>
    <w:rsid w:val="6BE446D9"/>
    <w:rsid w:val="6BE7241B"/>
    <w:rsid w:val="6BE932A7"/>
    <w:rsid w:val="6BEC0C0A"/>
    <w:rsid w:val="6BEE37AA"/>
    <w:rsid w:val="6BF95CAB"/>
    <w:rsid w:val="6BFD39ED"/>
    <w:rsid w:val="6BFF530D"/>
    <w:rsid w:val="6C044E1B"/>
    <w:rsid w:val="6C0C3C30"/>
    <w:rsid w:val="6C1256EA"/>
    <w:rsid w:val="6C224D63"/>
    <w:rsid w:val="6C262F44"/>
    <w:rsid w:val="6C296590"/>
    <w:rsid w:val="6C3D028D"/>
    <w:rsid w:val="6C44161C"/>
    <w:rsid w:val="6C481C77"/>
    <w:rsid w:val="6C5775A1"/>
    <w:rsid w:val="6C6972D4"/>
    <w:rsid w:val="6C75594E"/>
    <w:rsid w:val="6C7A503E"/>
    <w:rsid w:val="6C8906FE"/>
    <w:rsid w:val="6CA34594"/>
    <w:rsid w:val="6CB665FF"/>
    <w:rsid w:val="6CB74321"/>
    <w:rsid w:val="6CC22541"/>
    <w:rsid w:val="6CCC4444"/>
    <w:rsid w:val="6CD209D6"/>
    <w:rsid w:val="6CD52274"/>
    <w:rsid w:val="6CE3400E"/>
    <w:rsid w:val="6CF070AE"/>
    <w:rsid w:val="6CF52916"/>
    <w:rsid w:val="6CFC3CA5"/>
    <w:rsid w:val="6CFD4ADE"/>
    <w:rsid w:val="6D087F43"/>
    <w:rsid w:val="6D0B3EE8"/>
    <w:rsid w:val="6D176D30"/>
    <w:rsid w:val="6D18512F"/>
    <w:rsid w:val="6D1F7993"/>
    <w:rsid w:val="6D264D81"/>
    <w:rsid w:val="6D365409"/>
    <w:rsid w:val="6D392803"/>
    <w:rsid w:val="6D3C11D5"/>
    <w:rsid w:val="6D4F42A6"/>
    <w:rsid w:val="6D527D69"/>
    <w:rsid w:val="6D543AE1"/>
    <w:rsid w:val="6D54588F"/>
    <w:rsid w:val="6D567859"/>
    <w:rsid w:val="6D594C53"/>
    <w:rsid w:val="6D655CEE"/>
    <w:rsid w:val="6D7952F5"/>
    <w:rsid w:val="6D800432"/>
    <w:rsid w:val="6D88378A"/>
    <w:rsid w:val="6D8A24D4"/>
    <w:rsid w:val="6D934609"/>
    <w:rsid w:val="6D9E6B0A"/>
    <w:rsid w:val="6DAE7C8E"/>
    <w:rsid w:val="6DAF6F69"/>
    <w:rsid w:val="6DB91B96"/>
    <w:rsid w:val="6DC522E8"/>
    <w:rsid w:val="6DC72505"/>
    <w:rsid w:val="6DC9627D"/>
    <w:rsid w:val="6DD14C5E"/>
    <w:rsid w:val="6DD24A05"/>
    <w:rsid w:val="6DD32C57"/>
    <w:rsid w:val="6DD8026E"/>
    <w:rsid w:val="6DE210EC"/>
    <w:rsid w:val="6DE5298B"/>
    <w:rsid w:val="6DE53E47"/>
    <w:rsid w:val="6DE85FD7"/>
    <w:rsid w:val="6DF130DE"/>
    <w:rsid w:val="6DF901E4"/>
    <w:rsid w:val="6DF950C8"/>
    <w:rsid w:val="6DFB5D0A"/>
    <w:rsid w:val="6DFD7CD4"/>
    <w:rsid w:val="6E0616B0"/>
    <w:rsid w:val="6E0A419F"/>
    <w:rsid w:val="6E0C6169"/>
    <w:rsid w:val="6E0E5A3E"/>
    <w:rsid w:val="6E193E12"/>
    <w:rsid w:val="6E2C680B"/>
    <w:rsid w:val="6E2E60E0"/>
    <w:rsid w:val="6E31797E"/>
    <w:rsid w:val="6E33426E"/>
    <w:rsid w:val="6E346AFB"/>
    <w:rsid w:val="6E405E13"/>
    <w:rsid w:val="6E414065"/>
    <w:rsid w:val="6E4B4EE4"/>
    <w:rsid w:val="6E58315D"/>
    <w:rsid w:val="6E5925F6"/>
    <w:rsid w:val="6E5A6ED5"/>
    <w:rsid w:val="6E5D4C17"/>
    <w:rsid w:val="6E5F098F"/>
    <w:rsid w:val="6E600263"/>
    <w:rsid w:val="6E631D8F"/>
    <w:rsid w:val="6E663ACB"/>
    <w:rsid w:val="6E677844"/>
    <w:rsid w:val="6E6E472E"/>
    <w:rsid w:val="6E755ABD"/>
    <w:rsid w:val="6E781A51"/>
    <w:rsid w:val="6E7A1325"/>
    <w:rsid w:val="6E891568"/>
    <w:rsid w:val="6E8D72AA"/>
    <w:rsid w:val="6E8E0956"/>
    <w:rsid w:val="6E957F0D"/>
    <w:rsid w:val="6EA64333"/>
    <w:rsid w:val="6EB34837"/>
    <w:rsid w:val="6EB5235D"/>
    <w:rsid w:val="6EB760D5"/>
    <w:rsid w:val="6EC10D02"/>
    <w:rsid w:val="6EC425A0"/>
    <w:rsid w:val="6EC771CA"/>
    <w:rsid w:val="6ED722D3"/>
    <w:rsid w:val="6EDA0016"/>
    <w:rsid w:val="6EDC1FE0"/>
    <w:rsid w:val="6EE5683D"/>
    <w:rsid w:val="6EE67218"/>
    <w:rsid w:val="6EEA2211"/>
    <w:rsid w:val="6EEB3FD1"/>
    <w:rsid w:val="6EFA06B8"/>
    <w:rsid w:val="6EFC4430"/>
    <w:rsid w:val="6F0155A2"/>
    <w:rsid w:val="6F14023A"/>
    <w:rsid w:val="6F15104E"/>
    <w:rsid w:val="6F173018"/>
    <w:rsid w:val="6F181CEB"/>
    <w:rsid w:val="6F2179F2"/>
    <w:rsid w:val="6F3B64CA"/>
    <w:rsid w:val="6F484F7F"/>
    <w:rsid w:val="6F6618A9"/>
    <w:rsid w:val="6F666CA5"/>
    <w:rsid w:val="6F6A0400"/>
    <w:rsid w:val="6F72024E"/>
    <w:rsid w:val="6F7A74E5"/>
    <w:rsid w:val="6F7F4719"/>
    <w:rsid w:val="6F810180"/>
    <w:rsid w:val="6F865AA7"/>
    <w:rsid w:val="6F8D32DA"/>
    <w:rsid w:val="6F8E06AB"/>
    <w:rsid w:val="6F993A2D"/>
    <w:rsid w:val="6FAC19B2"/>
    <w:rsid w:val="6FB645DF"/>
    <w:rsid w:val="6FC36CFC"/>
    <w:rsid w:val="6FC767EC"/>
    <w:rsid w:val="6FD8630F"/>
    <w:rsid w:val="6FDB5DF3"/>
    <w:rsid w:val="6FFF64DB"/>
    <w:rsid w:val="70003AAC"/>
    <w:rsid w:val="700156B6"/>
    <w:rsid w:val="700510C2"/>
    <w:rsid w:val="70082960"/>
    <w:rsid w:val="700F580A"/>
    <w:rsid w:val="70102B68"/>
    <w:rsid w:val="70107C0A"/>
    <w:rsid w:val="70111815"/>
    <w:rsid w:val="701557A9"/>
    <w:rsid w:val="70291255"/>
    <w:rsid w:val="703F36AF"/>
    <w:rsid w:val="704B508B"/>
    <w:rsid w:val="706C1141"/>
    <w:rsid w:val="707F70C6"/>
    <w:rsid w:val="70952A72"/>
    <w:rsid w:val="709C53B3"/>
    <w:rsid w:val="709D12FB"/>
    <w:rsid w:val="70A26911"/>
    <w:rsid w:val="70A73F27"/>
    <w:rsid w:val="70AD6FF9"/>
    <w:rsid w:val="70AE52B6"/>
    <w:rsid w:val="70B14DA6"/>
    <w:rsid w:val="70B84386"/>
    <w:rsid w:val="70BC5C25"/>
    <w:rsid w:val="70BF3967"/>
    <w:rsid w:val="70C25BD4"/>
    <w:rsid w:val="70C42D2B"/>
    <w:rsid w:val="70CA3E6A"/>
    <w:rsid w:val="70CC1BE0"/>
    <w:rsid w:val="70D56CE6"/>
    <w:rsid w:val="70E60EF4"/>
    <w:rsid w:val="70E909E4"/>
    <w:rsid w:val="70EE7DA8"/>
    <w:rsid w:val="70F25AEA"/>
    <w:rsid w:val="7120759D"/>
    <w:rsid w:val="71341C5F"/>
    <w:rsid w:val="71357785"/>
    <w:rsid w:val="713A6C3B"/>
    <w:rsid w:val="713E2ADE"/>
    <w:rsid w:val="71436346"/>
    <w:rsid w:val="71526589"/>
    <w:rsid w:val="715F4802"/>
    <w:rsid w:val="71662034"/>
    <w:rsid w:val="716B13F9"/>
    <w:rsid w:val="717432CC"/>
    <w:rsid w:val="71915DBC"/>
    <w:rsid w:val="71926986"/>
    <w:rsid w:val="719721EE"/>
    <w:rsid w:val="719941B8"/>
    <w:rsid w:val="719967AA"/>
    <w:rsid w:val="71A62431"/>
    <w:rsid w:val="71AE13A1"/>
    <w:rsid w:val="71BB5EDC"/>
    <w:rsid w:val="71C224FB"/>
    <w:rsid w:val="71C32FE3"/>
    <w:rsid w:val="71CF3F9D"/>
    <w:rsid w:val="71DC4440"/>
    <w:rsid w:val="71E50374"/>
    <w:rsid w:val="71FB277D"/>
    <w:rsid w:val="72021D5D"/>
    <w:rsid w:val="72035AD5"/>
    <w:rsid w:val="720B7B46"/>
    <w:rsid w:val="72127AC6"/>
    <w:rsid w:val="72331F17"/>
    <w:rsid w:val="72366AB0"/>
    <w:rsid w:val="72521C52"/>
    <w:rsid w:val="725D6F93"/>
    <w:rsid w:val="725E7322"/>
    <w:rsid w:val="726C7228"/>
    <w:rsid w:val="72785B7B"/>
    <w:rsid w:val="728E73F9"/>
    <w:rsid w:val="7291436B"/>
    <w:rsid w:val="72AC3A77"/>
    <w:rsid w:val="72B10986"/>
    <w:rsid w:val="72B33057"/>
    <w:rsid w:val="72B54E65"/>
    <w:rsid w:val="72BC63B0"/>
    <w:rsid w:val="72C45265"/>
    <w:rsid w:val="72CB6F15"/>
    <w:rsid w:val="72D016ED"/>
    <w:rsid w:val="72D26245"/>
    <w:rsid w:val="72D9699C"/>
    <w:rsid w:val="72DD6326"/>
    <w:rsid w:val="72E27499"/>
    <w:rsid w:val="72FC67AC"/>
    <w:rsid w:val="72FF44EF"/>
    <w:rsid w:val="73267CCD"/>
    <w:rsid w:val="732E6B82"/>
    <w:rsid w:val="73311AF4"/>
    <w:rsid w:val="73552361"/>
    <w:rsid w:val="735B3FA5"/>
    <w:rsid w:val="735C01EE"/>
    <w:rsid w:val="73683C95"/>
    <w:rsid w:val="73735CAD"/>
    <w:rsid w:val="737629FD"/>
    <w:rsid w:val="7379604F"/>
    <w:rsid w:val="73915AAF"/>
    <w:rsid w:val="73927111"/>
    <w:rsid w:val="739A1A72"/>
    <w:rsid w:val="73A307CA"/>
    <w:rsid w:val="73A330CC"/>
    <w:rsid w:val="73B47087"/>
    <w:rsid w:val="73BE1CB4"/>
    <w:rsid w:val="73D72D76"/>
    <w:rsid w:val="73E13BF4"/>
    <w:rsid w:val="73E72559"/>
    <w:rsid w:val="73EB05CF"/>
    <w:rsid w:val="73EF2BAE"/>
    <w:rsid w:val="73EF6311"/>
    <w:rsid w:val="73F12089"/>
    <w:rsid w:val="73F6144E"/>
    <w:rsid w:val="740A4EF9"/>
    <w:rsid w:val="740B0213"/>
    <w:rsid w:val="74130252"/>
    <w:rsid w:val="7416630D"/>
    <w:rsid w:val="741915E0"/>
    <w:rsid w:val="741D2E7E"/>
    <w:rsid w:val="7423420D"/>
    <w:rsid w:val="74387CB8"/>
    <w:rsid w:val="745E5245"/>
    <w:rsid w:val="747131CA"/>
    <w:rsid w:val="7474288F"/>
    <w:rsid w:val="747643EE"/>
    <w:rsid w:val="74842EFD"/>
    <w:rsid w:val="74933140"/>
    <w:rsid w:val="74933CF7"/>
    <w:rsid w:val="74956EB9"/>
    <w:rsid w:val="7499627D"/>
    <w:rsid w:val="749E3893"/>
    <w:rsid w:val="749E424D"/>
    <w:rsid w:val="74A7099A"/>
    <w:rsid w:val="74B53E16"/>
    <w:rsid w:val="74E474F8"/>
    <w:rsid w:val="74E8743A"/>
    <w:rsid w:val="74EE752C"/>
    <w:rsid w:val="74FE35BE"/>
    <w:rsid w:val="75041948"/>
    <w:rsid w:val="75093403"/>
    <w:rsid w:val="751853F4"/>
    <w:rsid w:val="7524023C"/>
    <w:rsid w:val="75243D99"/>
    <w:rsid w:val="752C70F1"/>
    <w:rsid w:val="753541F8"/>
    <w:rsid w:val="753F5076"/>
    <w:rsid w:val="7541494A"/>
    <w:rsid w:val="75526B58"/>
    <w:rsid w:val="755521A4"/>
    <w:rsid w:val="755C1784"/>
    <w:rsid w:val="755C3532"/>
    <w:rsid w:val="7560644A"/>
    <w:rsid w:val="756711CD"/>
    <w:rsid w:val="75695C4F"/>
    <w:rsid w:val="756E14B8"/>
    <w:rsid w:val="75703482"/>
    <w:rsid w:val="757F5F12"/>
    <w:rsid w:val="75862CA5"/>
    <w:rsid w:val="758A5815"/>
    <w:rsid w:val="75947170"/>
    <w:rsid w:val="759C6025"/>
    <w:rsid w:val="75A60C51"/>
    <w:rsid w:val="75AD31CB"/>
    <w:rsid w:val="75B710B1"/>
    <w:rsid w:val="75B96BD7"/>
    <w:rsid w:val="75C86E1A"/>
    <w:rsid w:val="75D411D5"/>
    <w:rsid w:val="75D752AF"/>
    <w:rsid w:val="75D9781B"/>
    <w:rsid w:val="75E8126A"/>
    <w:rsid w:val="7601232C"/>
    <w:rsid w:val="76037E52"/>
    <w:rsid w:val="76045978"/>
    <w:rsid w:val="7612622F"/>
    <w:rsid w:val="761279AC"/>
    <w:rsid w:val="761402B1"/>
    <w:rsid w:val="76191423"/>
    <w:rsid w:val="761E2EDE"/>
    <w:rsid w:val="762759B6"/>
    <w:rsid w:val="762F0AE4"/>
    <w:rsid w:val="76391AC6"/>
    <w:rsid w:val="763D1683"/>
    <w:rsid w:val="764861AD"/>
    <w:rsid w:val="764A782F"/>
    <w:rsid w:val="764C43BE"/>
    <w:rsid w:val="76692382"/>
    <w:rsid w:val="766A1C7F"/>
    <w:rsid w:val="766A7ED1"/>
    <w:rsid w:val="766F13DC"/>
    <w:rsid w:val="76796366"/>
    <w:rsid w:val="767D7C04"/>
    <w:rsid w:val="7682521B"/>
    <w:rsid w:val="768B4A7C"/>
    <w:rsid w:val="76911902"/>
    <w:rsid w:val="769A6A08"/>
    <w:rsid w:val="769E5DCD"/>
    <w:rsid w:val="76A41635"/>
    <w:rsid w:val="76A96C4B"/>
    <w:rsid w:val="76B15B00"/>
    <w:rsid w:val="76B37ACA"/>
    <w:rsid w:val="76B455F0"/>
    <w:rsid w:val="76C75323"/>
    <w:rsid w:val="76CB1F43"/>
    <w:rsid w:val="76CD220E"/>
    <w:rsid w:val="76DD06A3"/>
    <w:rsid w:val="76DE441B"/>
    <w:rsid w:val="76EF03D6"/>
    <w:rsid w:val="76F1414E"/>
    <w:rsid w:val="76F22325"/>
    <w:rsid w:val="76F36118"/>
    <w:rsid w:val="76F37EC6"/>
    <w:rsid w:val="76F93003"/>
    <w:rsid w:val="76FB3DAC"/>
    <w:rsid w:val="77094214"/>
    <w:rsid w:val="770E0AD4"/>
    <w:rsid w:val="770E7A76"/>
    <w:rsid w:val="770F3552"/>
    <w:rsid w:val="77194B2C"/>
    <w:rsid w:val="771B741D"/>
    <w:rsid w:val="771F0CBB"/>
    <w:rsid w:val="772C6436"/>
    <w:rsid w:val="7731631C"/>
    <w:rsid w:val="77325FF0"/>
    <w:rsid w:val="77331379"/>
    <w:rsid w:val="77364257"/>
    <w:rsid w:val="773869D5"/>
    <w:rsid w:val="774249AA"/>
    <w:rsid w:val="775350E1"/>
    <w:rsid w:val="775E2AF9"/>
    <w:rsid w:val="7762504C"/>
    <w:rsid w:val="776B2153"/>
    <w:rsid w:val="776F0AAF"/>
    <w:rsid w:val="77722EA8"/>
    <w:rsid w:val="77731007"/>
    <w:rsid w:val="7778661E"/>
    <w:rsid w:val="777D1E86"/>
    <w:rsid w:val="7789082B"/>
    <w:rsid w:val="779204DD"/>
    <w:rsid w:val="779A73D7"/>
    <w:rsid w:val="77B04009"/>
    <w:rsid w:val="77B533CE"/>
    <w:rsid w:val="77B92418"/>
    <w:rsid w:val="77C33D3D"/>
    <w:rsid w:val="77C74EAF"/>
    <w:rsid w:val="77C80CA6"/>
    <w:rsid w:val="77CB499F"/>
    <w:rsid w:val="77CE4490"/>
    <w:rsid w:val="77D221D2"/>
    <w:rsid w:val="77D93560"/>
    <w:rsid w:val="77E31CE9"/>
    <w:rsid w:val="77E32FAC"/>
    <w:rsid w:val="77E551F3"/>
    <w:rsid w:val="77E74959"/>
    <w:rsid w:val="77F20E53"/>
    <w:rsid w:val="77F71C38"/>
    <w:rsid w:val="77FD0D74"/>
    <w:rsid w:val="77FE2FC7"/>
    <w:rsid w:val="77FF3901"/>
    <w:rsid w:val="78047EB1"/>
    <w:rsid w:val="78056103"/>
    <w:rsid w:val="7808174F"/>
    <w:rsid w:val="78094763"/>
    <w:rsid w:val="780B1240"/>
    <w:rsid w:val="781009D1"/>
    <w:rsid w:val="78146346"/>
    <w:rsid w:val="78186166"/>
    <w:rsid w:val="78202F3D"/>
    <w:rsid w:val="782604BC"/>
    <w:rsid w:val="78267E28"/>
    <w:rsid w:val="78324A1E"/>
    <w:rsid w:val="78350656"/>
    <w:rsid w:val="7836450F"/>
    <w:rsid w:val="78514982"/>
    <w:rsid w:val="7851759A"/>
    <w:rsid w:val="785B3F75"/>
    <w:rsid w:val="785E3A65"/>
    <w:rsid w:val="787646F2"/>
    <w:rsid w:val="788334CC"/>
    <w:rsid w:val="789B6A68"/>
    <w:rsid w:val="789E0306"/>
    <w:rsid w:val="78AE679B"/>
    <w:rsid w:val="78B24C3D"/>
    <w:rsid w:val="78C53AE4"/>
    <w:rsid w:val="78C935D5"/>
    <w:rsid w:val="78CF226D"/>
    <w:rsid w:val="78D17EA5"/>
    <w:rsid w:val="78E201F2"/>
    <w:rsid w:val="790A14F7"/>
    <w:rsid w:val="790E2000"/>
    <w:rsid w:val="791361D8"/>
    <w:rsid w:val="7919798C"/>
    <w:rsid w:val="791F1447"/>
    <w:rsid w:val="792151BF"/>
    <w:rsid w:val="792242E1"/>
    <w:rsid w:val="794204D3"/>
    <w:rsid w:val="79515345"/>
    <w:rsid w:val="79657612"/>
    <w:rsid w:val="796B468C"/>
    <w:rsid w:val="79776E3C"/>
    <w:rsid w:val="79856DD0"/>
    <w:rsid w:val="79894B12"/>
    <w:rsid w:val="798968C0"/>
    <w:rsid w:val="798E0681"/>
    <w:rsid w:val="798E2128"/>
    <w:rsid w:val="799A0ACD"/>
    <w:rsid w:val="799C4845"/>
    <w:rsid w:val="799C6753"/>
    <w:rsid w:val="79AB4A88"/>
    <w:rsid w:val="79AC25AE"/>
    <w:rsid w:val="79AE6327"/>
    <w:rsid w:val="79B17BC5"/>
    <w:rsid w:val="79B3393D"/>
    <w:rsid w:val="79C1605A"/>
    <w:rsid w:val="79C913B2"/>
    <w:rsid w:val="79E844B1"/>
    <w:rsid w:val="79FF3026"/>
    <w:rsid w:val="7A021A4F"/>
    <w:rsid w:val="7A036672"/>
    <w:rsid w:val="7A0569E7"/>
    <w:rsid w:val="7A0643B5"/>
    <w:rsid w:val="7A0D7620"/>
    <w:rsid w:val="7A17211E"/>
    <w:rsid w:val="7A1940E8"/>
    <w:rsid w:val="7A1C7734"/>
    <w:rsid w:val="7A3E7B97"/>
    <w:rsid w:val="7A406A95"/>
    <w:rsid w:val="7A434CC1"/>
    <w:rsid w:val="7A4D1FE3"/>
    <w:rsid w:val="7A5944E4"/>
    <w:rsid w:val="7A5B64AE"/>
    <w:rsid w:val="7A6B246A"/>
    <w:rsid w:val="7A6B4218"/>
    <w:rsid w:val="7A7255A6"/>
    <w:rsid w:val="7A756E44"/>
    <w:rsid w:val="7A862E00"/>
    <w:rsid w:val="7A911ED0"/>
    <w:rsid w:val="7A9A3CF6"/>
    <w:rsid w:val="7A9B2D4F"/>
    <w:rsid w:val="7A9E283F"/>
    <w:rsid w:val="7AAD65DE"/>
    <w:rsid w:val="7AB160CE"/>
    <w:rsid w:val="7ABD2CC5"/>
    <w:rsid w:val="7ABE675F"/>
    <w:rsid w:val="7AC96BBD"/>
    <w:rsid w:val="7ACB4CB6"/>
    <w:rsid w:val="7AE04C06"/>
    <w:rsid w:val="7AE069B4"/>
    <w:rsid w:val="7AE45968"/>
    <w:rsid w:val="7AEA15E0"/>
    <w:rsid w:val="7B0F7299"/>
    <w:rsid w:val="7B1B7DC4"/>
    <w:rsid w:val="7B2368A0"/>
    <w:rsid w:val="7B38234C"/>
    <w:rsid w:val="7B3D7386"/>
    <w:rsid w:val="7B4E368B"/>
    <w:rsid w:val="7B4F58E7"/>
    <w:rsid w:val="7B5B24DE"/>
    <w:rsid w:val="7B5D0004"/>
    <w:rsid w:val="7B705F89"/>
    <w:rsid w:val="7B707D38"/>
    <w:rsid w:val="7B725EEB"/>
    <w:rsid w:val="7B7B3A74"/>
    <w:rsid w:val="7B7F441F"/>
    <w:rsid w:val="7B8E01BE"/>
    <w:rsid w:val="7B9652C4"/>
    <w:rsid w:val="7B9C6D7F"/>
    <w:rsid w:val="7BA21EBB"/>
    <w:rsid w:val="7BB37C24"/>
    <w:rsid w:val="7BBF481B"/>
    <w:rsid w:val="7BC2255D"/>
    <w:rsid w:val="7BDF4EBD"/>
    <w:rsid w:val="7BEA76C5"/>
    <w:rsid w:val="7C014E34"/>
    <w:rsid w:val="7C0E12FE"/>
    <w:rsid w:val="7C176405"/>
    <w:rsid w:val="7C195B55"/>
    <w:rsid w:val="7C1A4147"/>
    <w:rsid w:val="7C2A3960"/>
    <w:rsid w:val="7C570EF7"/>
    <w:rsid w:val="7C5F1CF3"/>
    <w:rsid w:val="7C611A45"/>
    <w:rsid w:val="7C632A83"/>
    <w:rsid w:val="7C664326"/>
    <w:rsid w:val="7C684EB3"/>
    <w:rsid w:val="7C6929D9"/>
    <w:rsid w:val="7C694787"/>
    <w:rsid w:val="7C6B49A3"/>
    <w:rsid w:val="7C71019D"/>
    <w:rsid w:val="7C745605"/>
    <w:rsid w:val="7C773348"/>
    <w:rsid w:val="7C776EA4"/>
    <w:rsid w:val="7C7A6F26"/>
    <w:rsid w:val="7C907F65"/>
    <w:rsid w:val="7C943EFA"/>
    <w:rsid w:val="7C975798"/>
    <w:rsid w:val="7CA17B83"/>
    <w:rsid w:val="7CA81753"/>
    <w:rsid w:val="7CAC1243"/>
    <w:rsid w:val="7CAF663E"/>
    <w:rsid w:val="7CB00608"/>
    <w:rsid w:val="7CC351AF"/>
    <w:rsid w:val="7CC61BD9"/>
    <w:rsid w:val="7CCA3477"/>
    <w:rsid w:val="7CCD2F68"/>
    <w:rsid w:val="7CCF6CE0"/>
    <w:rsid w:val="7CD460A4"/>
    <w:rsid w:val="7CD662C0"/>
    <w:rsid w:val="7CE16A13"/>
    <w:rsid w:val="7CE54755"/>
    <w:rsid w:val="7CE9699F"/>
    <w:rsid w:val="7CEA58C8"/>
    <w:rsid w:val="7CF60710"/>
    <w:rsid w:val="7CF93D5D"/>
    <w:rsid w:val="7CFB1883"/>
    <w:rsid w:val="7D0270B5"/>
    <w:rsid w:val="7D034BDB"/>
    <w:rsid w:val="7D0A41AA"/>
    <w:rsid w:val="7D100C84"/>
    <w:rsid w:val="7D162B61"/>
    <w:rsid w:val="7D1666BD"/>
    <w:rsid w:val="7D1B0177"/>
    <w:rsid w:val="7D1F7C67"/>
    <w:rsid w:val="7D2D2243"/>
    <w:rsid w:val="7D311748"/>
    <w:rsid w:val="7D3A0E5D"/>
    <w:rsid w:val="7D3E739D"/>
    <w:rsid w:val="7D40198C"/>
    <w:rsid w:val="7D494CE4"/>
    <w:rsid w:val="7D4E22FA"/>
    <w:rsid w:val="7D5F5C08"/>
    <w:rsid w:val="7D676F18"/>
    <w:rsid w:val="7D6C2781"/>
    <w:rsid w:val="7D711B45"/>
    <w:rsid w:val="7D717D97"/>
    <w:rsid w:val="7D763BC4"/>
    <w:rsid w:val="7D7A4E9D"/>
    <w:rsid w:val="7D8E0949"/>
    <w:rsid w:val="7D8E6B9B"/>
    <w:rsid w:val="7D943A85"/>
    <w:rsid w:val="7DA63EE4"/>
    <w:rsid w:val="7DB163E5"/>
    <w:rsid w:val="7DB66CF6"/>
    <w:rsid w:val="7DBD362D"/>
    <w:rsid w:val="7DC10B9A"/>
    <w:rsid w:val="7DC720AD"/>
    <w:rsid w:val="7DCB56F9"/>
    <w:rsid w:val="7DD479E0"/>
    <w:rsid w:val="7DD81BC4"/>
    <w:rsid w:val="7DDA1DE0"/>
    <w:rsid w:val="7DDA593C"/>
    <w:rsid w:val="7DDE0263"/>
    <w:rsid w:val="7DEE3196"/>
    <w:rsid w:val="7DF804B8"/>
    <w:rsid w:val="7E1F77F3"/>
    <w:rsid w:val="7E284EBA"/>
    <w:rsid w:val="7E4B4A8C"/>
    <w:rsid w:val="7E50369C"/>
    <w:rsid w:val="7E590F57"/>
    <w:rsid w:val="7E5955D5"/>
    <w:rsid w:val="7E633B84"/>
    <w:rsid w:val="7E694F12"/>
    <w:rsid w:val="7E6A5B60"/>
    <w:rsid w:val="7E6E2528"/>
    <w:rsid w:val="7E784D07"/>
    <w:rsid w:val="7E7A49CB"/>
    <w:rsid w:val="7E8448A3"/>
    <w:rsid w:val="7E8E6727"/>
    <w:rsid w:val="7EA17469"/>
    <w:rsid w:val="7EA30424"/>
    <w:rsid w:val="7EA84A37"/>
    <w:rsid w:val="7ED06D3F"/>
    <w:rsid w:val="7EF02F3D"/>
    <w:rsid w:val="7EFE565A"/>
    <w:rsid w:val="7F007624"/>
    <w:rsid w:val="7F0B7D77"/>
    <w:rsid w:val="7F1D01D6"/>
    <w:rsid w:val="7F1D519F"/>
    <w:rsid w:val="7F1E3F4E"/>
    <w:rsid w:val="7F2A28F3"/>
    <w:rsid w:val="7F343772"/>
    <w:rsid w:val="7F361298"/>
    <w:rsid w:val="7F376DBE"/>
    <w:rsid w:val="7F406CBD"/>
    <w:rsid w:val="7F4B7FF1"/>
    <w:rsid w:val="7F594F87"/>
    <w:rsid w:val="7F5B0C2E"/>
    <w:rsid w:val="7F713DE7"/>
    <w:rsid w:val="7F720497"/>
    <w:rsid w:val="7F780DE1"/>
    <w:rsid w:val="7F7E679B"/>
    <w:rsid w:val="7F8A3392"/>
    <w:rsid w:val="7F8D4DFF"/>
    <w:rsid w:val="7F912972"/>
    <w:rsid w:val="7F947D6D"/>
    <w:rsid w:val="7FAC155A"/>
    <w:rsid w:val="7FB0104A"/>
    <w:rsid w:val="7FB36445"/>
    <w:rsid w:val="7FBD588C"/>
    <w:rsid w:val="7FC91892"/>
    <w:rsid w:val="7FCD780A"/>
    <w:rsid w:val="7FD83478"/>
    <w:rsid w:val="7FD85EAB"/>
    <w:rsid w:val="7FDD1714"/>
    <w:rsid w:val="7FEB2083"/>
    <w:rsid w:val="7FF6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autoRedefine/>
    <w:qFormat/>
    <w:uiPriority w:val="0"/>
    <w:pPr>
      <w:keepNext/>
      <w:keepLines/>
      <w:ind w:firstLine="0" w:firstLineChars="0"/>
      <w:jc w:val="left"/>
      <w:outlineLvl w:val="2"/>
    </w:pPr>
    <w:rPr>
      <w:b/>
      <w:sz w:val="28"/>
    </w:rPr>
  </w:style>
  <w:style w:type="paragraph" w:styleId="4">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autoRedefine/>
    <w:qFormat/>
    <w:uiPriority w:val="0"/>
    <w:pPr>
      <w:adjustRightInd w:val="0"/>
      <w:spacing w:line="312" w:lineRule="atLeast"/>
      <w:ind w:firstLine="420" w:firstLineChars="0"/>
      <w:textAlignment w:val="baseline"/>
    </w:pPr>
    <w:rPr>
      <w:rFonts w:cs="Times New Roman"/>
      <w:kern w:val="0"/>
      <w:sz w:val="21"/>
      <w:szCs w:val="20"/>
    </w:rPr>
  </w:style>
  <w:style w:type="paragraph" w:styleId="6">
    <w:name w:val="Body Text First Indent 2"/>
    <w:basedOn w:val="7"/>
    <w:next w:val="1"/>
    <w:autoRedefine/>
    <w:unhideWhenUsed/>
    <w:qFormat/>
    <w:uiPriority w:val="99"/>
    <w:pPr>
      <w:ind w:firstLine="420"/>
    </w:pPr>
    <w:rPr>
      <w:color w:val="0000FF"/>
    </w:rPr>
  </w:style>
  <w:style w:type="paragraph" w:styleId="7">
    <w:name w:val="Body Text Indent"/>
    <w:basedOn w:val="1"/>
    <w:next w:val="1"/>
    <w:autoRedefine/>
    <w:qFormat/>
    <w:uiPriority w:val="99"/>
    <w:pPr>
      <w:spacing w:after="120"/>
      <w:ind w:left="420" w:leftChars="200"/>
    </w:pPr>
    <w:rPr>
      <w:kern w:val="0"/>
      <w:sz w:val="24"/>
      <w:szCs w:val="20"/>
    </w:rPr>
  </w:style>
  <w:style w:type="paragraph" w:styleId="8">
    <w:name w:val="caption"/>
    <w:basedOn w:val="1"/>
    <w:next w:val="1"/>
    <w:autoRedefine/>
    <w:qFormat/>
    <w:uiPriority w:val="0"/>
    <w:pPr>
      <w:spacing w:line="360" w:lineRule="auto"/>
      <w:jc w:val="center"/>
    </w:pPr>
    <w:rPr>
      <w:b/>
      <w:bCs/>
      <w:szCs w:val="21"/>
    </w:rPr>
  </w:style>
  <w:style w:type="paragraph" w:styleId="9">
    <w:name w:val="annotation text"/>
    <w:basedOn w:val="1"/>
    <w:qFormat/>
    <w:uiPriority w:val="0"/>
    <w:pPr>
      <w:jc w:val="left"/>
    </w:pPr>
  </w:style>
  <w:style w:type="paragraph" w:styleId="10">
    <w:name w:val="index 6"/>
    <w:basedOn w:val="1"/>
    <w:next w:val="1"/>
    <w:qFormat/>
    <w:uiPriority w:val="0"/>
  </w:style>
  <w:style w:type="paragraph" w:styleId="11">
    <w:name w:val="Body Text"/>
    <w:basedOn w:val="1"/>
    <w:autoRedefine/>
    <w:qFormat/>
    <w:uiPriority w:val="99"/>
    <w:pPr>
      <w:adjustRightInd w:val="0"/>
      <w:spacing w:line="0" w:lineRule="atLeast"/>
      <w:textAlignment w:val="baseline"/>
    </w:pPr>
    <w:rPr>
      <w:kern w:val="0"/>
      <w:sz w:val="24"/>
    </w:rPr>
  </w:style>
  <w:style w:type="paragraph" w:styleId="12">
    <w:name w:val="Plain Text"/>
    <w:basedOn w:val="1"/>
    <w:next w:val="13"/>
    <w:autoRedefine/>
    <w:qFormat/>
    <w:uiPriority w:val="99"/>
    <w:pPr>
      <w:spacing w:line="240" w:lineRule="auto"/>
      <w:ind w:firstLine="0" w:firstLineChars="0"/>
    </w:pPr>
    <w:rPr>
      <w:rFonts w:ascii="宋体" w:hAnsi="Courier New" w:cs="Times New Roman"/>
      <w:kern w:val="0"/>
      <w:sz w:val="26"/>
      <w:szCs w:val="20"/>
    </w:rPr>
  </w:style>
  <w:style w:type="paragraph" w:customStyle="1" w:styleId="13">
    <w:name w:val="Default"/>
    <w:basedOn w:val="14"/>
    <w:next w:val="1"/>
    <w:autoRedefine/>
    <w:qFormat/>
    <w:uiPriority w:val="0"/>
    <w:pPr>
      <w:widowControl w:val="0"/>
      <w:autoSpaceDE w:val="0"/>
      <w:autoSpaceDN w:val="0"/>
      <w:adjustRightInd w:val="0"/>
    </w:pPr>
    <w:rPr>
      <w:rFonts w:ascii="宋体"/>
      <w:color w:val="000000"/>
      <w:sz w:val="24"/>
      <w:szCs w:val="24"/>
      <w:lang w:val="en-US" w:eastAsia="zh-CN" w:bidi="ar-SA"/>
    </w:rPr>
  </w:style>
  <w:style w:type="paragraph" w:customStyle="1" w:styleId="14">
    <w:name w:val="纯文本1"/>
    <w:basedOn w:val="1"/>
    <w:autoRedefine/>
    <w:qFormat/>
    <w:uiPriority w:val="0"/>
    <w:pPr>
      <w:adjustRightInd w:val="0"/>
    </w:pPr>
    <w:rPr>
      <w:rFonts w:ascii="宋体" w:hAnsi="Courier New"/>
      <w:szCs w:val="20"/>
    </w:rPr>
  </w:style>
  <w:style w:type="paragraph" w:styleId="15">
    <w:name w:val="Body Text Indent 2"/>
    <w:basedOn w:val="1"/>
    <w:autoRedefine/>
    <w:qFormat/>
    <w:uiPriority w:val="99"/>
    <w:pPr>
      <w:spacing w:line="360" w:lineRule="auto"/>
      <w:ind w:firstLine="560" w:firstLineChars="200"/>
    </w:pPr>
    <w:rPr>
      <w:sz w:val="28"/>
    </w:rPr>
  </w:style>
  <w:style w:type="paragraph" w:styleId="16">
    <w:name w:val="footer"/>
    <w:basedOn w:val="1"/>
    <w:next w:val="1"/>
    <w:autoRedefine/>
    <w:qFormat/>
    <w:uiPriority w:val="99"/>
    <w:pPr>
      <w:tabs>
        <w:tab w:val="center" w:pos="4153"/>
        <w:tab w:val="right" w:pos="8306"/>
      </w:tabs>
      <w:snapToGrid w:val="0"/>
      <w:jc w:val="left"/>
    </w:pPr>
    <w:rPr>
      <w:kern w:val="0"/>
      <w:sz w:val="18"/>
      <w:szCs w:val="20"/>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18">
    <w:name w:val="table of figures"/>
    <w:basedOn w:val="1"/>
    <w:next w:val="1"/>
    <w:qFormat/>
    <w:uiPriority w:val="0"/>
    <w:pPr>
      <w:ind w:left="200" w:leftChars="200" w:hanging="200" w:hangingChars="200"/>
    </w:pPr>
  </w:style>
  <w:style w:type="paragraph" w:styleId="19">
    <w:name w:val="Body Text 2"/>
    <w:basedOn w:val="1"/>
    <w:autoRedefine/>
    <w:qFormat/>
    <w:uiPriority w:val="0"/>
    <w:pPr>
      <w:spacing w:line="360" w:lineRule="auto"/>
    </w:pPr>
    <w:rPr>
      <w:rFonts w:ascii="宋体" w:hAnsi="宋体"/>
      <w:sz w:val="24"/>
    </w:rPr>
  </w:style>
  <w:style w:type="paragraph" w:styleId="20">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21">
    <w:name w:val="index 1"/>
    <w:basedOn w:val="1"/>
    <w:next w:val="1"/>
    <w:qFormat/>
    <w:uiPriority w:val="0"/>
    <w:pPr>
      <w:jc w:val="center"/>
    </w:pPr>
    <w:rPr>
      <w:szCs w:val="20"/>
    </w:rPr>
  </w:style>
  <w:style w:type="paragraph" w:styleId="22">
    <w:name w:val="Body Text First Indent"/>
    <w:basedOn w:val="11"/>
    <w:qFormat/>
    <w:uiPriority w:val="0"/>
    <w:pPr>
      <w:ind w:firstLine="420" w:firstLineChars="100"/>
    </w:pPr>
    <w:rPr>
      <w:rFonts w:ascii="Times New Roman" w:hAnsi="Times New Roman"/>
    </w:r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autoRedefine/>
    <w:qFormat/>
    <w:uiPriority w:val="0"/>
  </w:style>
  <w:style w:type="paragraph" w:customStyle="1" w:styleId="27">
    <w:name w:val="Date1"/>
    <w:basedOn w:val="1"/>
    <w:next w:val="1"/>
    <w:qFormat/>
    <w:uiPriority w:val="0"/>
    <w:pPr>
      <w:adjustRightInd w:val="0"/>
      <w:jc w:val="left"/>
      <w:textAlignment w:val="baseline"/>
    </w:pPr>
    <w:rPr>
      <w:rFonts w:ascii="宋体" w:hAnsi="宋体"/>
      <w:sz w:val="28"/>
    </w:rPr>
  </w:style>
  <w:style w:type="paragraph" w:customStyle="1" w:styleId="28">
    <w:name w:val="样式 正文缩进正文缩进2正文缩进 Char Char正文缩进 Char Char Char Char正文缩进 Char ..."/>
    <w:basedOn w:val="5"/>
    <w:autoRedefine/>
    <w:qFormat/>
    <w:uiPriority w:val="0"/>
    <w:pPr>
      <w:widowControl/>
      <w:adjustRightInd/>
      <w:snapToGrid w:val="0"/>
      <w:spacing w:line="360" w:lineRule="auto"/>
      <w:ind w:firstLine="200"/>
      <w:textAlignment w:val="auto"/>
    </w:pPr>
    <w:rPr>
      <w:rFonts w:cs="宋体"/>
      <w:kern w:val="2"/>
      <w:sz w:val="24"/>
      <w:szCs w:val="24"/>
    </w:rPr>
  </w:style>
  <w:style w:type="paragraph" w:customStyle="1" w:styleId="29">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30">
    <w:name w:val="Normal Indent1"/>
    <w:basedOn w:val="1"/>
    <w:autoRedefine/>
    <w:qFormat/>
    <w:uiPriority w:val="0"/>
    <w:rPr>
      <w:sz w:val="28"/>
    </w:rPr>
  </w:style>
  <w:style w:type="paragraph" w:customStyle="1" w:styleId="31">
    <w:name w:val="表内文字"/>
    <w:autoRedefine/>
    <w:qFormat/>
    <w:uiPriority w:val="0"/>
    <w:pPr>
      <w:widowControl w:val="0"/>
      <w:snapToGrid w:val="0"/>
      <w:spacing w:line="320" w:lineRule="exact"/>
      <w:ind w:firstLine="1060" w:firstLineChars="200"/>
      <w:jc w:val="center"/>
    </w:pPr>
    <w:rPr>
      <w:rFonts w:ascii="Times New Roman" w:hAnsi="Times New Roman" w:eastAsia="仿宋_GB2312" w:cs="Times New Roman"/>
      <w:kern w:val="2"/>
      <w:sz w:val="24"/>
      <w:szCs w:val="21"/>
      <w:lang w:val="en-US" w:eastAsia="zh-CN" w:bidi="ar-SA"/>
    </w:rPr>
  </w:style>
  <w:style w:type="paragraph" w:customStyle="1" w:styleId="32">
    <w:name w:val="表格"/>
    <w:basedOn w:val="5"/>
    <w:next w:val="1"/>
    <w:autoRedefine/>
    <w:qFormat/>
    <w:uiPriority w:val="0"/>
    <w:pPr>
      <w:tabs>
        <w:tab w:val="left" w:pos="893"/>
      </w:tabs>
      <w:adjustRightInd w:val="0"/>
      <w:snapToGrid w:val="0"/>
      <w:spacing w:beforeLines="10" w:afterLines="10" w:line="259" w:lineRule="auto"/>
      <w:jc w:val="center"/>
    </w:pPr>
    <w:rPr>
      <w:rFonts w:ascii="宋体"/>
      <w:kern w:val="0"/>
      <w:szCs w:val="20"/>
    </w:rPr>
  </w:style>
  <w:style w:type="paragraph" w:customStyle="1" w:styleId="33">
    <w:name w:val="表"/>
    <w:basedOn w:val="1"/>
    <w:next w:val="1"/>
    <w:autoRedefine/>
    <w:qFormat/>
    <w:uiPriority w:val="0"/>
    <w:pPr>
      <w:spacing w:line="240" w:lineRule="auto"/>
      <w:ind w:firstLine="0" w:firstLineChars="0"/>
      <w:jc w:val="center"/>
    </w:pPr>
    <w:rPr>
      <w:color w:val="000000"/>
      <w:sz w:val="21"/>
    </w:rPr>
  </w:style>
  <w:style w:type="paragraph" w:customStyle="1" w:styleId="34">
    <w:name w:val="表格2"/>
    <w:basedOn w:val="1"/>
    <w:autoRedefine/>
    <w:qFormat/>
    <w:uiPriority w:val="0"/>
    <w:pPr>
      <w:spacing w:line="400" w:lineRule="exact"/>
      <w:jc w:val="center"/>
    </w:pPr>
    <w:rPr>
      <w:sz w:val="21"/>
      <w:szCs w:val="21"/>
    </w:rPr>
  </w:style>
  <w:style w:type="paragraph" w:customStyle="1" w:styleId="35">
    <w:name w:val="A-表头"/>
    <w:basedOn w:val="36"/>
    <w:autoRedefine/>
    <w:qFormat/>
    <w:uiPriority w:val="0"/>
    <w:pPr>
      <w:snapToGrid w:val="0"/>
      <w:spacing w:line="480" w:lineRule="exact"/>
      <w:jc w:val="center"/>
    </w:pPr>
    <w:rPr>
      <w:rFonts w:ascii="楷体_GB2312" w:eastAsia="楷体_GB2312"/>
      <w:sz w:val="24"/>
    </w:rPr>
  </w:style>
  <w:style w:type="paragraph" w:customStyle="1" w:styleId="36">
    <w:name w:val="正文缩进1"/>
    <w:basedOn w:val="1"/>
    <w:autoRedefine/>
    <w:qFormat/>
    <w:uiPriority w:val="0"/>
    <w:pPr>
      <w:ind w:firstLine="420"/>
    </w:pPr>
  </w:style>
  <w:style w:type="paragraph" w:customStyle="1" w:styleId="37">
    <w:name w:val="5-正文"/>
    <w:basedOn w:val="1"/>
    <w:autoRedefine/>
    <w:qFormat/>
    <w:uiPriority w:val="0"/>
  </w:style>
  <w:style w:type="paragraph" w:customStyle="1" w:styleId="38">
    <w:name w:val="3-表头"/>
    <w:basedOn w:val="1"/>
    <w:autoRedefine/>
    <w:qFormat/>
    <w:uiPriority w:val="0"/>
    <w:pPr>
      <w:snapToGrid w:val="0"/>
      <w:spacing w:line="480" w:lineRule="exact"/>
      <w:ind w:firstLine="480" w:firstLineChars="200"/>
      <w:jc w:val="center"/>
    </w:pPr>
    <w:rPr>
      <w:rFonts w:eastAsia="Cambria"/>
      <w:sz w:val="24"/>
    </w:rPr>
  </w:style>
  <w:style w:type="table" w:customStyle="1" w:styleId="39">
    <w:name w:val="Table Normal"/>
    <w:autoRedefine/>
    <w:unhideWhenUsed/>
    <w:qFormat/>
    <w:uiPriority w:val="0"/>
    <w:tblPr>
      <w:tblCellMar>
        <w:top w:w="0" w:type="dxa"/>
        <w:left w:w="0" w:type="dxa"/>
        <w:bottom w:w="0" w:type="dxa"/>
        <w:right w:w="0" w:type="dxa"/>
      </w:tblCellMar>
    </w:tblPr>
  </w:style>
  <w:style w:type="paragraph" w:customStyle="1" w:styleId="40">
    <w:name w:val="表中表格"/>
    <w:basedOn w:val="1"/>
    <w:autoRedefine/>
    <w:qFormat/>
    <w:uiPriority w:val="0"/>
    <w:pPr>
      <w:widowControl/>
      <w:spacing w:line="0" w:lineRule="atLeast"/>
      <w:jc w:val="center"/>
    </w:pPr>
    <w:rPr>
      <w:kern w:val="0"/>
      <w:szCs w:val="21"/>
    </w:rPr>
  </w:style>
  <w:style w:type="paragraph" w:customStyle="1" w:styleId="41">
    <w:name w:val="A-正文"/>
    <w:basedOn w:val="1"/>
    <w:autoRedefine/>
    <w:qFormat/>
    <w:uiPriority w:val="0"/>
    <w:rPr>
      <w:rFonts w:ascii="宋体" w:hAnsi="宋体" w:cs="Times New Roman"/>
      <w:szCs w:val="24"/>
    </w:rPr>
  </w:style>
  <w:style w:type="paragraph" w:customStyle="1" w:styleId="42">
    <w:name w:val="正文-1"/>
    <w:basedOn w:val="1"/>
    <w:autoRedefine/>
    <w:qFormat/>
    <w:uiPriority w:val="0"/>
    <w:pPr>
      <w:spacing w:line="360" w:lineRule="auto"/>
      <w:ind w:firstLine="200" w:firstLineChars="200"/>
    </w:pPr>
    <w:rPr>
      <w:rFonts w:ascii="宋体" w:hAnsi="宋体"/>
      <w:sz w:val="24"/>
      <w:szCs w:val="20"/>
    </w:rPr>
  </w:style>
  <w:style w:type="paragraph" w:customStyle="1" w:styleId="43">
    <w:name w:val="1-正文"/>
    <w:basedOn w:val="1"/>
    <w:autoRedefine/>
    <w:qFormat/>
    <w:uiPriority w:val="0"/>
    <w:pPr>
      <w:spacing w:line="360" w:lineRule="auto"/>
      <w:ind w:firstLine="480" w:firstLineChars="200"/>
      <w:jc w:val="left"/>
    </w:pPr>
    <w:rPr>
      <w:rFonts w:ascii="宋体" w:hAnsi="宋体" w:cs="宋体"/>
      <w:snapToGrid w:val="0"/>
      <w:color w:val="000000"/>
      <w:kern w:val="0"/>
      <w:sz w:val="24"/>
    </w:rPr>
  </w:style>
  <w:style w:type="paragraph" w:customStyle="1" w:styleId="44">
    <w:name w:val="4正文"/>
    <w:basedOn w:val="1"/>
    <w:autoRedefine/>
    <w:qFormat/>
    <w:uiPriority w:val="0"/>
    <w:pPr>
      <w:spacing w:line="360" w:lineRule="auto"/>
      <w:ind w:firstLine="200" w:firstLineChars="200"/>
    </w:pPr>
    <w:rPr>
      <w:kern w:val="0"/>
      <w:sz w:val="24"/>
      <w:szCs w:val="20"/>
    </w:rPr>
  </w:style>
  <w:style w:type="paragraph" w:customStyle="1" w:styleId="45">
    <w:name w:val="表格内容"/>
    <w:basedOn w:val="5"/>
    <w:next w:val="1"/>
    <w:autoRedefine/>
    <w:qFormat/>
    <w:uiPriority w:val="0"/>
    <w:pPr>
      <w:widowControl/>
      <w:tabs>
        <w:tab w:val="left" w:pos="3555"/>
        <w:tab w:val="left" w:pos="22680"/>
      </w:tabs>
      <w:adjustRightInd w:val="0"/>
      <w:spacing w:line="0" w:lineRule="atLeast"/>
      <w:jc w:val="center"/>
    </w:pPr>
    <w:rPr>
      <w:kern w:val="0"/>
      <w:szCs w:val="22"/>
    </w:rPr>
  </w:style>
  <w:style w:type="paragraph" w:customStyle="1" w:styleId="46">
    <w:name w:val="样式 小四 行距: 1.5 倍行距 首行缩进:  2 字符"/>
    <w:basedOn w:val="1"/>
    <w:autoRedefine/>
    <w:qFormat/>
    <w:uiPriority w:val="0"/>
    <w:pPr>
      <w:spacing w:line="440" w:lineRule="exact"/>
    </w:pPr>
    <w:rPr>
      <w:sz w:val="24"/>
      <w:szCs w:val="20"/>
    </w:rPr>
  </w:style>
  <w:style w:type="paragraph" w:customStyle="1" w:styleId="47">
    <w:name w:val="A-表格"/>
    <w:basedOn w:val="48"/>
    <w:autoRedefine/>
    <w:qFormat/>
    <w:uiPriority w:val="0"/>
    <w:rPr>
      <w:rFonts w:ascii="Times New Roman" w:hAnsi="Times New Roman" w:eastAsia="楷体_GB2312" w:cs="Times New Roman"/>
    </w:rPr>
  </w:style>
  <w:style w:type="paragraph" w:customStyle="1" w:styleId="48">
    <w:name w:val="表格（小五）11"/>
    <w:basedOn w:val="49"/>
    <w:autoRedefine/>
    <w:qFormat/>
    <w:uiPriority w:val="0"/>
  </w:style>
  <w:style w:type="paragraph" w:customStyle="1" w:styleId="49">
    <w:name w:val="表格（小五）"/>
    <w:basedOn w:val="50"/>
    <w:autoRedefine/>
    <w:qFormat/>
    <w:uiPriority w:val="0"/>
    <w:rPr>
      <w:szCs w:val="18"/>
      <w:lang w:val="zh-CN"/>
    </w:rPr>
  </w:style>
  <w:style w:type="paragraph" w:customStyle="1" w:styleId="50">
    <w:name w:val="表格（小五12）"/>
    <w:basedOn w:val="1"/>
    <w:autoRedefine/>
    <w:qFormat/>
    <w:uiPriority w:val="0"/>
    <w:pPr>
      <w:spacing w:line="220" w:lineRule="exact"/>
      <w:ind w:firstLine="0" w:firstLineChars="0"/>
      <w:jc w:val="center"/>
    </w:pPr>
    <w:rPr>
      <w:rFonts w:ascii="宋体" w:hAnsi="宋体" w:eastAsia="宋体" w:cs="Arial"/>
      <w:sz w:val="18"/>
      <w:szCs w:val="21"/>
    </w:rPr>
  </w:style>
  <w:style w:type="paragraph" w:customStyle="1" w:styleId="51">
    <w:name w:val="td1"/>
    <w:basedOn w:val="1"/>
    <w:next w:val="1"/>
    <w:autoRedefine/>
    <w:qFormat/>
    <w:uiPriority w:val="0"/>
    <w:pPr>
      <w:widowControl/>
      <w:spacing w:before="280" w:after="280" w:line="300" w:lineRule="atLeast"/>
      <w:ind w:firstLine="200"/>
    </w:pPr>
    <w:rPr>
      <w:color w:val="000000"/>
      <w:sz w:val="18"/>
    </w:rPr>
  </w:style>
  <w:style w:type="paragraph" w:customStyle="1" w:styleId="52">
    <w:name w:val="Table Paragraph"/>
    <w:basedOn w:val="1"/>
    <w:autoRedefine/>
    <w:qFormat/>
    <w:uiPriority w:val="1"/>
    <w:pPr>
      <w:autoSpaceDE w:val="0"/>
      <w:autoSpaceDN w:val="0"/>
      <w:adjustRightInd w:val="0"/>
      <w:jc w:val="left"/>
    </w:pPr>
    <w:rPr>
      <w:rFonts w:cs="等线"/>
      <w:kern w:val="0"/>
      <w:sz w:val="24"/>
    </w:rPr>
  </w:style>
  <w:style w:type="paragraph" w:styleId="53">
    <w:name w:val="List Paragraph"/>
    <w:basedOn w:val="1"/>
    <w:autoRedefine/>
    <w:qFormat/>
    <w:uiPriority w:val="1"/>
    <w:pPr>
      <w:ind w:left="1139" w:hanging="362"/>
    </w:pPr>
    <w:rPr>
      <w:rFonts w:ascii="宋体" w:hAnsi="宋体" w:eastAsia="宋体" w:cs="宋体"/>
      <w:lang w:val="zh-CN" w:eastAsia="zh-CN" w:bidi="zh-CN"/>
    </w:rPr>
  </w:style>
  <w:style w:type="paragraph" w:customStyle="1" w:styleId="54">
    <w:name w:val="表中文字"/>
    <w:basedOn w:val="1"/>
    <w:autoRedefine/>
    <w:qFormat/>
    <w:uiPriority w:val="0"/>
    <w:pPr>
      <w:wordWrap w:val="0"/>
      <w:spacing w:line="240" w:lineRule="auto"/>
      <w:ind w:firstLine="0" w:firstLineChars="0"/>
      <w:jc w:val="center"/>
    </w:pPr>
    <w:rPr>
      <w:rFonts w:ascii="Times New Roman" w:hAnsi="Times New Roman" w:eastAsia="宋体"/>
    </w:rPr>
  </w:style>
  <w:style w:type="paragraph" w:customStyle="1" w:styleId="55">
    <w:name w:val="正文LD"/>
    <w:basedOn w:val="1"/>
    <w:autoRedefine/>
    <w:qFormat/>
    <w:uiPriority w:val="0"/>
    <w:pPr>
      <w:tabs>
        <w:tab w:val="left" w:pos="0"/>
      </w:tabs>
      <w:spacing w:line="360" w:lineRule="auto"/>
      <w:ind w:firstLine="480" w:firstLineChars="200"/>
    </w:pPr>
    <w:rPr>
      <w:rFonts w:ascii="Century Gothic" w:hAnsi="Century Gothic"/>
      <w:sz w:val="24"/>
      <w:szCs w:val="20"/>
    </w:rPr>
  </w:style>
  <w:style w:type="character" w:customStyle="1" w:styleId="56">
    <w:name w:val="font21"/>
    <w:basedOn w:val="25"/>
    <w:qFormat/>
    <w:uiPriority w:val="0"/>
    <w:rPr>
      <w:rFonts w:ascii="宋体" w:hAnsi="宋体" w:eastAsia="宋体" w:cs="宋体"/>
      <w:color w:val="000000"/>
      <w:sz w:val="16"/>
      <w:szCs w:val="16"/>
      <w:u w:val="none"/>
    </w:rPr>
  </w:style>
  <w:style w:type="paragraph" w:customStyle="1" w:styleId="57">
    <w:name w:val="正文00"/>
    <w:basedOn w:val="1"/>
    <w:qFormat/>
    <w:uiPriority w:val="0"/>
    <w:pPr>
      <w:spacing w:line="360" w:lineRule="auto"/>
      <w:ind w:firstLine="480" w:firstLineChars="200"/>
    </w:pPr>
    <w:rPr>
      <w:rFonts w:ascii="Times New Roman" w:hAnsi="Times New Roman" w:cs="宋体"/>
      <w:sz w:val="24"/>
      <w:szCs w:val="24"/>
    </w:rPr>
  </w:style>
  <w:style w:type="paragraph" w:customStyle="1" w:styleId="58">
    <w:name w:val="【正文】"/>
    <w:basedOn w:val="1"/>
    <w:qFormat/>
    <w:uiPriority w:val="0"/>
    <w:pPr>
      <w:spacing w:line="440" w:lineRule="exact"/>
      <w:ind w:firstLine="544" w:firstLineChars="200"/>
    </w:pPr>
    <w:rPr>
      <w:rFonts w:ascii="Times New Roman" w:hAnsi="Times New Roman" w:cs="宋体"/>
      <w:sz w:val="24"/>
      <w:szCs w:val="20"/>
    </w:rPr>
  </w:style>
  <w:style w:type="paragraph" w:customStyle="1" w:styleId="59">
    <w:name w:val="Table Text"/>
    <w:basedOn w:val="1"/>
    <w:semiHidden/>
    <w:qFormat/>
    <w:uiPriority w:val="0"/>
    <w:rPr>
      <w:rFonts w:ascii="宋体" w:hAnsi="宋体" w:eastAsia="宋体" w:cs="宋体"/>
      <w:sz w:val="24"/>
      <w:szCs w:val="24"/>
      <w:lang w:val="en-US" w:eastAsia="en-US" w:bidi="ar-SA"/>
    </w:rPr>
  </w:style>
  <w:style w:type="character" w:customStyle="1" w:styleId="60">
    <w:name w:val="fontstyle01"/>
    <w:qFormat/>
    <w:uiPriority w:val="0"/>
    <w:rPr>
      <w:rFonts w:hint="eastAsia" w:ascii="宋体" w:hAnsi="宋体" w:eastAsia="宋体"/>
      <w:color w:val="000000"/>
      <w:sz w:val="24"/>
      <w:szCs w:val="24"/>
    </w:rPr>
  </w:style>
  <w:style w:type="character" w:customStyle="1" w:styleId="61">
    <w:name w:val="font61"/>
    <w:basedOn w:val="25"/>
    <w:qFormat/>
    <w:uiPriority w:val="0"/>
    <w:rPr>
      <w:rFonts w:hint="eastAsia" w:ascii="仿宋" w:hAnsi="仿宋" w:eastAsia="仿宋" w:cs="仿宋"/>
      <w:color w:val="000000"/>
      <w:sz w:val="28"/>
      <w:szCs w:val="28"/>
      <w:u w:val="none"/>
    </w:rPr>
  </w:style>
  <w:style w:type="paragraph" w:customStyle="1" w:styleId="62">
    <w:name w:val="！正文"/>
    <w:basedOn w:val="1"/>
    <w:qFormat/>
    <w:uiPriority w:val="0"/>
    <w:pPr>
      <w:spacing w:line="360" w:lineRule="auto"/>
      <w:ind w:firstLine="200" w:firstLineChars="200"/>
    </w:pPr>
    <w:rPr>
      <w:kern w:val="0"/>
      <w:sz w:val="24"/>
    </w:rPr>
  </w:style>
  <w:style w:type="paragraph" w:customStyle="1" w:styleId="63">
    <w:name w:val="xl3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64">
    <w:name w:val="报告表正文"/>
    <w:basedOn w:val="1"/>
    <w:qFormat/>
    <w:uiPriority w:val="0"/>
    <w:pPr>
      <w:spacing w:line="360" w:lineRule="auto"/>
    </w:pPr>
    <w:rPr>
      <w:rFonts w:cs="黑体"/>
      <w:sz w:val="24"/>
    </w:rPr>
  </w:style>
  <w:style w:type="paragraph" w:customStyle="1" w:styleId="65">
    <w:name w:val="Normal"/>
    <w:basedOn w:val="1"/>
    <w:qFormat/>
    <w:uiPriority w:val="0"/>
    <w:pPr>
      <w:widowControl/>
      <w:jc w:val="left"/>
    </w:pPr>
    <w:rPr>
      <w:kern w:val="0"/>
      <w:sz w:val="24"/>
    </w:rPr>
  </w:style>
  <w:style w:type="paragraph" w:customStyle="1" w:styleId="66">
    <w:name w:val="内容文本"/>
    <w:basedOn w:val="1"/>
    <w:qFormat/>
    <w:uiPriority w:val="0"/>
    <w:pPr>
      <w:spacing w:line="360" w:lineRule="auto"/>
      <w:ind w:firstLine="720" w:firstLineChars="200"/>
    </w:pPr>
    <w:rPr>
      <w:kern w:val="0"/>
      <w:sz w:val="24"/>
      <w:szCs w:val="20"/>
    </w:rPr>
  </w:style>
  <w:style w:type="paragraph" w:customStyle="1" w:styleId="67">
    <w:name w:val="样式10"/>
    <w:basedOn w:val="1"/>
    <w:next w:val="1"/>
    <w:qFormat/>
    <w:uiPriority w:val="0"/>
    <w:pPr>
      <w:ind w:firstLine="447" w:firstLineChars="200"/>
    </w:pPr>
    <w:rPr>
      <w:rFonts w:ascii="宋体" w:hAnsi="宋体" w:cs="宋体"/>
      <w:sz w:val="24"/>
    </w:rPr>
  </w:style>
  <w:style w:type="paragraph" w:customStyle="1" w:styleId="68">
    <w:name w:val="【表头】"/>
    <w:basedOn w:val="1"/>
    <w:qFormat/>
    <w:uiPriority w:val="0"/>
    <w:pPr>
      <w:spacing w:before="50" w:beforeLines="50" w:after="50" w:afterLines="50" w:line="360" w:lineRule="exact"/>
      <w:jc w:val="center"/>
    </w:pPr>
    <w:rPr>
      <w:rFonts w:eastAsia="仿宋_GB2312" w:cs="Arial"/>
      <w:b/>
      <w:sz w:val="24"/>
    </w:rPr>
  </w:style>
  <w:style w:type="paragraph" w:customStyle="1" w:styleId="69">
    <w:name w:val="表内字"/>
    <w:basedOn w:val="1"/>
    <w:qFormat/>
    <w:uiPriority w:val="0"/>
    <w:pPr>
      <w:spacing w:line="280" w:lineRule="exact"/>
      <w:jc w:val="center"/>
    </w:pPr>
    <w:rPr>
      <w:rFonts w:eastAsia="仿宋_GB2312"/>
    </w:rPr>
  </w:style>
  <w:style w:type="paragraph" w:customStyle="1" w:styleId="70">
    <w:name w:val="2-正文"/>
    <w:basedOn w:val="1"/>
    <w:qFormat/>
    <w:uiPriority w:val="0"/>
    <w:pPr>
      <w:spacing w:line="480" w:lineRule="exact"/>
      <w:ind w:firstLine="480" w:firstLineChars="200"/>
    </w:pPr>
    <w:rPr>
      <w:rFonts w:ascii="宋体" w:hAnsi="宋体"/>
      <w:sz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microsoft.com/office/2006/relationships/keyMapCustomizations" Target="customizations.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7.jpeg"/><Relationship Id="rId27" Type="http://schemas.openxmlformats.org/officeDocument/2006/relationships/image" Target="media/image16.jpe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e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90b1ecbc-de80-478c-89ce-0f689e95c673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519F3E02</paraID>
      <start>23</start>
      <end>24</end>
      <status>modified</status>
      <modifiedWord>—</modifiedWord>
      <trackRevisions>false</trackRevisions>
    </reviewItem>
    <reviewItem>
      <errorID>d9260d2f-565e-4c60-99b3-8ae2135028d7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4F8C2F5</paraID>
      <start>36</start>
      <end>37</end>
      <status>modified</status>
      <modifiedWord>—</modifiedWord>
      <trackRevisions>false</trackRevisions>
    </reviewItem>
    <reviewItem>
      <errorID>171a85e2-fcf4-41dd-af58-7f588ba97765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66C9048E</paraID>
      <start>23</start>
      <end>24</end>
      <status>modified</status>
      <modifiedWord>—</modifiedWord>
      <trackRevisions>false</trackRevisions>
    </reviewItem>
    <reviewItem>
      <errorID>cd162238-a740-4a7a-804d-16090a7fc460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456F7F0B</paraID>
      <start>36</start>
      <end>37</end>
      <status>modified</status>
      <modifiedWord>—</modifiedWord>
      <trackRevisions>false</trackRevisions>
    </reviewItem>
    <reviewItem>
      <errorID>a89eb1da-d3ae-4e0c-bef1-0e467e048507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550BCCDB</paraID>
      <start>30</start>
      <end>31</end>
      <status>modified</status>
      <modifiedWord>—</modifiedWord>
      <trackRevisions>false</trackRevisions>
    </reviewItem>
    <reviewItem>
      <errorID>527af6bc-7b1b-4fef-8463-0a85df531c65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D96161C</paraID>
      <start>26</start>
      <end>27</end>
      <status>modified</status>
      <modifiedWord>—</modifiedWord>
      <trackRevisions>false</trackRevisions>
    </reviewItem>
    <reviewItem>
      <errorID>5a660ae8-794b-4cc0-a732-b96b3a5e66b3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59930E69</paraID>
      <start>0</start>
      <end>2</end>
      <status>modified</status>
      <modifiedWord>1.</modifiedWord>
      <trackRevisions>false</trackRevisions>
    </reviewItem>
    <reviewItem>
      <errorID>6f19f4bc-5189-4352-93aa-1ba672d2ff4f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59930E69</paraID>
      <start>20</start>
      <end>21</end>
      <status>modified</status>
      <modifiedWord>—</modifiedWord>
      <trackRevisions>false</trackRevisions>
    </reviewItem>
    <reviewItem>
      <errorID>107f7e87-1198-487b-bff8-a2e243fd2492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19FB90CC</paraID>
      <start>0</start>
      <end>2</end>
      <status>modified</status>
      <modifiedWord>2.</modifiedWord>
      <trackRevisions>false</trackRevisions>
    </reviewItem>
    <reviewItem>
      <errorID>3d2041d0-82b7-4601-97cb-7a0dd608527f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40D7E8AF</paraID>
      <start>0</start>
      <end>2</end>
      <status>modified</status>
      <modifiedWord>3.</modifiedWord>
      <trackRevisions>false</trackRevisions>
    </reviewItem>
    <reviewItem>
      <errorID>077c8cc0-d78f-40ff-bdd9-050a89fa422e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40D7E8AF</paraID>
      <start>20</start>
      <end>21</end>
      <status>modified</status>
      <modifiedWord>—</modifiedWord>
      <trackRevisions>false</trackRevisions>
    </reviewItem>
    <reviewItem>
      <errorID>92e2b1db-0758-42ac-8ddb-61275792c860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DA3B27</paraID>
      <start>17</start>
      <end>18</end>
      <status>modified</status>
      <modifiedWord>—</modifiedWord>
      <trackRevisions>false</trackRevisions>
    </reviewItem>
    <reviewItem>
      <errorID>05c31120-3ae6-49ae-8fbc-faf0aff0ecc1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797B3476</paraID>
      <start>0</start>
      <end>2</end>
      <status>modified</status>
      <modifiedWord>1.</modifiedWord>
      <trackRevisions>false</trackRevisions>
    </reviewItem>
    <reviewItem>
      <errorID>abdd5707-c256-4f4f-beb4-0f7c6af5c8ef</errorID>
      <errorWord>》</errorWord>
      <group>L1_Word</group>
      <groupName>字词问题</groupName>
      <ability>L2_Typo</ability>
      <abilityName>字词错误</abilityName>
      <candidateList>
        <item>》等</item>
      </candidateList>
      <explain/>
      <paraID>6A2614C8</paraID>
      <start>239</start>
      <end>241</end>
      <status>modified</status>
      <modifiedWord>》等</modifiedWord>
      <trackRevisions>false</trackRevisions>
    </reviewItem>
    <reviewItem>
      <errorID>fc0eef14-6b31-4f39-b1a3-2b567abe2dfb</errorID>
      <errorWord>好</errorWord>
      <group>L1_Word</group>
      <groupName>字词问题</groupName>
      <ability>L2_Typo</ability>
      <abilityName>字词错误</abilityName>
      <candidateList>
        <item>高</item>
      </candidateList>
      <explain>❶〈形〉从下向上距离大；离地面远（跟“低”相对，▲▲同）：～楼大厦｜这里地势很～。❷〈名〉高度：那棵树有五米～｜书桌～八十厘米。❸〈名〉三角形、平行四边形等从底部到顶部（顶点或平行线）的垂直距离。❹〈形〉在一般标准或平均程度之上的：～速度｜体温～｜见解比别人～。❺〈形〉等级在上的：～等｜～年级｜哥哥比我～一班。</explain>
      <paraID>426DAE81</paraID>
      <start>28</start>
      <end>29</end>
      <status>modified</status>
      <modifiedWord>高</modifiedWord>
      <trackRevisions>false</trackRevisions>
    </reviewItem>
    <reviewItem>
      <errorID>7abf52d4-a7d0-4b52-9da3-ec8c553b5a9d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37C8EFAF</paraID>
      <start>0</start>
      <end>2</end>
      <status>modified</status>
      <modifiedWord>1.</modifiedWord>
      <trackRevisions>false</trackRevisions>
    </reviewItem>
    <reviewItem>
      <errorID>637e0c5a-b72e-4c87-983d-14e43b06a535</errorID>
      <errorWord>地</errorWord>
      <group>L1_Word</group>
      <groupName>字词问题</groupName>
      <ability>L2_DDD</ability>
      <abilityName>的地得用法</abilityName>
      <candidateList>
        <item>的</item>
      </candidateList>
      <explain>“的”常用于连接修饰语与名词性中心语，表示属性、所属或描述。</explain>
      <paraID>5AD8AB03</paraID>
      <start>54</start>
      <end>55</end>
      <status>modified</status>
      <modifiedWord>的</modifiedWord>
      <trackRevisions>false</trackRevisions>
    </reviewItem>
    <reviewItem>
      <errorID>bd7ea86a-31b5-4b48-9bef-16dfde803371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7ECAC09C</paraID>
      <start>0</start>
      <end>2</end>
      <status>modified</status>
      <modifiedWord>1.</modifiedWord>
      <trackRevisions>false</trackRevisions>
    </reviewItem>
    <reviewItem>
      <errorID>6afb380b-4e6e-4a32-82d8-16b50a6ba354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5B7DFA7F</paraID>
      <start>0</start>
      <end>2</end>
      <status>modified</status>
      <modifiedWord>1.</modifiedWord>
      <trackRevisions>false</trackRevisions>
    </reviewItem>
    <reviewItem>
      <errorID>42cbb9d4-840e-4d24-bf2d-70bf50a9895e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1F7B4D20</paraID>
      <start>0</start>
      <end>2</end>
      <status>modified</status>
      <modifiedWord>2.</modifiedWord>
      <trackRevisions>false</trackRevisions>
    </reviewItem>
    <reviewItem>
      <errorID>63988ff2-16e1-4276-96ca-359afa9c7f77</errorID>
      <errorWord>》</errorWord>
      <group>L1_Word</group>
      <groupName>字词问题</groupName>
      <ability>L2_Typo</ability>
      <abilityName>字词错误</abilityName>
      <candidateList>
        <item>》等</item>
      </candidateList>
      <explain/>
      <paraID>1F7B4D20</paraID>
      <start>40</start>
      <end>42</end>
      <status>modified</status>
      <modifiedWord>》等</modifiedWord>
      <trackRevisions>false</trackRevisions>
    </reviewItem>
    <reviewItem>
      <errorID>47c7fd4f-c488-4166-be78-7182b85a3285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1491AE98</paraID>
      <start>0</start>
      <end>2</end>
      <status>modified</status>
      <modifiedWord>3.</modifiedWord>
      <trackRevisions>false</trackRevisions>
    </reviewItem>
    <reviewItem>
      <errorID>1fa05873-6499-4d61-aa4e-b1d9c1983c5a</errorID>
      <errorWord>》</errorWord>
      <group>L1_Word</group>
      <groupName>字词问题</groupName>
      <ability>L2_Typo</ability>
      <abilityName>字词错误</abilityName>
      <candidateList>
        <item>》等</item>
      </candidateList>
      <explain/>
      <paraID>1491AE98</paraID>
      <start>82</start>
      <end>84</end>
      <status>modified</status>
      <modifiedWord>》等</modifiedWord>
      <trackRevisions>false</trackRevisions>
    </reviewItem>
    <reviewItem>
      <errorID>1e3701e4-8d82-4e6f-b114-1b3e265f5eb3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52A1F21</paraID>
      <start>0</start>
      <end>2</end>
      <status>modified</status>
      <modifiedWord>4.</modifiedWord>
      <trackRevisions>false</trackRevisions>
    </reviewItem>
    <reviewItem>
      <errorID>f78138e9-48be-4c25-81f6-172ecd4f2e08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14C4AFC5</paraID>
      <start>0</start>
      <end>2</end>
      <status>modified</status>
      <modifiedWord>5.</modifiedWord>
      <trackRevisions>false</trackRevisions>
    </reviewItem>
    <reviewItem>
      <errorID>e4a7d463-5405-4abc-8a08-78e42b21467d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72104535</paraID>
      <start>0</start>
      <end>2</end>
      <status>modified</status>
      <modifiedWord>6.</modifiedWord>
      <trackRevisions>false</trackRevisions>
    </reviewItem>
    <reviewItem>
      <errorID>2b0aa604-c7fd-4a42-8ad0-57c8c91ddaa2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7DA42AFD</paraID>
      <start>0</start>
      <end>2</end>
      <status>modified</status>
      <modifiedWord>1.</modifiedWord>
      <trackRevisions>false</trackRevisions>
    </reviewItem>
    <reviewItem>
      <errorID>7ba06a20-15d8-41d4-b674-747cb7b2ad2d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5E23D53F</paraID>
      <start>0</start>
      <end>2</end>
      <status>modified</status>
      <modifiedWord>2.</modifiedWord>
      <trackRevisions>false</trackRevisions>
    </reviewItem>
    <reviewItem>
      <errorID>d07f0c7e-643e-46e7-b523-b00932791dd2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7AAC287C</paraID>
      <start>0</start>
      <end>2</end>
      <status>modified</status>
      <modifiedWord>3.</modifiedWord>
      <trackRevisions>false</trackRevisions>
    </reviewItem>
    <reviewItem>
      <errorID>dc5320e7-2bd0-47b0-8c39-518f87b26b12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5D4C6F6E</paraID>
      <start>0</start>
      <end>2</end>
      <status>modified</status>
      <modifiedWord>4.</modifiedWord>
      <trackRevisions>false</trackRevisions>
    </reviewItem>
    <reviewItem>
      <errorID>4007909b-9f73-41b0-b1b1-94d3c2da4b7b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D3C79EC</paraID>
      <start>0</start>
      <end>2</end>
      <status>modified</status>
      <modifiedWord>5.</modifiedWord>
      <trackRevisions>false</trackRevisions>
    </reviewItem>
    <reviewItem>
      <errorID>f6d3f887-dea8-4fb1-8d09-f60d9fd93422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5410769</paraID>
      <start>0</start>
      <end>2</end>
      <status>modified</status>
      <modifiedWord>6.</modifiedWord>
      <trackRevisions>false</trackRevisions>
    </reviewItem>
    <reviewItem>
      <errorID>c52ed51a-a079-4bd4-8550-adfceb9b705d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25984FBF</paraID>
      <start>0</start>
      <end>2</end>
      <status>modified</status>
      <modifiedWord>7.</modifiedWord>
      <trackRevisions>false</trackRevisions>
    </reviewItem>
    <reviewItem>
      <errorID>660ad262-1323-406d-a2b3-ff8f30b81c89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3F3D343</paraID>
      <start>0</start>
      <end>2</end>
      <status>modified</status>
      <modifiedWord>8.</modifiedWord>
      <trackRevisions>false</trackRevisions>
    </reviewItem>
    <reviewItem>
      <errorID>26728d1e-fb29-491f-a34f-a9cf48e85ce7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198A6793</paraID>
      <start>0</start>
      <end>2</end>
      <status>modified</status>
      <modifiedWord>9.</modifiedWord>
      <trackRevisions>false</trackRevisions>
    </reviewItem>
    <reviewItem>
      <errorID>4d7f0005-055d-4bdc-aa72-ef4d9b17f332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7C8708F8</paraID>
      <start>0</start>
      <end>2</end>
      <status>modified</status>
      <modifiedWord>1.</modifiedWord>
      <trackRevisions>false</trackRevisions>
    </reviewItem>
    <reviewItem>
      <errorID>8c1886de-b996-4e09-a89a-3d05cc333719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720F69A5</paraID>
      <start>0</start>
      <end>2</end>
      <status>modified</status>
      <modifiedWord>2.</modifiedWord>
      <trackRevisions>false</trackRevisions>
    </reviewItem>
    <reviewItem>
      <errorID>49776701-cceb-493a-8202-1db94e106ded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193BEFE6</paraID>
      <start>0</start>
      <end>2</end>
      <status>modified</status>
      <modifiedWord>3.</modifiedWord>
      <trackRevisions>false</trackRevisions>
    </reviewItem>
    <reviewItem>
      <errorID>11b4e386-1a9d-4d01-85b8-8f981b1ba48c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44E2B936</paraID>
      <start>0</start>
      <end>2</end>
      <status>modified</status>
      <modifiedWord>4.</modifiedWord>
      <trackRevisions>false</trackRevisions>
    </reviewItem>
    <reviewItem>
      <errorID>af3f7579-9c4d-49ad-bbed-1eaf1871c58b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1F31EE09</paraID>
      <start>0</start>
      <end>2</end>
      <status>modified</status>
      <modifiedWord>5.</modifiedWord>
      <trackRevisions>false</trackRevisions>
    </reviewItem>
    <reviewItem>
      <errorID>6426dbd7-1026-4ee7-a784-45dfc05e12d4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13096A69</paraID>
      <start>0</start>
      <end>2</end>
      <status>modified</status>
      <modifiedWord>6.</modifiedWord>
      <trackRevisions>false</trackRevisions>
    </reviewItem>
    <reviewItem>
      <errorID>18fc3439-f43b-4252-9559-2654d6b2e5cb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13096A69</paraID>
      <start>34</start>
      <end>36</end>
      <status>modified</status>
      <modifiedWord>》《</modifiedWord>
      <trackRevisions>false</trackRevisions>
    </reviewItem>
    <reviewItem>
      <errorID>5ff687a0-f35e-478b-8495-7162d7cd495f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13096A69</paraID>
      <start>49</start>
      <end>51</end>
      <status>modified</status>
      <modifiedWord>》《</modifiedWord>
      <trackRevisions>false</trackRevisions>
    </reviewItem>
    <reviewItem>
      <errorID>c263ed54-66e1-41d2-8c7e-82c08e6dca6e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523E2542</paraID>
      <start>0</start>
      <end>2</end>
      <status>modified</status>
      <modifiedWord>7.</modifiedWord>
      <trackRevisions>false</trackRevisions>
    </reviewItem>
    <reviewItem>
      <errorID>07b8f0c9-4279-4155-a4f7-a3652c301ed4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6588A7</paraID>
      <start>0</start>
      <end>2</end>
      <status>modified</status>
      <modifiedWord>8.</modifiedWord>
      <trackRevisions>false</trackRevisions>
    </reviewItem>
    <reviewItem>
      <errorID>c4b45200-e31f-4dfc-b74b-49a7c1ba9d58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16B2763F</paraID>
      <start>0</start>
      <end>2</end>
      <status>modified</status>
      <modifiedWord>9.</modifiedWord>
      <trackRevisions>false</trackRevisions>
    </reviewItem>
    <reviewItem>
      <errorID>86342b79-4931-418e-b2a2-cf378f851064</errorID>
      <errorWord>地</errorWord>
      <group>L1_Word</group>
      <groupName>字词问题</groupName>
      <ability>L2_DDD</ability>
      <abilityName>的地得用法</abilityName>
      <candidateList>
        <item>的</item>
      </candidateList>
      <explain>“的”常用于连接修饰语与名词性中心语，表示属性、所属或描述。</explain>
      <paraID>3543DC6E</paraID>
      <start>41</start>
      <end>42</end>
      <status>modified</status>
      <modifiedWord>的</modifiedWord>
      <trackRevisions>false</trackRevisions>
    </reviewItem>
    <reviewItem>
      <errorID>d1bef9e1-8dc5-4cda-a158-4f946c326c01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449BF0D5</paraID>
      <start>0</start>
      <end>2</end>
      <status>modified</status>
      <modifiedWord>1.</modifiedWord>
      <trackRevisions>false</trackRevisions>
    </reviewItem>
    <reviewItem>
      <errorID>c80fb8d3-7ac3-4c88-9cea-e8d80af84e1e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3A78DF2A</paraID>
      <start>0</start>
      <end>2</end>
      <status>modified</status>
      <modifiedWord>2.</modifiedWord>
      <trackRevisions>false</trackRevisions>
    </reviewItem>
    <reviewItem>
      <errorID>16ab800f-aaed-43ef-b4c8-3e1b261c4314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1B4B74F9</paraID>
      <start>0</start>
      <end>2</end>
      <status>modified</status>
      <modifiedWord>3.</modifiedWord>
      <trackRevisions>false</trackRevisions>
    </reviewItem>
    <reviewItem>
      <errorID>1d8733ca-d41f-42e9-a7f6-c1d14d303c36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28854BDC</paraID>
      <start>0</start>
      <end>2</end>
      <status>modified</status>
      <modifiedWord>4.</modifiedWord>
      <trackRevisions>false</trackRevisions>
    </reviewItem>
    <reviewItem>
      <errorID>be0f6117-bea1-401d-8430-2a79f85f8f8d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798D761E</paraID>
      <start>0</start>
      <end>2</end>
      <status>modified</status>
      <modifiedWord>1.</modifiedWord>
      <trackRevisions>false</trackRevisions>
    </reviewItem>
    <reviewItem>
      <errorID>b04603c2-303b-45d9-9516-062c7b57ae3b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21A08D8F</paraID>
      <start>0</start>
      <end>2</end>
      <status>modified</status>
      <modifiedWord>2.</modifiedWord>
      <trackRevisions>false</trackRevisions>
    </reviewItem>
    <reviewItem>
      <errorID>40d8402d-ab2d-403f-8e96-0f0677f67f8f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7C6E5CC1</paraID>
      <start>0</start>
      <end>2</end>
      <status>modified</status>
      <modifiedWord>3.</modifiedWord>
      <trackRevisions>false</trackRevisions>
    </reviewItem>
    <reviewItem>
      <errorID>8ff8da99-3b49-4d6d-9fb4-68ddcd83dcd8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E61AD6C</paraID>
      <start>0</start>
      <end>2</end>
      <status>modified</status>
      <modifiedWord>4.</modifiedWord>
      <trackRevisions>false</trackRevisions>
    </reviewItem>
    <reviewItem>
      <errorID>df16fd02-38f1-4351-9dfe-6aa25257a379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38E2EFD9</paraID>
      <start>0</start>
      <end>2</end>
      <status>modified</status>
      <modifiedWord>1.</modifiedWord>
      <trackRevisions>false</trackRevisions>
    </reviewItem>
    <reviewItem>
      <errorID>a45db2d7-d364-4228-9aa1-06d0276b907f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12CC62D1</paraID>
      <start>0</start>
      <end>2</end>
      <status>modified</status>
      <modifiedWord>2.</modifiedWord>
      <trackRevisions>false</trackRevisions>
    </reviewItem>
    <reviewItem>
      <errorID>3d123940-b7cf-4d10-81b6-8b296455b92a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1E44A700</paraID>
      <start>0</start>
      <end>2</end>
      <status>modified</status>
      <modifiedWord>3.</modifiedWord>
      <trackRevisions>false</trackRevisions>
    </reviewItem>
    <reviewItem>
      <errorID>776aaba7-57b1-4f7d-ba7b-1ca141a819e7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358AA6B1</paraID>
      <start>0</start>
      <end>2</end>
      <status>modified</status>
      <modifiedWord>4.</modifiedWord>
      <trackRevisions>false</trackRevisions>
    </reviewItem>
    <reviewItem>
      <errorID>4eaa89e3-e711-48dc-a9bd-5940efa0971d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36DF3E27</paraID>
      <start>0</start>
      <end>2</end>
      <status>modified</status>
      <modifiedWord>5.</modifiedWord>
      <trackRevisions>false</trackRevisions>
    </reviewItem>
    <reviewItem>
      <errorID>7039205b-fb08-4465-98a7-c3292a7eea2b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20C84392</paraID>
      <start>0</start>
      <end>2</end>
      <status>modified</status>
      <modifiedWord>6.</modifiedWord>
      <trackRevisions>false</trackRevisions>
    </reviewItem>
    <reviewItem>
      <errorID>cdd1fc0d-2ba8-4333-b534-2f1e81665d6e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20658FF9</paraID>
      <start>0</start>
      <end>2</end>
      <status>modified</status>
      <modifiedWord>1.</modifiedWord>
      <trackRevisions>false</trackRevisions>
    </reviewItem>
    <reviewItem>
      <errorID>5f1308e2-362a-424c-9e9b-7999d3aae851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4A0FF1CE</paraID>
      <start>0</start>
      <end>2</end>
      <status>modified</status>
      <modifiedWord>2.</modifiedWord>
      <trackRevisions>false</trackRevisions>
    </reviewItem>
    <reviewItem>
      <errorID>092f3c47-4854-4687-8727-ce39ca788682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4BBAA3B3</paraID>
      <start>0</start>
      <end>2</end>
      <status>modified</status>
      <modifiedWord>1.</modifiedWord>
      <trackRevisions>false</trackRevisions>
    </reviewItem>
    <reviewItem>
      <errorID>77e9239f-8469-4086-86f4-6ccfee62ed6d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6388CC9C</paraID>
      <start>0</start>
      <end>2</end>
      <status>modified</status>
      <modifiedWord>2.</modifiedWord>
      <trackRevisions>false</trackRevisions>
    </reviewItem>
    <reviewItem>
      <errorID>9f7d3442-dd01-408e-8578-b3dceaf82c0f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C700C1A</paraID>
      <start>0</start>
      <end>2</end>
      <status>modified</status>
      <modifiedWord>3.</modifiedWord>
      <trackRevisions>false</trackRevisions>
    </reviewItem>
    <reviewItem>
      <errorID>c94a991e-0b48-4172-8f48-d715236b23bf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7C8E30A2</paraID>
      <start>0</start>
      <end>2</end>
      <status>modified</status>
      <modifiedWord>1.</modifiedWord>
      <trackRevisions>false</trackRevisions>
    </reviewItem>
    <reviewItem>
      <errorID>7956cf13-5845-4eb5-bd5b-720b0e6a1d0c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6D96580A</paraID>
      <start>0</start>
      <end>2</end>
      <status>modified</status>
      <modifiedWord>2.</modifiedWord>
      <trackRevisions>false</trackRevisions>
    </reviewItem>
    <reviewItem>
      <errorID>62dd9dc6-9965-4e00-945f-183f5729d003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3D284B08</paraID>
      <start>42</start>
      <end>44</end>
      <status>modified</status>
      <modifiedWord>》《</modifiedWord>
      <trackRevisions>false</trackRevisions>
    </reviewItem>
    <reviewItem>
      <errorID>37c93b3b-9c7e-4623-8b45-02fffc10f5dd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377DE27F</paraID>
      <start>42</start>
      <end>44</end>
      <status>modified</status>
      <modifiedWord>》《</modifiedWord>
      <trackRevisions>false</trackRevisions>
    </reviewItem>
    <reviewItem>
      <errorID>f8fa351b-1433-4776-84cb-0290923615f6</errorID>
      <errorWord>地</errorWord>
      <group>L1_Word</group>
      <groupName>字词问题</groupName>
      <ability>L2_DDD</ability>
      <abilityName>的地得用法</abilityName>
      <candidateList>
        <item>的</item>
      </candidateList>
      <explain>“的”常用于连接修饰语与名词性中心语，表示属性、所属或描述。</explain>
      <paraID>5B5FF683</paraID>
      <start>41</start>
      <end>42</end>
      <status>modified</status>
      <modifiedWord>的</modifiedWord>
      <trackRevisions>false</trackRevisions>
    </reviewItem>
    <reviewItem>
      <errorID>4a53c76b-c87f-4f28-a387-8dbe12b445b4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7E08E7E3</paraID>
      <start>0</start>
      <end>2</end>
      <status>modified</status>
      <modifiedWord>2.</modifiedWord>
      <trackRevisions>false</trackRevisions>
    </reviewItem>
    <reviewItem>
      <errorID>19252f23-e449-431e-a503-19a16517ac02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4CC7EE84</paraID>
      <start>0</start>
      <end>2</end>
      <status>modified</status>
      <modifiedWord>1.</modifiedWord>
      <trackRevisions>false</trackRevisions>
    </reviewItem>
    <reviewItem>
      <errorID>a336bfba-b0e5-45e1-aea9-5dfca8d14042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3E74BFBD</paraID>
      <start>0</start>
      <end>2</end>
      <status>modified</status>
      <modifiedWord>2.</modifiedWord>
      <trackRevisions>false</trackRevisions>
    </reviewItem>
    <reviewItem>
      <errorID>15582676-dea1-429b-8ed2-106c264b189f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735227E1</paraID>
      <start>0</start>
      <end>2</end>
      <status>modified</status>
      <modifiedWord>3.</modifiedWord>
      <trackRevisions>false</trackRevisions>
    </reviewItem>
    <reviewItem>
      <errorID>f2e9f52c-d7cd-4942-9536-619652d8a76b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520E04FB</paraID>
      <start>0</start>
      <end>2</end>
      <status>modified</status>
      <modifiedWord>4.</modifiedWord>
      <trackRevisions>false</trackRevisions>
    </reviewItem>
    <reviewItem>
      <errorID>c7a7bfdf-0ddc-4e7d-8be0-1176d1ea61e8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35F4735A</paraID>
      <start>0</start>
      <end>2</end>
      <status>modified</status>
      <modifiedWord>1.</modifiedWord>
      <trackRevisions>false</trackRevisions>
    </reviewItem>
    <reviewItem>
      <errorID>9365c905-f0f3-4ea1-9f02-10850780c161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7C6C60C1</paraID>
      <start>0</start>
      <end>2</end>
      <status>modified</status>
      <modifiedWord>2.</modifiedWord>
      <trackRevisions>false</trackRevisions>
    </reviewItem>
    <reviewItem>
      <errorID>870eb86b-eb52-4b45-af8f-3e3c0de29013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3E4DDD5C</paraID>
      <start>0</start>
      <end>2</end>
      <status>modified</status>
      <modifiedWord>3.</modifiedWord>
      <trackRevisions>false</trackRevisions>
    </reviewItem>
    <reviewItem>
      <errorID>4db4649e-0368-42aa-9383-8a8fec5bf6de</errorID>
      <errorWord>，</errorWord>
      <group>L1_Word</group>
      <groupName>字词问题</groupName>
      <ability>L2_Typo</ability>
      <abilityName>字词错误</abilityName>
      <candidateList>
        <item>，在</item>
      </candidateList>
      <explain/>
      <paraID>4FD484B7</paraID>
      <start>45</start>
      <end>47</end>
      <status>modified</status>
      <modifiedWord>，在</modifiedWord>
      <trackRevisions>false</trackRevisions>
    </reviewItem>
    <reviewItem>
      <errorID>f5fdea17-f397-4e80-b812-fa1235d622a8</errorID>
      <errorWord>期</errorWord>
      <group>L1_Word</group>
      <groupName>字词问题</groupName>
      <ability>L2_Typo</ability>
      <abilityName>字词错误</abilityName>
      <candidateList>
        <item>期间</item>
      </candidateList>
      <explain>〈名〉某个时期里面：农忙～｜春节～｜抗战～。</explain>
      <paraID>4FD484B7</paraID>
      <start>51</start>
      <end>53</end>
      <status>modified</status>
      <modifiedWord>期间</modifiedWord>
      <trackRevisions>false</trackRevisions>
    </reviewItem>
    <reviewItem>
      <errorID>816c5c93-2f0b-41de-94aa-03a8802ad5f6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498F7DB9</paraID>
      <start>0</start>
      <end>2</end>
      <status>modified</status>
      <modifiedWord>4.</modifiedWord>
      <trackRevisions>false</trackRevisions>
    </reviewItem>
    <reviewItem>
      <errorID>54fe2f21-d060-4c23-af58-bf2b20285fa2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16EE69FB</paraID>
      <start>100</start>
      <end>102</end>
      <status>modified</status>
      <modifiedWord>》《</modifiedWord>
      <trackRevisions>false</trackRevisions>
    </reviewItem>
    <reviewItem>
      <errorID>4c9db873-ec00-433a-874e-ba4ffc12d98c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20AD0577</paraID>
      <start>91</start>
      <end>93</end>
      <status>modified</status>
      <modifiedWord>》《</modifiedWord>
      <trackRevisions>false</trackRevisions>
    </reviewItem>
    <reviewItem>
      <errorID>5d0e8608-0cea-4549-aeee-defc68cc6cbb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407E2067</paraID>
      <start>0</start>
      <end>2</end>
      <status>modified</status>
      <modifiedWord>5.</modifiedWord>
      <trackRevisions>false</trackRevisions>
    </reviewItem>
    <reviewItem>
      <errorID>6f02d0d3-8483-423f-9f8a-a3d418af17cd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26226B32</paraID>
      <start>0</start>
      <end>2</end>
      <status>modified</status>
      <modifiedWord>6.</modifiedWord>
      <trackRevisions>false</trackRevisions>
    </reviewItem>
    <reviewItem>
      <errorID>0428b50e-8511-4145-ae05-03a14b4228a1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50C3BA51</paraID>
      <start>26</start>
      <end>27</end>
      <status>modified</status>
      <modifiedWord>—</modifiedWord>
      <trackRevisions>false</trackRevisions>
    </reviewItem>
    <reviewItem>
      <errorID>3faaf4b6-7f7d-49d8-b6f6-87c73375fbde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4A701212</paraID>
      <start>162</start>
      <end>163</end>
      <status>modified</status>
      <modifiedWord>—</modifiedWord>
      <trackRevisions>false</trackRevisions>
    </reviewItem>
    <reviewItem>
      <errorID>1cebd59f-435c-4225-8f77-07098149b1f3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54801EA1</paraID>
      <start>0</start>
      <end>2</end>
      <status>modified</status>
      <modifiedWord>7.</modifiedWord>
      <trackRevisions>false</trackRevisions>
    </reviewItem>
    <reviewItem>
      <errorID>6717ed41-033f-4d28-a4bd-89b2e7348a24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263B01C</paraID>
      <start>0</start>
      <end>2</end>
      <status>modified</status>
      <modifiedWord>8.</modifiedWord>
      <trackRevisions>false</trackRevisions>
    </reviewItem>
    <reviewItem>
      <errorID>24617f68-6035-4bd2-91c8-3e4227725291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5F01C7AD</paraID>
      <start>0</start>
      <end>2</end>
      <status>modified</status>
      <modifiedWord>9.</modifiedWord>
      <trackRevisions>false</trackRevisions>
    </reviewItem>
    <reviewItem>
      <errorID>e203806e-ec0d-46b4-988a-2f9b87225b40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15723549</paraID>
      <start>72</start>
      <end>73</end>
      <status>modified</status>
      <modifiedWord>地</modifiedWord>
      <trackRevisions>false</trackRevisions>
    </reviewItem>
    <reviewItem>
      <errorID>30da26be-0e3c-4aa7-8e2c-201ea42089d9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772DE605</paraID>
      <start>0</start>
      <end>3</end>
      <status>modified</status>
      <modifiedWord>10.</modifiedWord>
      <trackRevisions>false</trackRevisions>
    </reviewItem>
    <reviewItem>
      <errorID>775a6238-424b-45d6-8885-bde6315ba759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6A9AFF3C</paraID>
      <start>72</start>
      <end>73</end>
      <status>modified</status>
      <modifiedWord>地</modifiedWord>
      <trackRevisions>false</trackRevisions>
    </reviewItem>
    <reviewItem>
      <errorID>ce8e2b03-c66f-4a49-ab7e-4359b7a29807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6EDAC4AC</paraID>
      <start>0</start>
      <end>2</end>
      <status>modified</status>
      <modifiedWord>1.</modifiedWord>
      <trackRevisions>false</trackRevisions>
    </reviewItem>
    <reviewItem>
      <errorID>65442fba-12f2-41c0-a9fa-8159468e0663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72B92EA4</paraID>
      <start>191</start>
      <end>192</end>
      <status>ignored</status>
      <modifiedWord/>
      <trackRevisions>false</trackRevisions>
    </reviewItem>
    <reviewItem>
      <errorID>e4dddc3a-fb8e-498f-8822-26d39005ba18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64116CFC</paraID>
      <start>0</start>
      <end>2</end>
      <status>modified</status>
      <modifiedWord>2.</modifiedWord>
      <trackRevisions>false</trackRevisions>
    </reviewItem>
    <reviewItem>
      <errorID>a56f4389-8f44-4d4b-971b-bc89f223d13d</errorID>
      <errorWord>影响等</errorWord>
      <group>L1_Word</group>
      <groupName>字词问题</groupName>
      <ability>L2_Typo</ability>
      <abilityName>字词错误</abilityName>
      <candidateList>
        <item>影响</item>
      </candidateList>
      <explain>❶〈动〉对别人的思想或行动起作用（如影之随形，响之应声）：父母应该用自己的模范行动去～孩子。❷〈名〉对人或事物所起的作用：这件事造成很大的～。❸〈书〉〈形〉传闻的；无根据的：模糊～之谈。</explain>
      <paraID>15197562</paraID>
      <start>180</start>
      <end>182</end>
      <status>modified</status>
      <modifiedWord>影响</modifiedWord>
      <trackRevisions>false</trackRevisions>
    </reviewItem>
    <reviewItem>
      <errorID>da2e34a0-711e-4df2-a97d-35f0d360b786</errorID>
      <errorWord>截止目前</errorWord>
      <group>L1_Word</group>
      <groupName>字词问题</groupName>
      <ability>L2_Typo</ability>
      <abilityName>字词错误</abilityName>
      <candidateList>
        <item>截至目前</item>
      </candidateList>
      <explain/>
      <paraID>63B70807</paraID>
      <start>2</start>
      <end>6</end>
      <status>ignored</status>
      <modifiedWord/>
      <trackRevisions>false</trackRevisions>
    </reviewItem>
    <reviewItem>
      <errorID>0ee20bd7-4409-41ac-94dc-dffb1a3c2fb5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3A63AB77</paraID>
      <start>0</start>
      <end>2</end>
      <status>modified</status>
      <modifiedWord>3.</modifiedWord>
      <trackRevisions>false</trackRevisions>
    </reviewItem>
    <reviewItem>
      <errorID>556dfa93-7297-4571-829d-118888e0d031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3DD1D637</paraID>
      <start>0</start>
      <end>2</end>
      <status>modified</status>
      <modifiedWord>4.</modifiedWord>
      <trackRevisions>false</trackRevisions>
    </reviewItem>
    <reviewItem>
      <errorID>219eb50a-41bb-47be-84d6-d085a0dc6323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620FAECE</paraID>
      <start>0</start>
      <end>2</end>
      <status>modified</status>
      <modifiedWord>5.</modifiedWord>
      <trackRevisions>false</trackRevisions>
    </reviewItem>
    <reviewItem>
      <errorID>91d4cc41-f14d-49da-ba1b-7744fb51d873</errorID>
      <errorWord>～</errorWord>
      <group>L1_Format</group>
      <groupName>格式问题</groupName>
      <ability>L2_HalfPunc</ability>
      <abilityName>全半角检查</abilityName>
      <candidateList>
        <item>~</item>
      </candidateList>
      <explain>文本全半角错误。</explain>
      <paraID>7E1BF69A</paraID>
      <start>5</start>
      <end>6</end>
      <status>modified</status>
      <modifiedWord>~</modifiedWord>
      <trackRevisions>false</trackRevisions>
    </reviewItem>
    <reviewItem>
      <errorID>9ddf6510-911a-4d14-8540-f59456b8cfb5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2792DAD5</paraID>
      <start>0</start>
      <end>2</end>
      <status>modified</status>
      <modifiedWord>6.</modifiedWord>
      <trackRevisions>false</trackRevisions>
    </reviewItem>
    <reviewItem>
      <errorID>ad3b61fd-7fa1-4fc2-8889-111f83d7811a</errorID>
      <errorWord>＜</errorWord>
      <group>L1_Format</group>
      <groupName>格式问题</groupName>
      <ability>L2_HalfPunc</ability>
      <abilityName>全半角检查</abilityName>
      <candidateList>
        <item>&lt;</item>
      </candidateList>
      <explain>文本全半角错误。</explain>
      <paraID>518BB6D1</paraID>
      <start>0</start>
      <end>1</end>
      <status>modified</status>
      <modifiedWord>&lt;</modifiedWord>
      <trackRevisions>false</trackRevisions>
    </reviewItem>
    <reviewItem>
      <errorID>8d743ef9-d66c-41b8-937c-b903016e7550</errorID>
      <errorWord>～</errorWord>
      <group>L1_Format</group>
      <groupName>格式问题</groupName>
      <ability>L2_HalfPunc</ability>
      <abilityName>全半角检查</abilityName>
      <candidateList>
        <item>~</item>
      </candidateList>
      <explain>文本全半角错误。</explain>
      <paraID>486FAB8C</paraID>
      <start>1</start>
      <end>2</end>
      <status>modified</status>
      <modifiedWord>~</modifiedWord>
      <trackRevisions>false</trackRevisions>
    </reviewItem>
    <reviewItem>
      <errorID>745b82b5-380e-4199-9988-d10f29befe6e</errorID>
      <errorWord>～</errorWord>
      <group>L1_Format</group>
      <groupName>格式问题</groupName>
      <ability>L2_HalfPunc</ability>
      <abilityName>全半角检查</abilityName>
      <candidateList>
        <item>~</item>
      </candidateList>
      <explain>文本全半角错误。</explain>
      <paraID>6327EB58</paraID>
      <start>2</start>
      <end>3</end>
      <status>modified</status>
      <modifiedWord>~</modifiedWord>
      <trackRevisions>false</trackRevisions>
    </reviewItem>
    <reviewItem>
      <errorID>10c8d745-7bda-4391-9928-ed01ff8197a5</errorID>
      <errorWord>～</errorWord>
      <group>L1_Format</group>
      <groupName>格式问题</groupName>
      <ability>L2_HalfPunc</ability>
      <abilityName>全半角检查</abilityName>
      <candidateList>
        <item>~</item>
      </candidateList>
      <explain>文本全半角错误。</explain>
      <paraID> 8D0F72F</paraID>
      <start>2</start>
      <end>3</end>
      <status>modified</status>
      <modifiedWord>~</modifiedWord>
      <trackRevisions>false</trackRevisions>
    </reviewItem>
    <reviewItem>
      <errorID>4c9eb954-cd30-4eb6-9e4d-5cc09bb19db5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37B79017</paraID>
      <start>0</start>
      <end>2</end>
      <status>modified</status>
      <modifiedWord>7.</modifiedWord>
      <trackRevisions>false</trackRevisions>
    </reviewItem>
    <reviewItem>
      <errorID>79e25020-3c11-41ac-b213-a085bc75eba2</errorID>
      <errorWord>均</errorWord>
      <group>L1_Word</group>
      <groupName>字词问题</groupName>
      <ability>L2_Typo</ability>
      <abilityName>字词错误</abilityName>
      <candidateList>
        <item>均为</item>
      </candidateList>
      <explain/>
      <paraID>56C70016</paraID>
      <start>337</start>
      <end>339</end>
      <status>modified</status>
      <modifiedWord>均为</modifiedWord>
      <trackRevisions>false</trackRevisions>
    </reviewItem>
    <reviewItem>
      <errorID>6abcb6fd-6c10-47b7-a43a-070774a402b2</errorID>
      <errorWord>界线</errorWord>
      <group>L1_Word</group>
      <groupName>字词问题</groupName>
      <ability>L2_Typo</ability>
      <abilityName>字词错误</abilityName>
      <candidateList>
        <item>界限</item>
      </candidateList>
      <explain/>
      <paraID>28F589AF</paraID>
      <start>22</start>
      <end>24</end>
      <status>ignored</status>
      <modifiedWord/>
      <trackRevisions>false</trackRevisions>
    </reviewItem>
    <reviewItem>
      <errorID>18d3ecd4-8aba-49aa-90b3-48e4c485bb7a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43EDBF6</paraID>
      <start>0</start>
      <end>2</end>
      <status>modified</status>
      <modifiedWord>8.</modifiedWord>
      <trackRevisions>false</trackRevisions>
    </reviewItem>
    <reviewItem>
      <errorID>67381128-fd47-4788-935d-d715bc611376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B14DE1B</paraID>
      <start>0</start>
      <end>2</end>
      <status>modified</status>
      <modifiedWord>9.</modifiedWord>
      <trackRevisions>false</trackRevisions>
    </reviewItem>
    <reviewItem>
      <errorID>7cb87129-84b7-40c1-9003-9fdbaa9da5f6</errorID>
      <errorWord>依次类推</errorWord>
      <group>L1_Word</group>
      <groupName>字词问题</groupName>
      <ability>L2_Typo</ability>
      <abilityName>字词错误</abilityName>
      <candidateList>
        <item>依此类推</item>
      </candidateList>
      <explain>存在发音相同字词的误用。</explain>
      <paraID>757BD5E0</paraID>
      <start>114</start>
      <end>118</end>
      <status>modified</status>
      <modifiedWord>依此类推</modifiedWord>
      <trackRevisions>false</trackRevisions>
    </reviewItem>
    <reviewItem>
      <errorID>7ac2f0b4-2aba-4df6-a1ff-076e997785a5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20DFCB5E</paraID>
      <start>9</start>
      <end>10</end>
      <status>modified</status>
      <modifiedWord>—</modifiedWord>
      <trackRevisions>false</trackRevisions>
    </reviewItem>
    <reviewItem>
      <errorID>dea35e07-8a29-4c45-a433-42e933c3c509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6C0EF740</paraID>
      <start>0</start>
      <end>3</end>
      <status>modified</status>
      <modifiedWord>10.</modifiedWord>
      <trackRevisions>false</trackRevisions>
    </reviewItem>
    <reviewItem>
      <errorID>e76e980d-7bb4-4ad7-9b65-7e1e3d4149a3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6CB6C2BB</paraID>
      <start>0</start>
      <end>3</end>
      <status>modified</status>
      <modifiedWord>11.</modifiedWord>
      <trackRevisions>false</trackRevisions>
    </reviewItem>
    <reviewItem>
      <errorID>6333466e-3d5c-4da4-b918-1afabca8c4fd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6104AB85</paraID>
      <start>0</start>
      <end>3</end>
      <status>modified</status>
      <modifiedWord>12.</modifiedWord>
      <trackRevisions>false</trackRevisions>
    </reviewItem>
    <reviewItem>
      <errorID>ad9c6ffd-7d96-4864-967c-e26c79715c47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6E35FAD4</paraID>
      <start>0</start>
      <end>3</end>
      <status>modified</status>
      <modifiedWord>13.</modifiedWord>
      <trackRevisions>false</trackRevisions>
    </reviewItem>
    <reviewItem>
      <errorID>0e591258-f94f-48ec-b9a3-b88a34b6b06d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6A30AC38</paraID>
      <start>0</start>
      <end>3</end>
      <status>modified</status>
      <modifiedWord>14.</modifiedWord>
      <trackRevisions>false</trackRevisions>
    </reviewItem>
    <reviewItem>
      <errorID>5d567f74-346f-4914-a73e-ecf84616100f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B7C38DB</paraID>
      <start>0</start>
      <end>3</end>
      <status>modified</status>
      <modifiedWord>15.</modifiedWord>
      <trackRevisions>false</trackRevisions>
    </reviewItem>
    <reviewItem>
      <errorID>5a9f5b7f-4b09-41a8-b43b-1501aea1e2d2</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4A463717</paraID>
      <start>0</start>
      <end>3</end>
      <status>modified</status>
      <modifiedWord>16.</modifiedWord>
      <trackRevisions>false</trackRevisions>
    </reviewItem>
    <reviewItem>
      <errorID>19224263-6438-40df-8740-02b56d6a7fb1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5D9BFECA</paraID>
      <start>0</start>
      <end>2</end>
      <status>modified</status>
      <modifiedWord>1.</modifiedWord>
      <trackRevisions>false</trackRevisions>
    </reviewItem>
    <reviewItem>
      <errorID>cbbd7610-d5b5-49e5-be16-35a7ca48e7a4</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6C2EA977</paraID>
      <start>124</start>
      <end>126</end>
      <status>modified</status>
      <modifiedWord>成分</modifiedWord>
      <trackRevisions>false</trackRevisions>
    </reviewItem>
    <reviewItem>
      <errorID>e32c3cf1-fd26-4ec5-98b4-4c2881396e7f</errorID>
      <errorWord>泼酒</errorWord>
      <group>L1_Word</group>
      <groupName>字词问题</groupName>
      <ability>L2_Typo</ability>
      <abilityName>字词错误</abilityName>
      <candidateList>
        <item>泼洒</item>
      </candidateList>
      <explain/>
      <paraID>6C2EA977</paraID>
      <start>131</start>
      <end>133</end>
      <status>modified</status>
      <modifiedWord>泼洒</modifiedWord>
      <trackRevisions>false</trackRevisions>
    </reviewItem>
    <reviewItem>
      <errorID>1959c257-3e73-4edd-830a-4259293a48e6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13914816</paraID>
      <start>0</start>
      <end>2</end>
      <status>modified</status>
      <modifiedWord>2.</modifiedWord>
      <trackRevisions>false</trackRevisions>
    </reviewItem>
    <reviewItem>
      <errorID>2ef1c2aa-9ff5-4519-9dc9-086964a8de57</errorID>
      <errorWord>偶合</errorWord>
      <group>L1_Word</group>
      <groupName>字词问题</groupName>
      <ability>L2_Typo</ability>
      <abilityName>字词错误</abilityName>
      <candidateList>
        <item>耦合</item>
      </candidateList>
      <explain>〈动〉物理学上指两个或两个以上的体系或两种运动形式间通过相互作用而彼此影响以至联合起来的现象。如放大器级与级之间信号的逐级放大量通过阻容耦合或变压器耦合；两个线圈之间的互感是通过磁场的耦合。</explain>
      <paraID>47366B16</paraID>
      <start>57</start>
      <end>59</end>
      <status>modified</status>
      <modifiedWord>耦合</modifiedWord>
      <trackRevisions>false</trackRevisions>
    </reviewItem>
    <reviewItem>
      <errorID>72e608d7-1901-4adb-8922-eee1ccd47b5a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47366B16</paraID>
      <start>152</start>
      <end>153</end>
      <status>modified</status>
      <modifiedWord>—</modifiedWord>
      <trackRevisions>false</trackRevisions>
    </reviewItem>
    <reviewItem>
      <errorID>48c4eaa2-e7d4-461c-9011-a9113546795a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E4C28D2</paraID>
      <start>231</start>
      <end>232</end>
      <status>modified</status>
      <modifiedWord>—</modifiedWord>
      <trackRevisions>false</trackRevisions>
    </reviewItem>
    <reviewItem>
      <errorID>e39cd87a-4c8d-4efd-bca6-8cdf47932661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E4C28D2</paraID>
      <start>257</start>
      <end>258</end>
      <status>modified</status>
      <modifiedWord>—</modifiedWord>
      <trackRevisions>false</trackRevisions>
    </reviewItem>
    <reviewItem>
      <errorID>d0365464-8e1d-42ad-ac0e-f9885ec57142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E4C28D2</paraID>
      <start>283</start>
      <end>284</end>
      <status>modified</status>
      <modifiedWord>—</modifiedWord>
      <trackRevisions>false</trackRevisions>
    </reviewItem>
    <reviewItem>
      <errorID>eda77ba9-2de0-490d-8803-ece14b240460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E4C28D2</paraID>
      <start>339</start>
      <end>340</end>
      <status>modified</status>
      <modifiedWord>—</modifiedWord>
      <trackRevisions>false</trackRevisions>
    </reviewItem>
    <reviewItem>
      <errorID>8d6d9d87-5b14-4214-a470-b0cbb05e1893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59E2404E</paraID>
      <start>0</start>
      <end>2</end>
      <status>modified</status>
      <modifiedWord>1.</modifiedWord>
      <trackRevisions>false</trackRevisions>
    </reviewItem>
    <reviewItem>
      <errorID>d5638256-2283-486b-aca2-33292a8bc7f1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6E2E24B4</paraID>
      <start>0</start>
      <end>2</end>
      <status>modified</status>
      <modifiedWord>2.</modifiedWord>
      <trackRevisions>false</trackRevisions>
    </reviewItem>
    <reviewItem>
      <errorID>f9a552c2-342f-40ca-a95f-2c468790a372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14EFE46</paraID>
      <start>66</start>
      <end>67</end>
      <status>modified</status>
      <modifiedWord>—</modifiedWord>
      <trackRevisions>false</trackRevisions>
    </reviewItem>
    <reviewItem>
      <errorID>453e4b39-668a-417d-9eb1-a175c8fba88b</errorID>
      <errorWord>，</errorWord>
      <group>L1_Format</group>
      <groupName>格式问题</groupName>
      <ability>L2_HalfPunc</ability>
      <abilityName>全半角检查</abilityName>
      <candidateList>
        <item>,</item>
      </candidateList>
      <explain>文本全半角错误。</explain>
      <paraID>14BF0056</paraID>
      <start>12</start>
      <end>13</end>
      <status>ignored</status>
      <modifiedWord/>
      <trackRevisions>false</trackRevisions>
    </reviewItem>
    <reviewItem>
      <errorID>f517846f-c645-44af-9d49-95b8c74b0926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D5F4352</paraID>
      <start>0</start>
      <end>2</end>
      <status>modified</status>
      <modifiedWord>3.</modifiedWord>
      <trackRevisions>false</trackRevisions>
    </reviewItem>
    <reviewItem>
      <errorID>6991c57c-8c9f-41f2-b37d-ca28cd0e809c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526BC007</paraID>
      <start>0</start>
      <end>2</end>
      <status>modified</status>
      <modifiedWord>4.</modifiedWord>
      <trackRevisions>false</trackRevisions>
    </reviewItem>
    <reviewItem>
      <errorID>fb236d90-4b20-4d93-87c1-b2fb6d83b6b8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1E37CA9D</paraID>
      <start>0</start>
      <end>2</end>
      <status>modified</status>
      <modifiedWord>5.</modifiedWord>
      <trackRevisions>false</trackRevisions>
    </reviewItem>
    <reviewItem>
      <errorID>64a624ba-f033-4449-b612-b96916fd0ea0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7069A83E</paraID>
      <start>0</start>
      <end>2</end>
      <status>modified</status>
      <modifiedWord>2.</modifiedWord>
      <trackRevisions>false</trackRevisions>
    </reviewItem>
    <reviewItem>
      <errorID>bd1718e6-f57c-40c1-a536-3bf0ab829708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68FE1106</paraID>
      <start>0</start>
      <end>2</end>
      <status>modified</status>
      <modifiedWord>3.</modifiedWord>
      <trackRevisions>false</trackRevisions>
    </reviewItem>
    <reviewItem>
      <errorID>84dd156b-564e-4035-b5e6-eb3e192df8d4</errorID>
      <errorWord>-</errorWord>
      <group>L1_Format</group>
      <groupName>格式问题</groupName>
      <ability>L2_HalfPunc</ability>
      <abilityName>全半角检查</abilityName>
      <candidateList>
        <item>－</item>
      </candidateList>
      <explain>文本全半角错误。</explain>
      <paraID>43069305</paraID>
      <start>13</start>
      <end>14</end>
      <status>modified</status>
      <modifiedWord>－</modifiedWord>
      <trackRevisions>false</trackRevisions>
    </reviewItem>
    <reviewItem>
      <errorID>4d2dc4ca-79c3-4730-b1b0-d4323d4e0159</errorID>
      <errorWord>-</errorWord>
      <group>L1_Format</group>
      <groupName>格式问题</groupName>
      <ability>L2_HalfPunc</ability>
      <abilityName>全半角检查</abilityName>
      <candidateList>
        <item>－</item>
      </candidateList>
      <explain>文本全半角错误。</explain>
      <paraID>4BD9581D</paraID>
      <start>13</start>
      <end>14</end>
      <status>modified</status>
      <modifiedWord>－</modifiedWord>
      <trackRevisions>false</trackRevisions>
    </reviewItem>
    <reviewItem>
      <errorID>54012303-9e2c-4ca9-b349-8bb3ad5ee9be</errorID>
      <errorWord>-</errorWord>
      <group>L1_Format</group>
      <groupName>格式问题</groupName>
      <ability>L2_HalfPunc</ability>
      <abilityName>全半角检查</abilityName>
      <candidateList>
        <item>－</item>
      </candidateList>
      <explain>文本全半角错误。</explain>
      <paraID>18D1A228</paraID>
      <start>12</start>
      <end>13</end>
      <status>modified</status>
      <modifiedWord>－</modifiedWord>
      <trackRevisions>false</trackRevisions>
    </reviewItem>
    <reviewItem>
      <errorID>e1beef2e-a544-4870-a0b2-f5bfd42075e9</errorID>
      <errorWord>-</errorWord>
      <group>L1_Format</group>
      <groupName>格式问题</groupName>
      <ability>L2_HalfPunc</ability>
      <abilityName>全半角检查</abilityName>
      <candidateList>
        <item>－</item>
      </candidateList>
      <explain>文本全半角错误。</explain>
      <paraID> 49FDE1A</paraID>
      <start>13</start>
      <end>14</end>
      <status>modified</status>
      <modifiedWord>－</modifiedWord>
      <trackRevisions>false</trackRevisions>
    </reviewItem>
    <reviewItem>
      <errorID>e7f3b617-6a5f-430e-b65f-c31274b33779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B4594BC</paraID>
      <start>0</start>
      <end>2</end>
      <status>modified</status>
      <modifiedWord>1.</modifiedWord>
      <trackRevisions>false</trackRevisions>
    </reviewItem>
    <reviewItem>
      <errorID>7f36239a-83fb-4501-b02c-81541dac2766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3C192741</paraID>
      <start>0</start>
      <end>2</end>
      <status>modified</status>
      <modifiedWord>2.</modifiedWord>
      <trackRevisions>false</trackRevisions>
    </reviewItem>
    <reviewItem>
      <errorID>fd25cb4c-b4a0-48ce-adc1-7168937f767c</errorID>
      <errorWord>（</errorWord>
      <group>L1_Format</group>
      <groupName>格式问题</groupName>
      <ability>L2_HalfPunc</ability>
      <abilityName>全半角检查</abilityName>
      <candidateList>
        <item>(</item>
      </candidateList>
      <explain>文本全半角错误。</explain>
      <paraID>56865793</paraID>
      <start>4</start>
      <end>5</end>
      <status>ignored</status>
      <modifiedWord/>
      <trackRevisions>false</trackRevisions>
    </reviewItem>
    <reviewItem>
      <errorID>f5794068-8dc4-415b-a906-b4da4c048ed0</errorID>
      <errorWord>）</errorWord>
      <group>L1_Format</group>
      <groupName>格式问题</groupName>
      <ability>L2_HalfPunc</ability>
      <abilityName>全半角检查</abilityName>
      <candidateList>
        <item>)</item>
      </candidateList>
      <explain>文本全半角错误。</explain>
      <paraID>56865793</paraID>
      <start>6</start>
      <end>7</end>
      <status>ignored</status>
      <modifiedWord/>
      <trackRevisions>false</trackRevisions>
    </reviewItem>
    <reviewItem>
      <errorID>ffba7d07-5206-4a2f-97d0-2430065962ef</errorID>
      <errorWord>（</errorWord>
      <group>L1_Format</group>
      <groupName>格式问题</groupName>
      <ability>L2_HalfPunc</ability>
      <abilityName>全半角检查</abilityName>
      <candidateList>
        <item>(</item>
      </candidateList>
      <explain>文本全半角错误。</explain>
      <paraID> 84905F9</paraID>
      <start>4</start>
      <end>5</end>
      <status>ignored</status>
      <modifiedWord/>
      <trackRevisions>false</trackRevisions>
    </reviewItem>
    <reviewItem>
      <errorID>6e6ab8bd-c5e8-427f-841b-252fe4a60f7c</errorID>
      <errorWord>）</errorWord>
      <group>L1_Format</group>
      <groupName>格式问题</groupName>
      <ability>L2_HalfPunc</ability>
      <abilityName>全半角检查</abilityName>
      <candidateList>
        <item>)</item>
      </candidateList>
      <explain>文本全半角错误。</explain>
      <paraID> 84905F9</paraID>
      <start>6</start>
      <end>7</end>
      <status>ignored</status>
      <modifiedWord/>
      <trackRevisions>false</trackRevisions>
    </reviewItem>
    <reviewItem>
      <errorID>f1d7b375-d978-40b0-8458-46c973c69619</errorID>
      <errorWord>）中</errorWord>
      <group>L1_Word</group>
      <groupName>字词问题</groupName>
      <ability>L2_Typo</ability>
      <abilityName>字词错误</abilityName>
      <candidateList>
        <item>）</item>
      </candidateList>
      <explain/>
      <paraID>2E45CC3D</paraID>
      <start>33</start>
      <end>35</end>
      <status>ignored</status>
      <modifiedWord/>
      <trackRevisions>false</trackRevisions>
    </reviewItem>
    <reviewItem>
      <errorID>8b057b79-c4cf-4083-8a93-90cdc01f60f9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AE83E2D</paraID>
      <start>0</start>
      <end>2</end>
      <status>modified</status>
      <modifiedWord>1.</modifiedWord>
      <trackRevisions>false</trackRevisions>
    </reviewItem>
    <reviewItem>
      <errorID>1cc80141-7c88-4958-84cb-74bb8fd70cb6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BCEFED8</paraID>
      <start>0</start>
      <end>2</end>
      <status>modified</status>
      <modifiedWord>2.</modifiedWord>
      <trackRevisions>false</trackRevisions>
    </reviewItem>
    <reviewItem>
      <errorID>a280cefd-a4fa-448f-8fb8-549a2eb5771d</errorID>
      <errorWord>（</errorWord>
      <group>L1_Format</group>
      <groupName>格式问题</groupName>
      <ability>L2_HalfPunc</ability>
      <abilityName>全半角检查</abilityName>
      <candidateList>
        <item>(</item>
      </candidateList>
      <explain>文本全半角错误。</explain>
      <paraID>46C42401</paraID>
      <start>7</start>
      <end>8</end>
      <status>ignored</status>
      <modifiedWord/>
      <trackRevisions>false</trackRevisions>
    </reviewItem>
    <reviewItem>
      <errorID>0c8ef4c4-e8b0-4d4a-9d83-80f9191cf5bd</errorID>
      <errorWord>）（</errorWord>
      <group>L1_Format</group>
      <groupName>格式问题</groupName>
      <ability>L2_HalfPunc</ability>
      <abilityName>全半角检查</abilityName>
      <candidateList>
        <item>)(</item>
      </candidateList>
      <explain>文本全半角错误。</explain>
      <paraID>46C42401</paraID>
      <start>11</start>
      <end>13</end>
      <status>ignored</status>
      <modifiedWord/>
      <trackRevisions>false</trackRevisions>
    </reviewItem>
    <reviewItem>
      <errorID>5038861b-b657-4f0a-a3c6-af824638143e</errorID>
      <errorWord>）</errorWord>
      <group>L1_Format</group>
      <groupName>格式问题</groupName>
      <ability>L2_HalfPunc</ability>
      <abilityName>全半角检查</abilityName>
      <candidateList>
        <item>)</item>
      </candidateList>
      <explain>文本全半角错误。</explain>
      <paraID>46C42401</paraID>
      <start>16</start>
      <end>17</end>
      <status>ignored</status>
      <modifiedWord/>
      <trackRevisions>false</trackRevisions>
    </reviewItem>
    <reviewItem>
      <errorID>ce4d5616-f171-4037-a7a6-ea4f7fcabb85</errorID>
      <errorWord>（</errorWord>
      <group>L1_Format</group>
      <groupName>格式问题</groupName>
      <ability>L2_HalfPunc</ability>
      <abilityName>全半角检查</abilityName>
      <candidateList>
        <item>(</item>
      </candidateList>
      <explain>文本全半角错误。</explain>
      <paraID>46C42401</paraID>
      <start>22</start>
      <end>23</end>
      <status>ignored</status>
      <modifiedWord/>
      <trackRevisions>false</trackRevisions>
    </reviewItem>
    <reviewItem>
      <errorID>2e876360-1b48-4060-85eb-8dfab414cd5e</errorID>
      <errorWord>）</errorWord>
      <group>L1_Format</group>
      <groupName>格式问题</groupName>
      <ability>L2_HalfPunc</ability>
      <abilityName>全半角检查</abilityName>
      <candidateList>
        <item>)</item>
      </candidateList>
      <explain>文本全半角错误。</explain>
      <paraID>46C42401</paraID>
      <start>28</start>
      <end>29</end>
      <status>ignored</status>
      <modifiedWord/>
      <trackRevisions>false</trackRevisions>
    </reviewItem>
    <reviewItem>
      <errorID>90d95c34-0c91-4629-b524-aaa7bb176513</errorID>
      <errorWord>）</errorWord>
      <group>L1_Format</group>
      <groupName>格式问题</groupName>
      <ability>L2_HalfPunc</ability>
      <abilityName>全半角检查</abilityName>
      <candidateList>
        <item>)</item>
      </candidateList>
      <explain>文本全半角错误。</explain>
      <paraID>7497744A</paraID>
      <start>9</start>
      <end>10</end>
      <status>ignored</status>
      <modifiedWord/>
      <trackRevisions>false</trackRevisions>
    </reviewItem>
    <reviewItem>
      <errorID>3394c3b7-11e7-417b-a0a5-2ce74c9095fb</errorID>
      <errorWord>）</errorWord>
      <group>L1_Format</group>
      <groupName>格式问题</groupName>
      <ability>L2_HalfPunc</ability>
      <abilityName>全半角检查</abilityName>
      <candidateList>
        <item>)</item>
      </candidateList>
      <explain>文本全半角错误。</explain>
      <paraID>4198D026</paraID>
      <start>9</start>
      <end>10</end>
      <status>ignored</status>
      <modifiedWord/>
      <trackRevisions>false</trackRevisions>
    </reviewItem>
    <reviewItem>
      <errorID>ee624b8a-f4cf-4141-b636-234af0376dea</errorID>
      <errorWord>）</errorWord>
      <group>L1_Format</group>
      <groupName>格式问题</groupName>
      <ability>L2_HalfPunc</ability>
      <abilityName>全半角检查</abilityName>
      <candidateList>
        <item>)</item>
      </candidateList>
      <explain>文本全半角错误。</explain>
      <paraID>13A62929</paraID>
      <start>9</start>
      <end>10</end>
      <status>ignored</status>
      <modifiedWord/>
      <trackRevisions>false</trackRevisions>
    </reviewItem>
    <reviewItem>
      <errorID>cea1a93f-0b5e-4da8-b8bd-d175c0eccffb</errorID>
      <errorWord>）</errorWord>
      <group>L1_Format</group>
      <groupName>格式问题</groupName>
      <ability>L2_HalfPunc</ability>
      <abilityName>全半角检查</abilityName>
      <candidateList>
        <item>)</item>
      </candidateList>
      <explain>文本全半角错误。</explain>
      <paraID>531877B2</paraID>
      <start>9</start>
      <end>10</end>
      <status>ignored</status>
      <modifiedWord/>
      <trackRevisions>false</trackRevisions>
    </reviewItem>
    <reviewItem>
      <errorID>6dd91463-a87c-4c06-be67-e4ebfbab1098</errorID>
      <errorWord>）</errorWord>
      <group>L1_Format</group>
      <groupName>格式问题</groupName>
      <ability>L2_HalfPunc</ability>
      <abilityName>全半角检查</abilityName>
      <candidateList>
        <item>)</item>
      </candidateList>
      <explain>文本全半角错误。</explain>
      <paraID>2AE6C924</paraID>
      <start>9</start>
      <end>10</end>
      <status>ignored</status>
      <modifiedWord/>
      <trackRevisions>false</trackRevisions>
    </reviewItem>
    <reviewItem>
      <errorID>2c5e227e-e7b2-4f8f-855c-d750d8d39bb1</errorID>
      <errorWord>）</errorWord>
      <group>L1_Format</group>
      <groupName>格式问题</groupName>
      <ability>L2_HalfPunc</ability>
      <abilityName>全半角检查</abilityName>
      <candidateList>
        <item>)</item>
      </candidateList>
      <explain>文本全半角错误。</explain>
      <paraID>430682AE</paraID>
      <start>9</start>
      <end>10</end>
      <status>ignored</status>
      <modifiedWord/>
      <trackRevisions>false</trackRevisions>
    </reviewItem>
    <reviewItem>
      <errorID>c89b10cb-7940-4aa2-8692-4cb27a2685f8</errorID>
      <errorWord>（</errorWord>
      <group>L1_Format</group>
      <groupName>格式问题</groupName>
      <ability>L2_HalfPunc</ability>
      <abilityName>全半角检查</abilityName>
      <candidateList>
        <item>(</item>
      </candidateList>
      <explain>文本全半角错误。</explain>
      <paraID>6F29B02C</paraID>
      <start>1</start>
      <end>2</end>
      <status>ignored</status>
      <modifiedWord/>
      <trackRevisions>false</trackRevisions>
    </reviewItem>
    <reviewItem>
      <errorID>11ed781a-6874-4cbf-bc60-b8e47a3bf30e</errorID>
      <errorWord>）</errorWord>
      <group>L1_Format</group>
      <groupName>格式问题</groupName>
      <ability>L2_HalfPunc</ability>
      <abilityName>全半角检查</abilityName>
      <candidateList>
        <item>)</item>
      </candidateList>
      <explain>文本全半角错误。</explain>
      <paraID>6F29B02C</paraID>
      <start>6</start>
      <end>7</end>
      <status>ignored</status>
      <modifiedWord/>
      <trackRevisions>false</trackRevisions>
    </reviewItem>
    <reviewItem>
      <errorID>047fbf28-950e-46e3-b101-48e9b659e1ba</errorID>
      <errorWord>（</errorWord>
      <group>L1_Format</group>
      <groupName>格式问题</groupName>
      <ability>L2_HalfPunc</ability>
      <abilityName>全半角检查</abilityName>
      <candidateList>
        <item>(</item>
      </candidateList>
      <explain>文本全半角错误。</explain>
      <paraID>6B0FFEE5</paraID>
      <start>2</start>
      <end>3</end>
      <status>ignored</status>
      <modifiedWord/>
      <trackRevisions>false</trackRevisions>
    </reviewItem>
    <reviewItem>
      <errorID>38eb8dbd-6ab5-4e99-b4a2-0c11b6aa2c04</errorID>
      <errorWord>）</errorWord>
      <group>L1_Format</group>
      <groupName>格式问题</groupName>
      <ability>L2_HalfPunc</ability>
      <abilityName>全半角检查</abilityName>
      <candidateList>
        <item>)</item>
      </candidateList>
      <explain>文本全半角错误。</explain>
      <paraID>6B0FFEE5</paraID>
      <start>7</start>
      <end>8</end>
      <status>ignored</status>
      <modifiedWord/>
      <trackRevisions>false</trackRevisions>
    </reviewItem>
    <reviewItem>
      <errorID>78793e5b-7667-480e-bbe5-973b3623e20e</errorID>
      <errorWord>（</errorWord>
      <group>L1_Format</group>
      <groupName>格式问题</groupName>
      <ability>L2_HalfPunc</ability>
      <abilityName>全半角检查</abilityName>
      <candidateList>
        <item>(</item>
      </candidateList>
      <explain>文本全半角错误。</explain>
      <paraID>22A1C06C</paraID>
      <start>2</start>
      <end>3</end>
      <status>ignored</status>
      <modifiedWord/>
      <trackRevisions>false</trackRevisions>
    </reviewItem>
    <reviewItem>
      <errorID>8cfa538b-0c9e-4e02-a410-8127aa5b3e9f</errorID>
      <errorWord>）</errorWord>
      <group>L1_Format</group>
      <groupName>格式问题</groupName>
      <ability>L2_HalfPunc</ability>
      <abilityName>全半角检查</abilityName>
      <candidateList>
        <item>)</item>
      </candidateList>
      <explain>文本全半角错误。</explain>
      <paraID>22A1C06C</paraID>
      <start>7</start>
      <end>8</end>
      <status>ignored</status>
      <modifiedWord/>
      <trackRevisions>false</trackRevisions>
    </reviewItem>
    <reviewItem>
      <errorID>a55ad35e-60c8-4e39-824a-4e3a88c6cee5</errorID>
      <errorWord>（</errorWord>
      <group>L1_Format</group>
      <groupName>格式问题</groupName>
      <ability>L2_HalfPunc</ability>
      <abilityName>全半角检查</abilityName>
      <candidateList>
        <item>(</item>
      </candidateList>
      <explain>文本全半角错误。</explain>
      <paraID>2FA4DC3B</paraID>
      <start>2</start>
      <end>3</end>
      <status>ignored</status>
      <modifiedWord/>
      <trackRevisions>false</trackRevisions>
    </reviewItem>
    <reviewItem>
      <errorID>9cc348d4-6e94-4ce1-894a-5883f5dd3dd7</errorID>
      <errorWord>）</errorWord>
      <group>L1_Format</group>
      <groupName>格式问题</groupName>
      <ability>L2_HalfPunc</ability>
      <abilityName>全半角检查</abilityName>
      <candidateList>
        <item>)</item>
      </candidateList>
      <explain>文本全半角错误。</explain>
      <paraID>2FA4DC3B</paraID>
      <start>7</start>
      <end>8</end>
      <status>ignored</status>
      <modifiedWord/>
      <trackRevisions>false</trackRevisions>
    </reviewItem>
    <reviewItem>
      <errorID>7d94c328-137c-4abf-9d78-e726cc7f7711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7BE67509</paraID>
      <start>0</start>
      <end>2</end>
      <status>modified</status>
      <modifiedWord>3.</modifiedWord>
      <trackRevisions>false</trackRevisions>
    </reviewItem>
    <reviewItem>
      <errorID>a8ee53b3-f1aa-47d5-ba35-4be0dcea51d7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198D7F45</paraID>
      <start>0</start>
      <end>2</end>
      <status>modified</status>
      <modifiedWord>4.</modifiedWord>
      <trackRevisions>false</trackRevisions>
    </reviewItem>
    <reviewItem>
      <errorID>3a8e5058-b439-41f9-af12-229889f89a63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1FF76554</paraID>
      <start>0</start>
      <end>2</end>
      <status>modified</status>
      <modifiedWord>5.</modifiedWord>
      <trackRevisions>false</trackRevisions>
    </reviewItem>
    <reviewItem>
      <errorID>0a326f80-3e31-4de5-9806-4fb2c07f5183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3E6DB072</paraID>
      <start>0</start>
      <end>2</end>
      <status>modified</status>
      <modifiedWord>1.</modifiedWord>
      <trackRevisions>false</trackRevisions>
    </reviewItem>
    <reviewItem>
      <errorID>d61dd06a-a0ee-435c-b2b9-c7ecf06065d3</errorID>
      <errorWord>临近</errorWord>
      <group>L1_Word</group>
      <groupName>字词问题</groupName>
      <ability>L2_Typo</ability>
      <abilityName>字词错误</abilityName>
      <candidateList>
        <item>邻近</item>
      </candidateList>
      <explain>存在发音相同字词的误用。</explain>
      <paraID>55FBE55B</paraID>
      <start>137</start>
      <end>139</end>
      <status>modified</status>
      <modifiedWord>邻近</modifiedWord>
      <trackRevisions>false</trackRevisions>
    </reviewItem>
    <reviewItem>
      <errorID>0bfc4379-e278-4b9e-a09c-e8f617518393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2FAACCF0</paraID>
      <start>0</start>
      <end>2</end>
      <status>modified</status>
      <modifiedWord>2.</modifiedWord>
      <trackRevisions>false</trackRevisions>
    </reviewItem>
    <reviewItem>
      <errorID>81279908-aa4b-4349-82d6-98b8db442fdc</errorID>
      <errorWord>交通部</errorWord>
      <group>L1_Knowledge</group>
      <groupName>知识性问题</groupName>
      <ability>L2_Knowledge</ability>
      <abilityName>其他知识</abilityName>
      <candidateList>
        <item>交通运输部</item>
      </candidateList>
      <explain/>
      <paraID>60404AA2</paraID>
      <start>92</start>
      <end>97</end>
      <status>modified</status>
      <modifiedWord>交通运输部</modifiedWord>
      <trackRevisions>false</trackRevisions>
    </reviewItem>
    <reviewItem>
      <errorID>0595b19d-46bd-402a-bdae-cfceacacac9a</errorID>
      <errorWord>累积</errorWord>
      <group>L1_Word</group>
      <groupName>字词问题</groupName>
      <ability>L2_Typo</ability>
      <abilityName>字词错误</abilityName>
      <candidateList>
        <item>累计</item>
      </candidateList>
      <explain/>
      <paraID>3881AC02</paraID>
      <start>133</start>
      <end>135</end>
      <status>modified</status>
      <modifiedWord>累计</modifiedWord>
      <trackRevisions>false</trackRevisions>
    </reviewItem>
    <reviewItem>
      <errorID>6dd83267-a5ea-4754-b805-873d1f09e53c</errorID>
      <errorWord>（</errorWord>
      <group>L1_Punc</group>
      <groupName>标点问题</groupName>
      <ability>L2_Punc</ability>
      <abilityName>标点符号检查</abilityName>
      <candidateList/>
      <explain>同一形式括号套用。</explain>
      <paraID>3DB77512</paraID>
      <start>49</start>
      <end>50</end>
      <status>ignored</status>
      <modifiedWord/>
      <trackRevisions>false</trackRevisions>
    </reviewItem>
    <reviewItem>
      <errorID>0b248e1a-eaf8-4c4d-824d-e264c7cc369a</errorID>
      <errorWord>）</errorWord>
      <group>L1_Punc</group>
      <groupName>标点问题</groupName>
      <ability>L2_Punc</ability>
      <abilityName>标点符号检查</abilityName>
      <candidateList/>
      <explain>同一形式括号套用。</explain>
      <paraID>3DB77512</paraID>
      <start>55</start>
      <end>56</end>
      <status>ignored</status>
      <modifiedWord/>
      <trackRevisions>false</trackRevisions>
    </reviewItem>
    <reviewItem>
      <errorID>4a2aaaf1-783a-45aa-99e5-2313b7d514ea</errorID>
      <errorWord>-</errorWord>
      <group>L1_Format</group>
      <groupName>格式问题</groupName>
      <ability>L2_HalfPunc</ability>
      <abilityName>全半角检查</abilityName>
      <candidateList>
        <item>－</item>
      </candidateList>
      <explain>文本全半角错误。</explain>
      <paraID>64F0B179</paraID>
      <start>15</start>
      <end>16</end>
      <status>modified</status>
      <modifiedWord>－</modifiedWord>
      <trackRevisions>false</trackRevisions>
    </reviewItem>
    <reviewItem>
      <errorID>27952248-26fc-40b4-8c2a-3330d43621f0</errorID>
      <errorWord>况</errorWord>
      <group>L1_Word</group>
      <groupName>字词问题</groupName>
      <ability>L2_Typo</ability>
      <abilityName>字词错误</abilityName>
      <candidateList>
        <item>况下</item>
      </candidateList>
      <explain/>
      <paraID>40B265B8</paraID>
      <start>50</start>
      <end>52</end>
      <status>modified</status>
      <modifiedWord>况下</modifiedWord>
      <trackRevisions>false</trackRevisions>
    </reviewItem>
    <reviewItem>
      <errorID>9549eb14-8253-4b41-b0ad-03cdbaf6cfa9</errorID>
      <errorWord>，</errorWord>
      <group>L1_Format</group>
      <groupName>格式问题</groupName>
      <ability>L2_HalfPunc</ability>
      <abilityName>全半角检查</abilityName>
      <candidateList>
        <item>, </item>
      </candidateList>
      <explain>文本全半角错误。</explain>
      <paraID>32F575CD</paraID>
      <start>2</start>
      <end>3</end>
      <status>ignored</status>
      <modifiedWord/>
      <trackRevisions>false</trackRevisions>
    </reviewItem>
    <reviewItem>
      <errorID>c5b67bb8-195a-4374-87ff-313ac56a336d</errorID>
      <errorWord>LAw，</errorWord>
      <group>L1_English</group>
      <groupName>英文问题</groupName>
      <ability>L2_Case</ability>
      <abilityName>大小写问题</abilityName>
      <candidateList>
        <item>Law, </item>
      </candidateList>
      <explain>疑似单词大小写错误，建议将LAw，修改为Law, </explain>
      <paraID>17C70289</paraID>
      <start>0</start>
      <end>4</end>
      <status>ignored</status>
      <modifiedWord/>
      <trackRevisions>false</trackRevisions>
    </reviewItem>
    <reviewItem>
      <errorID>681bdeae-0aba-4dd0-9c3b-6b7813cfd944</errorID>
      <errorWord>（</errorWord>
      <group>L1_Format</group>
      <groupName>格式问题</groupName>
      <ability>L2_HalfPunc</ability>
      <abilityName>全半角检查</abilityName>
      <candidateList>
        <item>(</item>
      </candidateList>
      <explain>文本全半角错误。</explain>
      <paraID>17C70289</paraID>
      <start>6</start>
      <end>7</end>
      <status>ignored</status>
      <modifiedWord/>
      <trackRevisions>false</trackRevisions>
    </reviewItem>
    <reviewItem>
      <errorID>94b091e7-4be4-405d-8057-c966bddc2c62</errorID>
      <errorWord>）</errorWord>
      <group>L1_Format</group>
      <groupName>格式问题</groupName>
      <ability>L2_HalfPunc</ability>
      <abilityName>全半角检查</abilityName>
      <candidateList>
        <item>)</item>
      </candidateList>
      <explain>文本全半角错误。</explain>
      <paraID>17C70289</paraID>
      <start>8</start>
      <end>9</end>
      <status>ignored</status>
      <modifiedWord/>
      <trackRevisions>false</trackRevisions>
    </reviewItem>
    <reviewItem>
      <errorID>4d825a27-0afa-4e05-aff4-e3af0f8f404f</errorID>
      <errorWord>减震</errorWord>
      <group>L1_Word</group>
      <groupName>字词问题</groupName>
      <ability>L2_Typo</ability>
      <abilityName>字词错误</abilityName>
      <candidateList>
        <item>减振</item>
      </candidateList>
      <explain/>
      <paraID>252DBE23</paraID>
      <start>43</start>
      <end>45</end>
      <status>modified</status>
      <modifiedWord>减振</modifiedWord>
      <trackRevisions>false</trackRevisions>
    </reviewItem>
    <reviewItem>
      <errorID>1fe1e19f-fb7f-4596-8cf2-2fb0268436e2</errorID>
      <errorWord>（</errorWord>
      <group>L1_Format</group>
      <groupName>格式问题</groupName>
      <ability>L2_HalfPunc</ability>
      <abilityName>全半角检查</abilityName>
      <candidateList>
        <item>(</item>
      </candidateList>
      <explain>文本全半角错误。</explain>
      <paraID>168713C0</paraID>
      <start>13</start>
      <end>14</end>
      <status>ignored</status>
      <modifiedWord/>
      <trackRevisions>false</trackRevisions>
    </reviewItem>
    <reviewItem>
      <errorID>776880f9-2cbc-4291-942f-9a080b12457e</errorID>
      <errorWord>）</errorWord>
      <group>L1_Format</group>
      <groupName>格式问题</groupName>
      <ability>L2_HalfPunc</ability>
      <abilityName>全半角检查</abilityName>
      <candidateList>
        <item>)</item>
      </candidateList>
      <explain>文本全半角错误。</explain>
      <paraID>168713C0</paraID>
      <start>15</start>
      <end>16</end>
      <status>ignored</status>
      <modifiedWord/>
      <trackRevisions>false</trackRevisions>
    </reviewItem>
    <reviewItem>
      <errorID>d61c5a9d-0b75-4903-8d4b-d4d1bfb02da8</errorID>
      <errorWord>（</errorWord>
      <group>L1_Format</group>
      <groupName>格式问题</groupName>
      <ability>L2_HalfPunc</ability>
      <abilityName>全半角检查</abilityName>
      <candidateList>
        <item>(</item>
      </candidateList>
      <explain>文本全半角错误。</explain>
      <paraID>168713C0</paraID>
      <start>17</start>
      <end>18</end>
      <status>ignored</status>
      <modifiedWord/>
      <trackRevisions>false</trackRevisions>
    </reviewItem>
    <reviewItem>
      <errorID>20eedd34-1892-4281-ae3f-29348d1bb7aa</errorID>
      <errorWord>）</errorWord>
      <group>L1_Format</group>
      <groupName>格式问题</groupName>
      <ability>L2_HalfPunc</ability>
      <abilityName>全半角检查</abilityName>
      <candidateList>
        <item>)</item>
      </candidateList>
      <explain>文本全半角错误。</explain>
      <paraID>168713C0</paraID>
      <start>23</start>
      <end>24</end>
      <status>ignored</status>
      <modifiedWord/>
      <trackRevisions>false</trackRevisions>
    </reviewItem>
    <reviewItem>
      <errorID>8bd63878-a661-40e3-b3e0-4f3b120bc9d9</errorID>
      <errorWord>（</errorWord>
      <group>L1_Format</group>
      <groupName>格式问题</groupName>
      <ability>L2_HalfPunc</ability>
      <abilityName>全半角检查</abilityName>
      <candidateList>
        <item>(</item>
      </candidateList>
      <explain>文本全半角错误。</explain>
      <paraID>76AE9ADE</paraID>
      <start>7</start>
      <end>8</end>
      <status>ignored</status>
      <modifiedWord/>
      <trackRevisions>false</trackRevisions>
    </reviewItem>
    <reviewItem>
      <errorID>1a5c6ddc-966a-46ab-8db0-2a0bc5576c70</errorID>
      <errorWord>）</errorWord>
      <group>L1_Format</group>
      <groupName>格式问题</groupName>
      <ability>L2_HalfPunc</ability>
      <abilityName>全半角检查</abilityName>
      <candidateList>
        <item>)</item>
      </candidateList>
      <explain>文本全半角错误。</explain>
      <paraID>76AE9ADE</paraID>
      <start>9</start>
      <end>10</end>
      <status>ignored</status>
      <modifiedWord/>
      <trackRevisions>false</trackRevisions>
    </reviewItem>
    <reviewItem>
      <errorID>80ea0b48-4b04-42e5-a4a2-7cf5a1097c09</errorID>
      <errorWord>（</errorWord>
      <group>L1_Format</group>
      <groupName>格式问题</groupName>
      <ability>L2_HalfPunc</ability>
      <abilityName>全半角检查</abilityName>
      <candidateList>
        <item>(</item>
      </candidateList>
      <explain>文本全半角错误。</explain>
      <paraID>5AA24DEF</paraID>
      <start>33</start>
      <end>34</end>
      <status>ignored</status>
      <modifiedWord/>
      <trackRevisions>false</trackRevisions>
    </reviewItem>
    <reviewItem>
      <errorID>3db48016-264a-45ab-8567-4290fad96524</errorID>
      <errorWord>）</errorWord>
      <group>L1_Format</group>
      <groupName>格式问题</groupName>
      <ability>L2_HalfPunc</ability>
      <abilityName>全半角检查</abilityName>
      <candidateList>
        <item>)</item>
      </candidateList>
      <explain>文本全半角错误。</explain>
      <paraID>5AA24DEF</paraID>
      <start>37</start>
      <end>38</end>
      <status>ignored</status>
      <modifiedWord/>
      <trackRevisions>false</trackRevisions>
    </reviewItem>
    <reviewItem>
      <errorID>a0cb256b-e9d1-4710-8ab6-14ac59854e4d</errorID>
      <errorWord>（</errorWord>
      <group>L1_Format</group>
      <groupName>格式问题</groupName>
      <ability>L2_HalfPunc</ability>
      <abilityName>全半角检查</abilityName>
      <candidateList>
        <item>(</item>
      </candidateList>
      <explain>文本全半角错误。</explain>
      <paraID>32E1FB8F</paraID>
      <start>38</start>
      <end>39</end>
      <status>ignored</status>
      <modifiedWord/>
      <trackRevisions>false</trackRevisions>
    </reviewItem>
    <reviewItem>
      <errorID>54097d4e-5042-403b-9251-b9a15f64a562</errorID>
      <errorWord>）</errorWord>
      <group>L1_Format</group>
      <groupName>格式问题</groupName>
      <ability>L2_HalfPunc</ability>
      <abilityName>全半角检查</abilityName>
      <candidateList>
        <item>)</item>
      </candidateList>
      <explain>文本全半角错误。</explain>
      <paraID>32E1FB8F</paraID>
      <start>42</start>
      <end>43</end>
      <status>ignored</status>
      <modifiedWord/>
      <trackRevisions>false</trackRevisions>
    </reviewItem>
    <reviewItem>
      <errorID>80fb3cf7-a1ef-4eb7-85a0-b54d79b5a913</errorID>
      <errorWord>（</errorWord>
      <group>L1_Format</group>
      <groupName>格式问题</groupName>
      <ability>L2_HalfPunc</ability>
      <abilityName>全半角检查</abilityName>
      <candidateList>
        <item>(</item>
      </candidateList>
      <explain>文本全半角错误。</explain>
      <paraID>38225D48</paraID>
      <start>34</start>
      <end>35</end>
      <status>ignored</status>
      <modifiedWord/>
      <trackRevisions>false</trackRevisions>
    </reviewItem>
    <reviewItem>
      <errorID>60ab3186-17aa-4010-8d72-43b20e8669f4</errorID>
      <errorWord>）</errorWord>
      <group>L1_Format</group>
      <groupName>格式问题</groupName>
      <ability>L2_HalfPunc</ability>
      <abilityName>全半角检查</abilityName>
      <candidateList>
        <item>)</item>
      </candidateList>
      <explain>文本全半角错误。</explain>
      <paraID>38225D48</paraID>
      <start>38</start>
      <end>39</end>
      <status>ignored</status>
      <modifiedWord/>
      <trackRevisions>false</trackRevisions>
    </reviewItem>
    <reviewItem>
      <errorID>264d167b-3a84-4cc1-baea-69ecc0c921b4</errorID>
      <errorWord>（</errorWord>
      <group>L1_Format</group>
      <groupName>格式问题</groupName>
      <ability>L2_HalfPunc</ability>
      <abilityName>全半角检查</abilityName>
      <candidateList>
        <item>(</item>
      </candidateList>
      <explain>文本全半角错误。</explain>
      <paraID>59CA9C16</paraID>
      <start>54</start>
      <end>55</end>
      <status>ignored</status>
      <modifiedWord/>
      <trackRevisions>false</trackRevisions>
    </reviewItem>
    <reviewItem>
      <errorID>32aafe86-e468-4f97-bcef-084b91f7ecf9</errorID>
      <errorWord>）</errorWord>
      <group>L1_Format</group>
      <groupName>格式问题</groupName>
      <ability>L2_HalfPunc</ability>
      <abilityName>全半角检查</abilityName>
      <candidateList>
        <item>)</item>
      </candidateList>
      <explain>文本全半角错误。</explain>
      <paraID>59CA9C16</paraID>
      <start>58</start>
      <end>59</end>
      <status>ignored</status>
      <modifiedWord/>
      <trackRevisions>false</trackRevisions>
    </reviewItem>
    <reviewItem>
      <errorID>2b5591b0-8e6f-4460-944c-7e4b91bfca8b</errorID>
      <errorWord>)</errorWord>
      <group>L1_Format</group>
      <groupName>格式问题</groupName>
      <ability>L2_HalfPunc</ability>
      <abilityName>全半角检查</abilityName>
      <candidateList>
        <item>）</item>
      </candidateList>
      <explain>文本全半角错误。</explain>
      <paraID>26EFD157</paraID>
      <start>28</start>
      <end>29</end>
      <status>ignored</status>
      <modifiedWord/>
      <trackRevisions>false</trackRevisions>
    </reviewItem>
    <reviewItem>
      <errorID>fa3ddae5-249c-4038-8cd9-b35fc013eecd</errorID>
      <errorWord>（</errorWord>
      <group>L1_Format</group>
      <groupName>格式问题</groupName>
      <ability>L2_HalfPunc</ability>
      <abilityName>全半角检查</abilityName>
      <candidateList>
        <item>(</item>
      </candidateList>
      <explain>文本全半角错误。</explain>
      <paraID>4EE7A4A2</paraID>
      <start>55</start>
      <end>56</end>
      <status>ignored</status>
      <modifiedWord/>
      <trackRevisions>false</trackRevisions>
    </reviewItem>
    <reviewItem>
      <errorID>0dd53db4-4091-49a6-b476-62f82281d9e7</errorID>
      <errorWord>）</errorWord>
      <group>L1_Format</group>
      <groupName>格式问题</groupName>
      <ability>L2_HalfPunc</ability>
      <abilityName>全半角检查</abilityName>
      <candidateList>
        <item>)</item>
      </candidateList>
      <explain>文本全半角错误。</explain>
      <paraID>4EE7A4A2</paraID>
      <start>59</start>
      <end>60</end>
      <status>ignored</status>
      <modifiedWord/>
      <trackRevisions>false</trackRevisions>
    </reviewItem>
    <reviewItem>
      <errorID>14e35c71-b792-4bbc-99b0-7f2782bfaade</errorID>
      <errorWord>（</errorWord>
      <group>L1_Format</group>
      <groupName>格式问题</groupName>
      <ability>L2_HalfPunc</ability>
      <abilityName>全半角检查</abilityName>
      <candidateList>
        <item>(</item>
      </candidateList>
      <explain>文本全半角错误。</explain>
      <paraID>14004B7E</paraID>
      <start>54</start>
      <end>55</end>
      <status>ignored</status>
      <modifiedWord/>
      <trackRevisions>false</trackRevisions>
    </reviewItem>
    <reviewItem>
      <errorID>baebea85-f4ce-4315-a97d-1a8cc2d6a9c6</errorID>
      <errorWord>）</errorWord>
      <group>L1_Format</group>
      <groupName>格式问题</groupName>
      <ability>L2_HalfPunc</ability>
      <abilityName>全半角检查</abilityName>
      <candidateList>
        <item>)</item>
      </candidateList>
      <explain>文本全半角错误。</explain>
      <paraID>14004B7E</paraID>
      <start>59</start>
      <end>60</end>
      <status>ignored</status>
      <modifiedWord/>
      <trackRevisions>false</trackRevisions>
    </reviewItem>
    <reviewItem>
      <errorID>59ba2cd7-89d8-419e-b8a1-5fbf85c99ff8</errorID>
      <errorWord>-</errorWord>
      <group>L1_Format</group>
      <groupName>格式问题</groupName>
      <ability>L2_HalfPunc</ability>
      <abilityName>全半角检查</abilityName>
      <candidateList>
        <item>－</item>
      </candidateList>
      <explain>文本全半角错误。</explain>
      <paraID>729CB757</paraID>
      <start>15</start>
      <end>16</end>
      <status>ignored</status>
      <modifiedWord/>
      <trackRevisions>false</trackRevisions>
    </reviewItem>
    <reviewItem>
      <errorID>136af7c4-04ad-4da9-bb9d-721f50140c2a</errorID>
      <errorWord>矿山生态恢复</errorWord>
      <group>L1_Political</group>
      <groupName>政治性问题</groupName>
      <ability>L2_Keyword</ability>
      <abilityName>固定表述</abilityName>
      <candidateList>
        <item>矿山生态修复</item>
      </candidateList>
      <explain>词汇“矿山生态修复”在特定场景下为固定表述形式，请确认此处的“矿山生态恢复”是否存在不当。</explain>
      <paraID>561CD270</paraID>
      <start>141</start>
      <end>147</end>
      <status>modified</status>
      <modifiedWord>矿山生态修复</modifiedWord>
      <trackRevisions>false</trackRevisions>
    </reviewItem>
    <reviewItem>
      <errorID>010183c9-c176-4b33-aa6e-96125d6f2a35</errorID>
      <errorWord>矿山生态恢复</errorWord>
      <group>L1_Political</group>
      <groupName>政治性问题</groupName>
      <ability>L2_Keyword</ability>
      <abilityName>固定表述</abilityName>
      <candidateList>
        <item>矿山生态修复</item>
      </candidateList>
      <explain>词汇“矿山生态修复”在特定场景下为固定表述形式，请确认此处的“矿山生态恢复”是否存在不当。</explain>
      <paraID>5D98C38A</paraID>
      <start>4</start>
      <end>10</end>
      <status>modified</status>
      <modifiedWord>矿山生态修复</modifiedWord>
      <trackRevisions>false</trackRevisions>
    </reviewItem>
    <reviewItem>
      <errorID>b1c3ce7f-7aa3-42c9-8124-fd5a7756302f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6795F9B4</paraID>
      <start>10</start>
      <end>13</end>
      <status>modified</status>
      <modifiedWord>刺激征</modifiedWord>
      <trackRevisions>false</trackRevisions>
    </reviewItem>
    <reviewItem>
      <errorID>795c1ae1-3231-4b08-a931-1236cdb77558</errorID>
      <errorWord>而</errorWord>
      <group>L1_Word</group>
      <groupName>字词问题</groupName>
      <ability>L2_Typo</ability>
      <abilityName>字词错误</abilityName>
      <candidateList>
        <item>而是</item>
      </candidateList>
      <explain/>
      <paraID>6FDF947D</paraID>
      <start>66</start>
      <end>68</end>
      <status>modified</status>
      <modifiedWord>而是</modifiedWord>
      <trackRevisions>false</trackRevisions>
    </reviewItem>
    <reviewItem>
      <errorID>da7c5993-f0a7-406f-9f26-af79d0ddf3db</errorID>
      <errorWord>矿山生态恢复</errorWord>
      <group>L1_Political</group>
      <groupName>政治性问题</groupName>
      <ability>L2_Keyword</ability>
      <abilityName>固定表述</abilityName>
      <candidateList>
        <item>矿山生态修复</item>
      </candidateList>
      <explain>词汇“矿山生态修复”在特定场景下为固定表述形式，请确认此处的“矿山生态恢复”是否存在不当。</explain>
      <paraID>7170BFDB</paraID>
      <start>18</start>
      <end>24</end>
      <status>modified</status>
      <modifiedWord>矿山生态修复</modifiedWord>
      <trackRevisions>false</trackRevisions>
    </reviewItem>
    <reviewItem>
      <errorID>4808ca81-7107-46c6-950e-a7450b249020</errorID>
      <errorWord>随机</errorWord>
      <group>L1_Word</group>
      <groupName>字词问题</groupName>
      <ability>L2_Typo</ability>
      <abilityName>字词错误</abilityName>
      <candidateList>
        <item>随即</item>
      </candidateList>
      <explain>〈副〉随后就；立刻：你们先走，我～动身。</explain>
      <paraID>7170BFDB</paraID>
      <start>57</start>
      <end>59</end>
      <status>modified</status>
      <modifiedWord>随即</modifiedWord>
      <trackRevisions>false</trackRevisions>
    </reviewItem>
    <reviewItem>
      <errorID>f91ad1e2-9518-4bb5-9cb1-99e99cb47b74</errorID>
      <errorWord>矿山生态恢复</errorWord>
      <group>L1_Political</group>
      <groupName>政治性问题</groupName>
      <ability>L2_Keyword</ability>
      <abilityName>固定表述</abilityName>
      <candidateList>
        <item>矿山生态修复</item>
      </candidateList>
      <explain>词汇“矿山生态修复”在特定场景下为固定表述形式，请确认此处的“矿山生态恢复”是否存在不当。</explain>
      <paraID>7170BFDB</paraID>
      <start>64</start>
      <end>70</end>
      <status>modified</status>
      <modifiedWord>矿山生态修复</modifiedWord>
      <trackRevisions>false</trackRevisions>
    </reviewItem>
    <reviewItem>
      <errorID>4cf5da7c-9a50-40f3-908b-6937614b048f</errorID>
      <errorWord>矿山生态恢复</errorWord>
      <group>L1_Political</group>
      <groupName>政治性问题</groupName>
      <ability>L2_Keyword</ability>
      <abilityName>固定表述</abilityName>
      <candidateList>
        <item>矿山生态修复</item>
      </candidateList>
      <explain>词汇“矿山生态修复”在特定场景下为固定表述形式，请确认此处的“矿山生态恢复”是否存在不当。</explain>
      <paraID>2B497AC6</paraID>
      <start>129</start>
      <end>135</end>
      <status>modified</status>
      <modifiedWord>矿山生态修复</modifiedWord>
      <trackRevisions>false</trackRevisions>
    </reviewItem>
    <reviewItem>
      <errorID>f81d311b-52f6-45de-b93f-281ba8beba11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3D1BCA49</paraID>
      <start>0</start>
      <end>2</end>
      <status>modified</status>
      <modifiedWord>1.</modifiedWord>
      <trackRevisions>false</trackRevisions>
    </reviewItem>
    <reviewItem>
      <errorID>79798d4d-cc4d-4e0f-aa6f-21ae691cab9b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D86955F</paraID>
      <start>0</start>
      <end>2</end>
      <status>modified</status>
      <modifiedWord>2.</modifiedWord>
      <trackRevisions>false</trackRevisions>
    </reviewItem>
    <reviewItem>
      <errorID>30497cdc-3fe1-4417-83e4-f61f05712256</errorID>
      <errorWord>整个</errorWord>
      <group>L1_Word</group>
      <groupName>字词问题</groupName>
      <ability>L2_Typo</ability>
      <abilityName>字词错误</abilityName>
      <candidateList>
        <item>整条</item>
      </candidateList>
      <explain/>
      <paraID>7EE96EA2</paraID>
      <start>160</start>
      <end>162</end>
      <status>modified</status>
      <modifiedWord>整条</modifiedWord>
      <trackRevisions>false</trackRevisions>
    </reviewItem>
    <reviewItem>
      <errorID>10281332-1fb9-441a-add6-5ea207b583b4</errorID>
      <errorWord>抛洒</errorWord>
      <group>L1_Word</group>
      <groupName>字词问题</groupName>
      <ability>L2_Typo</ability>
      <abilityName>字词错误</abilityName>
      <candidateList>
        <item>抛撒</item>
      </candidateList>
      <explain/>
      <paraID> 5533091</paraID>
      <start>33</start>
      <end>35</end>
      <status>modified</status>
      <modifiedWord>抛撒</modifiedWord>
      <trackRevisions>false</trackRevisions>
    </reviewItem>
    <reviewItem>
      <errorID>2297d3b2-dd45-49b0-b59a-208c2c5ef0cd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4DF44F6D</paraID>
      <start>0</start>
      <end>2</end>
      <status>modified</status>
      <modifiedWord>3.</modifiedWord>
      <trackRevisions>false</trackRevisions>
    </reviewItem>
    <reviewItem>
      <errorID>b47b0301-bb41-42f4-98ed-af009a08042a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42B49AA4</paraID>
      <start>0</start>
      <end>2</end>
      <status>modified</status>
      <modifiedWord>4.</modifiedWord>
      <trackRevisions>false</trackRevisions>
    </reviewItem>
    <reviewItem>
      <errorID>977a0839-d202-4bdc-870c-69f1687f8029</errorID>
      <errorWord>；</errorWord>
      <group>L1_Word</group>
      <groupName>字词问题</groupName>
      <ability>L2_Typo</ability>
      <abilityName>字词错误</abilityName>
      <candidateList>
        <item>；在</item>
      </candidateList>
      <explain/>
      <paraID> 91F1139</paraID>
      <start>31</start>
      <end>33</end>
      <status>modified</status>
      <modifiedWord>；在</modifiedWord>
      <trackRevisions>false</trackRevisions>
    </reviewItem>
    <reviewItem>
      <errorID>975805cc-c658-4114-9474-a309c2115ec3</errorID>
      <errorWord>良好地</errorWord>
      <group>L1_Word</group>
      <groupName>字词问题</groupName>
      <ability>L2_Typo</ability>
      <abilityName>字词错误</abilityName>
      <candidateList>
        <item>良好</item>
      </candidateList>
      <explain/>
      <paraID>354D87DB</paraID>
      <start>27</start>
      <end>29</end>
      <status>modified</status>
      <modifiedWord>良好</modifiedWord>
      <trackRevisions>false</trackRevisions>
    </reviewItem>
    <reviewItem>
      <errorID>52c8888d-0d9c-410e-98c1-afff8d4f2099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7D9C8473</paraID>
      <start>0</start>
      <end>2</end>
      <status>modified</status>
      <modifiedWord>5.</modifiedWord>
      <trackRevisions>false</trackRevisions>
    </reviewItem>
    <reviewItem>
      <errorID>8e199c7f-bf58-4e6e-9987-4ef075dc1c45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6A9AE731</paraID>
      <start>0</start>
      <end>2</end>
      <status>modified</status>
      <modifiedWord>1.</modifiedWord>
      <trackRevisions>false</trackRevisions>
    </reviewItem>
    <reviewItem>
      <errorID>f7286920-4c94-4818-9d1f-e390a3c08113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256B479F</paraID>
      <start>0</start>
      <end>2</end>
      <status>modified</status>
      <modifiedWord>2.</modifiedWord>
      <trackRevisions>false</trackRevisions>
    </reviewItem>
    <reviewItem>
      <errorID>22184c35-d708-4d6c-bac8-dfb3f267c9be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1DD51DB7</paraID>
      <start>0</start>
      <end>2</end>
      <status>modified</status>
      <modifiedWord>3.</modifiedWord>
      <trackRevisions>false</trackRevisions>
    </reviewItem>
    <reviewItem>
      <errorID>5b1ead7c-4aee-4f88-a4c9-2ba6daeafcf3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6A75BE95</paraID>
      <start>0</start>
      <end>2</end>
      <status>modified</status>
      <modifiedWord>4.</modifiedWord>
      <trackRevisions>false</trackRevisions>
    </reviewItem>
    <reviewItem>
      <errorID>69558d9b-c517-490b-9664-e432115e3523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8655B03</paraID>
      <start>0</start>
      <end>2</end>
      <status>modified</status>
      <modifiedWord>5.</modifiedWord>
      <trackRevisions>false</trackRevisions>
    </reviewItem>
    <reviewItem>
      <errorID>b4e60709-1b52-4dca-9763-cf90d1f193f9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28F06F3D</paraID>
      <start>0</start>
      <end>2</end>
      <status>modified</status>
      <modifiedWord>2.</modifiedWord>
      <trackRevisions>false</trackRevisions>
    </reviewItem>
    <reviewItem>
      <errorID>5776e37d-2c17-446c-bb54-e5390ff6b2e8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6C20EEC6</paraID>
      <start>0</start>
      <end>2</end>
      <status>modified</status>
      <modifiedWord>3.</modifiedWord>
      <trackRevisions>false</trackRevisions>
    </reviewItem>
    <reviewItem>
      <errorID>5d5bff5d-1469-417b-8ade-93b1ef818d23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5774B5BE</paraID>
      <start>0</start>
      <end>2</end>
      <status>modified</status>
      <modifiedWord>4.</modifiedWord>
      <trackRevisions>false</trackRevisions>
    </reviewItem>
    <reviewItem>
      <errorID>ee37e5bc-826d-4f1e-ab3f-93d5ef8e8b0b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7873AD9F</paraID>
      <start>0</start>
      <end>2</end>
      <status>modified</status>
      <modifiedWord>5.</modifiedWord>
      <trackRevisions>false</trackRevisions>
    </reviewItem>
    <reviewItem>
      <errorID>ed4801d0-defb-46b6-a14d-757ebd83e795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3F5BCFE7</paraID>
      <start>0</start>
      <end>2</end>
      <status>modified</status>
      <modifiedWord>6.</modifiedWord>
      <trackRevisions>false</trackRevisions>
    </reviewItem>
    <reviewItem>
      <errorID>b8eb6756-799b-4e13-9bef-5649d635bf5e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1144995A</paraID>
      <start>80</start>
      <end>81</end>
      <status>ignored</status>
      <modifiedWord/>
      <trackRevisions>false</trackRevisions>
    </reviewItem>
    <reviewItem>
      <errorID>27112340-ed01-4a71-b804-c32973a04df0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6412C881</paraID>
      <start>79</start>
      <end>80</end>
      <status>ignored</status>
      <modifiedWord/>
      <trackRevisions>false</trackRevisions>
    </reviewItem>
    <reviewItem>
      <errorID>09965b90-2fc7-4f59-aaa4-ca9664104289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13A1199B</paraID>
      <start>20</start>
      <end>21</end>
      <status>ignored</status>
      <modifiedWord/>
      <trackRevisions>false</trackRevisions>
    </reviewItem>
    <reviewItem>
      <errorID>b0809266-e9b3-4b4d-99bb-aaa0178a73ec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53B6C5BA</paraID>
      <start>0</start>
      <end>2</end>
      <status>modified</status>
      <modifiedWord>1.</modifiedWord>
      <trackRevisions>false</trackRevisions>
    </reviewItem>
    <reviewItem>
      <errorID>700a573b-689c-4aa3-a2f9-7d67b6f180b8</errorID>
      <errorWord>要求在</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34F4F5DE</paraID>
      <start>26</start>
      <end>28</end>
      <status>modified</status>
      <modifiedWord>要求</modifiedWord>
      <trackRevisions>false</trackRevisions>
    </reviewItem>
    <reviewItem>
      <errorID>9d939740-def1-41bf-a0ac-ecb85bccbd8f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717C818F</paraID>
      <start>0</start>
      <end>2</end>
      <status>modified</status>
      <modifiedWord>2.</modifiedWord>
      <trackRevisions>false</trackRevisions>
    </reviewItem>
    <reviewItem>
      <errorID>75258c21-5452-4136-bc92-e4a073e3c954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129C0582</paraID>
      <start>0</start>
      <end>2</end>
      <status>modified</status>
      <modifiedWord>3.</modifiedWord>
      <trackRevisions>false</trackRevisions>
    </reviewItem>
    <reviewItem>
      <errorID>9e3e563f-de71-484d-8bf8-a6f8431d21a0</errorID>
      <errorWord>整平</errorWord>
      <group>L1_Word</group>
      <groupName>字词问题</groupName>
      <ability>L2_Typo</ability>
      <abilityName>字词错误</abilityName>
      <candidateList>
        <item>平整</item>
      </candidateList>
      <explain>❶〈动〉填挖土方使土地平坦整齐：～土地。❷〈形〉平正整齐；（土地）平坦整齐：马路又宽又～。</explain>
      <paraID>5A93764B</paraID>
      <start>25</start>
      <end>27</end>
      <status>modified</status>
      <modifiedWord>平整</modifiedWord>
      <trackRevisions>false</trackRevisions>
    </reviewItem>
    <reviewItem>
      <errorID>9bb8752c-402a-4ddb-8c71-428868dc1539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28BBB712</paraID>
      <start>0</start>
      <end>2</end>
      <status>modified</status>
      <modifiedWord>4.</modifiedWord>
      <trackRevisions>false</trackRevisions>
    </reviewItem>
    <reviewItem>
      <errorID>1eae761f-2ef6-45ec-9612-568a52524f37</errorID>
      <errorWord>矿区生态修复</errorWord>
      <group>L1_Political</group>
      <groupName>政治性问题</groupName>
      <ability>L2_Keyword</ability>
      <abilityName>固定表述</abilityName>
      <candidateList>
        <item>矿山生态修复</item>
      </candidateList>
      <explain>词汇“矿山生态修复”在特定场景下为固定表述形式，请确认此处的“矿区生态修复”是否存在不当。</explain>
      <paraID>71360461</paraID>
      <start>59</start>
      <end>65</end>
      <status>modified</status>
      <modifiedWord>矿山生态修复</modifiedWord>
      <trackRevisions>false</trackRevisions>
    </reviewItem>
    <reviewItem>
      <errorID>fc99d0a6-245b-4038-8f0b-3287b148e966</errorID>
      <errorWord>-</errorWord>
      <group>L1_Format</group>
      <groupName>格式问题</groupName>
      <ability>L2_HalfPunc</ability>
      <abilityName>全半角检查</abilityName>
      <candidateList>
        <item>－</item>
      </candidateList>
      <explain>文本全半角错误。</explain>
      <paraID>59803B37</paraID>
      <start>68</start>
      <end>69</end>
      <status>modified</status>
      <modifiedWord>－</modifiedWord>
      <trackRevisions>false</trackRevisions>
    </reviewItem>
    <reviewItem>
      <errorID>b002980c-63c5-4b6a-88a7-fed1287c7d67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6D08E495</paraID>
      <start>0</start>
      <end>2</end>
      <status>modified</status>
      <modifiedWord>1.</modifiedWord>
      <trackRevisions>false</trackRevisions>
    </reviewItem>
    <reviewItem>
      <errorID>6dccdaaf-f387-42ae-8521-84c90c892dcf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644FCA03</paraID>
      <start>0</start>
      <end>2</end>
      <status>modified</status>
      <modifiedWord>2.</modifiedWord>
      <trackRevisions>false</trackRevisions>
    </reviewItem>
    <reviewItem>
      <errorID>6b1c16dc-4325-4c8a-9ea4-e5f2e76bd04a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51E900F</paraID>
      <start>0</start>
      <end>2</end>
      <status>modified</status>
      <modifiedWord>3.</modifiedWord>
      <trackRevisions>false</trackRevisions>
    </reviewItem>
    <reviewItem>
      <errorID>18deddc2-956d-4eaa-b03d-4137a009c543</errorID>
      <errorWord>抛洒</errorWord>
      <group>L1_Word</group>
      <groupName>字词问题</groupName>
      <ability>L2_Typo</ability>
      <abilityName>字词错误</abilityName>
      <candidateList>
        <item>抛撒</item>
      </candidateList>
      <explain/>
      <paraID> 9784714</paraID>
      <start>33</start>
      <end>35</end>
      <status>modified</status>
      <modifiedWord>抛撒</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4625b2-c518-4857-ac74-3ce6b5910ea6}">
  <ds:schemaRefs/>
</ds:datastoreItem>
</file>

<file path=docProps/app.xml><?xml version="1.0" encoding="utf-8"?>
<Properties xmlns="http://schemas.openxmlformats.org/officeDocument/2006/extended-properties" xmlns:vt="http://schemas.openxmlformats.org/officeDocument/2006/docPropsVTypes">
  <Template>Normal.dotm</Template>
  <Pages>107</Pages>
  <Words>1298</Words>
  <Characters>1413</Characters>
  <Lines>0</Lines>
  <Paragraphs>0</Paragraphs>
  <TotalTime>2</TotalTime>
  <ScaleCrop>false</ScaleCrop>
  <LinksUpToDate>false</LinksUpToDate>
  <CharactersWithSpaces>1432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2024-01-23T01:24:00Z</dcterms:created>
  <dc:creator>七七</dc:creator>
  <cp:lastModifiedBy>深渊</cp:lastModifiedBy>
  <cp:lastPrinted>2024-04-15T06:54:00Z</cp:lastPrinted>
  <dcterms:modified xsi:type="dcterms:W3CDTF">2026-07-27T01:35:04Z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F754F51FEC1641FEA5BE2F7E44AB566B_13</vt:lpwstr>
  </property>
  <property fmtid="{D5CDD505-2E9C-101B-9397-08002B2CF9AE}" pid="4" name="KSOTemplateDocerSaveRecord">
    <vt:lpwstr>eyJoZGlkIjoiZGNiYjczMjkyY2Q3YTg5Zjg3ZmMzYTgxOGIxYzZjZTQiLCJ1c2VySWQiOiI5NTg0NDM4NzYifQ==</vt:lpwstr>
  </property>
</Properties>
</file>