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黑体" w:hAnsi="黑体" w:eastAsia="黑体" w:cs="黑体"/>
          <w:b w:val="0"/>
          <w:bCs w:val="0"/>
          <w:i w:val="0"/>
          <w:snapToGrid/>
          <w:color w:val="000000"/>
          <w:sz w:val="32"/>
          <w:szCs w:val="32"/>
          <w:u w:val="none" w:color="auto"/>
          <w:lang w:val="en-US" w:eastAsia="zh-CN"/>
        </w:rPr>
      </w:pPr>
      <w:r>
        <w:rPr>
          <w:rFonts w:hint="eastAsia" w:ascii="黑体" w:hAnsi="黑体" w:eastAsia="黑体" w:cs="黑体"/>
          <w:b w:val="0"/>
          <w:bCs w:val="0"/>
          <w:i w:val="0"/>
          <w:snapToGrid/>
          <w:color w:val="000000"/>
          <w:sz w:val="32"/>
          <w:szCs w:val="32"/>
          <w:u w:val="none" w:color="auto"/>
          <w:lang w:val="en-US" w:eastAsia="zh-CN"/>
        </w:rPr>
        <w:t>附件1</w:t>
      </w:r>
    </w:p>
    <w:p>
      <w:pPr>
        <w:keepNext w:val="0"/>
        <w:keepLines w:val="0"/>
        <w:pageBreakBefore w:val="0"/>
        <w:widowControl w:val="0"/>
        <w:kinsoku/>
        <w:wordWrap/>
        <w:overflowPunct/>
        <w:topLinePunct w:val="0"/>
        <w:autoSpaceDE/>
        <w:autoSpaceDN w:val="0"/>
        <w:bidi w:val="0"/>
        <w:adjustRightInd/>
        <w:snapToGrid/>
        <w:spacing w:before="157" w:beforeLines="50" w:after="313" w:afterLines="100"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i w:val="0"/>
          <w:snapToGrid/>
          <w:color w:val="000000"/>
          <w:spacing w:val="-11"/>
          <w:sz w:val="32"/>
          <w:szCs w:val="32"/>
          <w:u w:val="none" w:color="auto"/>
          <w:vertAlign w:val="baseline"/>
          <w:lang w:eastAsia="zh-CN"/>
        </w:rPr>
      </w:pPr>
      <w:r>
        <w:rPr>
          <w:rFonts w:hint="eastAsia" w:ascii="方正小标宋简体" w:hAnsi="方正小标宋简体" w:eastAsia="方正小标宋简体" w:cs="方正小标宋简体"/>
          <w:b w:val="0"/>
          <w:bCs w:val="0"/>
          <w:i w:val="0"/>
          <w:snapToGrid/>
          <w:color w:val="000000"/>
          <w:spacing w:val="-11"/>
          <w:sz w:val="44"/>
          <w:szCs w:val="44"/>
          <w:u w:val="none" w:color="auto"/>
          <w:lang w:eastAsia="zh-CN"/>
        </w:rPr>
        <w:t>不应由基层群众性自治组织出具证明事项清单</w:t>
      </w:r>
      <w:r>
        <w:rPr>
          <w:rFonts w:hint="eastAsia" w:ascii="楷体_GB2312" w:hAnsi="楷体_GB2312" w:eastAsia="楷体_GB2312" w:cs="楷体_GB2312"/>
          <w:b w:val="0"/>
          <w:bCs w:val="0"/>
          <w:i w:val="0"/>
          <w:snapToGrid/>
          <w:color w:val="000000"/>
          <w:spacing w:val="-11"/>
          <w:sz w:val="32"/>
          <w:szCs w:val="32"/>
          <w:u w:val="none" w:color="auto"/>
          <w:lang w:eastAsia="zh-CN"/>
        </w:rPr>
        <w:t>（第一批）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559"/>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i w:val="0"/>
                <w:snapToGrid/>
                <w:color w:val="000000"/>
                <w:sz w:val="28"/>
                <w:szCs w:val="28"/>
                <w:u w:val="none" w:color="auto"/>
                <w:vertAlign w:val="baseline"/>
                <w:lang w:eastAsia="zh-CN"/>
              </w:rPr>
            </w:pPr>
            <w:r>
              <w:rPr>
                <w:rFonts w:hint="eastAsia" w:ascii="黑体" w:hAnsi="黑体" w:eastAsia="黑体" w:cs="黑体"/>
                <w:b w:val="0"/>
                <w:bCs w:val="0"/>
                <w:i w:val="0"/>
                <w:snapToGrid/>
                <w:color w:val="000000"/>
                <w:sz w:val="28"/>
                <w:szCs w:val="28"/>
                <w:u w:val="none" w:color="auto"/>
                <w:vertAlign w:val="baseline"/>
                <w:lang w:eastAsia="zh-CN"/>
              </w:rPr>
              <w:t>序号</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i w:val="0"/>
                <w:snapToGrid/>
                <w:color w:val="000000"/>
                <w:sz w:val="28"/>
                <w:szCs w:val="28"/>
                <w:u w:val="none" w:color="auto"/>
                <w:vertAlign w:val="baseline"/>
                <w:lang w:eastAsia="zh-CN"/>
              </w:rPr>
            </w:pPr>
            <w:r>
              <w:rPr>
                <w:rFonts w:hint="eastAsia" w:ascii="黑体" w:hAnsi="黑体" w:eastAsia="黑体" w:cs="黑体"/>
                <w:b w:val="0"/>
                <w:bCs w:val="0"/>
                <w:i w:val="0"/>
                <w:snapToGrid/>
                <w:color w:val="000000"/>
                <w:sz w:val="28"/>
                <w:szCs w:val="28"/>
                <w:u w:val="none" w:color="auto"/>
                <w:vertAlign w:val="baseline"/>
                <w:lang w:eastAsia="zh-CN"/>
              </w:rPr>
              <w:t>证明名称</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i w:val="0"/>
                <w:snapToGrid/>
                <w:color w:val="000000"/>
                <w:sz w:val="28"/>
                <w:szCs w:val="28"/>
                <w:u w:val="none" w:color="auto"/>
                <w:vertAlign w:val="baseline"/>
                <w:lang w:eastAsia="zh-CN"/>
              </w:rPr>
            </w:pPr>
            <w:r>
              <w:rPr>
                <w:rFonts w:hint="eastAsia" w:ascii="黑体" w:hAnsi="黑体" w:eastAsia="黑体" w:cs="黑体"/>
                <w:b w:val="0"/>
                <w:bCs w:val="0"/>
                <w:i w:val="0"/>
                <w:snapToGrid/>
                <w:color w:val="000000"/>
                <w:sz w:val="28"/>
                <w:szCs w:val="28"/>
                <w:u w:val="none" w:color="auto"/>
                <w:vertAlign w:val="baseline"/>
                <w:lang w:eastAsia="zh-CN"/>
              </w:rPr>
              <w:t>办事途径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亲属关系证明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居民办事事项涉及的相关部门可通过与公安、民政、卫生健康等部门信息共享方式进行核对，或由居民据实提供居民户口簿、结婚证、《出生医学证明》等予以证明，证件材料遗失的由相关部门予以补办；</w:t>
            </w:r>
            <w:r>
              <w:rPr>
                <w:rFonts w:hint="eastAsia" w:ascii="仿宋_GB2312" w:hAnsi="仿宋_GB2312" w:eastAsia="仿宋_GB2312" w:cs="仿宋_GB2312"/>
                <w:color w:val="000000"/>
                <w:sz w:val="28"/>
                <w:szCs w:val="28"/>
                <w:u w:val="none" w:color="auto"/>
              </w:rPr>
              <w:t>曾经同户人员间的亲属关系，历史户籍档案等能够反映，需要开具证明的，公安派出所在核实后应当出具</w:t>
            </w:r>
            <w:r>
              <w:rPr>
                <w:rFonts w:hint="eastAsia" w:ascii="仿宋_GB2312" w:hAnsi="仿宋_GB2312" w:eastAsia="仿宋_GB2312" w:cs="仿宋_GB2312"/>
                <w:b w:val="0"/>
                <w:bCs w:val="0"/>
                <w:i w:val="0"/>
                <w:snapToGrid/>
                <w:color w:val="000000"/>
                <w:sz w:val="28"/>
                <w:szCs w:val="28"/>
                <w:u w:val="none" w:color="auto"/>
                <w:vertAlign w:val="baseline"/>
                <w:lang w:eastAsia="zh-CN"/>
              </w:rPr>
              <w:t>（不动产登记情况、公证办理情况除外）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2</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居民身份信息证明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（户籍证明）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3</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户口登记项目内容</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变更申请证明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居民直接向公安部门申请办理姓名、性别、民族成份、出生日期、公民身份号码等5项户口登记项目内容变更，无须</w:t>
            </w:r>
            <w:r>
              <w:rPr>
                <w:rFonts w:hint="eastAsia" w:ascii="仿宋_GB2312" w:hAnsi="仿宋_GB2312" w:eastAsia="仿宋_GB2312" w:cs="仿宋_GB2312"/>
                <w:color w:val="000000"/>
                <w:sz w:val="28"/>
                <w:szCs w:val="28"/>
                <w:u w:val="none" w:color="auto"/>
              </w:rPr>
              <w:t>基层群众性自治组织</w:t>
            </w:r>
            <w:r>
              <w:rPr>
                <w:rFonts w:hint="eastAsia" w:ascii="仿宋_GB2312" w:hAnsi="仿宋_GB2312" w:eastAsia="仿宋_GB2312" w:cs="仿宋_GB2312"/>
                <w:b w:val="0"/>
                <w:bCs w:val="0"/>
                <w:i w:val="0"/>
                <w:snapToGrid/>
                <w:color w:val="000000"/>
                <w:sz w:val="28"/>
                <w:szCs w:val="28"/>
                <w:u w:val="none" w:color="auto"/>
                <w:vertAlign w:val="baseline"/>
                <w:lang w:eastAsia="zh-CN"/>
              </w:rPr>
              <w:t>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4</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居民养犬证明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养犬居民应当自行征求利害关系人的同意，并提供相关证明材料；公安等有关部门应当按法律规定自主进行调查核实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5</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无犯罪记录证明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根据相关规定，国家正在逐步健全完善犯罪记录制度，人民法院负责依照规定向公安机关送达生效的刑事裁判文书，公安</w:t>
            </w:r>
            <w:r>
              <w:rPr>
                <w:rFonts w:hint="eastAsia" w:ascii="仿宋_GB2312" w:hAnsi="仿宋_GB2312" w:eastAsia="仿宋_GB2312" w:cs="仿宋_GB2312"/>
                <w:b w:val="0"/>
                <w:bCs w:val="0"/>
                <w:i w:val="0"/>
                <w:snapToGrid/>
                <w:color w:val="000000"/>
                <w:sz w:val="28"/>
                <w:szCs w:val="28"/>
                <w:u w:val="none" w:color="auto"/>
                <w:vertAlign w:val="baseline"/>
                <w:lang w:val="en-US" w:eastAsia="zh-CN"/>
              </w:rPr>
              <w:t>部门</w:t>
            </w:r>
            <w:r>
              <w:rPr>
                <w:rFonts w:hint="eastAsia" w:ascii="仿宋_GB2312" w:hAnsi="仿宋_GB2312" w:eastAsia="仿宋_GB2312" w:cs="仿宋_GB2312"/>
                <w:b w:val="0"/>
                <w:bCs w:val="0"/>
                <w:i w:val="0"/>
                <w:snapToGrid/>
                <w:color w:val="000000"/>
                <w:sz w:val="28"/>
                <w:szCs w:val="28"/>
                <w:u w:val="none" w:color="auto"/>
                <w:vertAlign w:val="baseline"/>
                <w:lang w:eastAsia="zh-CN"/>
              </w:rPr>
              <w:t>、国家安全部门和司法行政部门分别负责受理、审核和处理有关犯罪记录的查询申请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6</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社区戒毒社区康复人员情况证明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（表现证明）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由街道（乡镇）社区戒毒社区康复机构出具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7</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人员失踪证明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利害关系人直接向基层人民法院提出申请，由基层人民法院依法定程序宣告人员失踪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8</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婚姻状况证明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（婚姻关系证明、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分居证明）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9</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出生证明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居民应当据实提供《出生医学证明》、居民户口簿、居民身份证、出入境证件等予以证明，证件材料遗失应当及时通过相关部门补办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10</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健在证明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居民办事事项涉及的相关部门通过与卫生健康部门信息共享的方式进行核对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11</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死亡证明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居民办事事项涉及的相关部门通过与卫生健康部门、公安部门、人民法院信息共享的方式进行核对；负责救治或正常死亡调查的医疗卫生机构出具《居民死亡医学证明（推断）书》</w:t>
            </w:r>
            <w:r>
              <w:rPr>
                <w:rFonts w:hint="eastAsia" w:ascii="仿宋_GB2312" w:hAnsi="仿宋_GB2312" w:cs="仿宋_GB2312"/>
                <w:b w:val="0"/>
                <w:bCs w:val="0"/>
                <w:i w:val="0"/>
                <w:snapToGrid/>
                <w:color w:val="000000"/>
                <w:sz w:val="28"/>
                <w:szCs w:val="28"/>
                <w:u w:val="none" w:color="auto"/>
                <w:vertAlign w:val="baseline"/>
                <w:lang w:eastAsia="zh-CN"/>
              </w:rPr>
              <w:t>；</w:t>
            </w:r>
            <w:r>
              <w:rPr>
                <w:rFonts w:hint="eastAsia" w:ascii="仿宋_GB2312" w:hAnsi="仿宋_GB2312" w:eastAsia="仿宋_GB2312" w:cs="仿宋_GB2312"/>
                <w:b w:val="0"/>
                <w:bCs w:val="0"/>
                <w:i w:val="0"/>
                <w:snapToGrid/>
                <w:color w:val="000000"/>
                <w:sz w:val="28"/>
                <w:szCs w:val="28"/>
                <w:u w:val="none" w:color="auto"/>
                <w:vertAlign w:val="baseline"/>
                <w:lang w:eastAsia="zh-CN"/>
              </w:rPr>
              <w:t>公安部门依法处置的非正常死亡案（事）件（经医疗机构救治的除外），需要开具证明的，由公安部门依规出具；失踪人员由人民法院依法定程序宣告死亡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12</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疾病状况证明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（急诊证明、意外伤害证明）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疾病状况证明（急诊证明）由具备医学鉴定资质的医疗卫生机构出具；意外伤害证明</w:t>
            </w:r>
            <w:r>
              <w:rPr>
                <w:rFonts w:hint="eastAsia" w:ascii="仿宋_GB2312" w:hAnsi="仿宋_GB2312" w:eastAsia="仿宋_GB2312" w:cs="仿宋_GB2312"/>
                <w:color w:val="000000"/>
                <w:sz w:val="28"/>
                <w:szCs w:val="28"/>
                <w:u w:val="none" w:color="auto"/>
              </w:rPr>
              <w:t>由当事人向人力资源社会保障部门、保险公司提供就医记录等材料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13</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残疾状况证明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由</w:t>
            </w:r>
            <w:r>
              <w:rPr>
                <w:rFonts w:hint="eastAsia" w:ascii="仿宋_GB2312" w:hAnsi="仿宋_GB2312" w:eastAsia="仿宋_GB2312" w:cs="仿宋_GB2312"/>
                <w:color w:val="000000"/>
                <w:sz w:val="28"/>
                <w:szCs w:val="28"/>
                <w:u w:val="none" w:color="auto"/>
              </w:rPr>
              <w:t>户籍所在地县级卫生行政机构和残联指定的具备评残资格的医疗卫生机构</w:t>
            </w:r>
            <w:r>
              <w:rPr>
                <w:rFonts w:hint="eastAsia" w:ascii="仿宋_GB2312" w:hAnsi="仿宋_GB2312" w:eastAsia="仿宋_GB2312" w:cs="仿宋_GB2312"/>
                <w:b w:val="0"/>
                <w:bCs w:val="0"/>
                <w:i w:val="0"/>
                <w:snapToGrid/>
                <w:color w:val="000000"/>
                <w:sz w:val="28"/>
                <w:szCs w:val="28"/>
                <w:u w:val="none" w:color="auto"/>
                <w:vertAlign w:val="baseline"/>
                <w:lang w:eastAsia="zh-CN"/>
              </w:rPr>
              <w:t>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14</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婚育状况证明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（生育状况证明）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15</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居民就业状况证明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16</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居民个人档案证明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居民办事事项涉及的相关部门通过居民个人档案保管单位信息共享的方式进行核对；居民应当提供真实、合法、充分的有关证明材料（国家另有规定的除外）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17</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居民财产证明</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（经济状况证明、收入证明、偿还能力证明、房产证明、银行存款证明、投资情况证明、车辆所有权证明等）</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w:t>
            </w:r>
            <w:r>
              <w:rPr>
                <w:rFonts w:hint="eastAsia" w:ascii="仿宋_GB2312" w:hAnsi="仿宋_GB2312" w:eastAsia="仿宋_GB2312" w:cs="仿宋_GB2312"/>
                <w:color w:val="000000"/>
                <w:spacing w:val="-6"/>
                <w:sz w:val="28"/>
                <w:szCs w:val="28"/>
                <w:u w:val="none" w:color="auto"/>
              </w:rPr>
              <w:t>按照法定程序与权限</w:t>
            </w:r>
            <w:r>
              <w:rPr>
                <w:rFonts w:hint="eastAsia" w:ascii="仿宋_GB2312" w:hAnsi="仿宋_GB2312" w:eastAsia="仿宋_GB2312" w:cs="仿宋_GB2312"/>
                <w:color w:val="000000"/>
                <w:spacing w:val="-6"/>
                <w:sz w:val="28"/>
                <w:szCs w:val="28"/>
                <w:u w:val="none" w:color="auto"/>
                <w:lang w:eastAsia="zh-CN"/>
              </w:rPr>
              <w:t>，</w:t>
            </w:r>
            <w:r>
              <w:rPr>
                <w:rFonts w:hint="eastAsia" w:ascii="仿宋_GB2312" w:hAnsi="仿宋_GB2312" w:eastAsia="仿宋_GB2312" w:cs="仿宋_GB2312"/>
                <w:b w:val="0"/>
                <w:bCs w:val="0"/>
                <w:i w:val="0"/>
                <w:snapToGrid/>
                <w:color w:val="000000"/>
                <w:sz w:val="28"/>
                <w:szCs w:val="28"/>
                <w:u w:val="none" w:color="auto"/>
                <w:vertAlign w:val="baseline"/>
                <w:lang w:eastAsia="zh-CN"/>
              </w:rPr>
              <w:t>通过与财政、税务、人力资源社会保障、房地产管理、自然资源、银保监、证监、市场监管、公安等部门信息共享</w:t>
            </w:r>
            <w:r>
              <w:rPr>
                <w:rFonts w:hint="eastAsia" w:ascii="仿宋_GB2312" w:hAnsi="仿宋_GB2312" w:eastAsia="仿宋_GB2312" w:cs="仿宋_GB2312"/>
                <w:color w:val="000000"/>
                <w:spacing w:val="-6"/>
                <w:sz w:val="28"/>
                <w:szCs w:val="28"/>
                <w:u w:val="none" w:color="auto"/>
              </w:rPr>
              <w:t>或个案查询</w:t>
            </w:r>
            <w:r>
              <w:rPr>
                <w:rFonts w:hint="eastAsia" w:ascii="仿宋_GB2312" w:hAnsi="仿宋_GB2312" w:eastAsia="仿宋_GB2312" w:cs="仿宋_GB2312"/>
                <w:b w:val="0"/>
                <w:bCs w:val="0"/>
                <w:i w:val="0"/>
                <w:snapToGrid/>
                <w:color w:val="000000"/>
                <w:sz w:val="28"/>
                <w:szCs w:val="28"/>
                <w:u w:val="none" w:color="auto"/>
                <w:vertAlign w:val="baseline"/>
                <w:lang w:eastAsia="zh-CN"/>
              </w:rPr>
              <w:t>的方式进行核对；居民应当据实提供</w:t>
            </w:r>
            <w:r>
              <w:rPr>
                <w:rFonts w:hint="eastAsia" w:ascii="仿宋_GB2312" w:hAnsi="仿宋_GB2312" w:eastAsia="仿宋_GB2312" w:cs="仿宋_GB2312"/>
                <w:color w:val="000000"/>
                <w:sz w:val="28"/>
                <w:szCs w:val="28"/>
                <w:u w:val="none" w:color="auto"/>
              </w:rPr>
              <w:t>不动产权属证书</w:t>
            </w:r>
            <w:r>
              <w:rPr>
                <w:rFonts w:hint="eastAsia" w:ascii="仿宋_GB2312" w:hAnsi="仿宋_GB2312" w:eastAsia="仿宋_GB2312" w:cs="仿宋_GB2312"/>
                <w:b w:val="0"/>
                <w:bCs w:val="0"/>
                <w:i w:val="0"/>
                <w:snapToGrid/>
                <w:color w:val="000000"/>
                <w:sz w:val="28"/>
                <w:szCs w:val="28"/>
                <w:u w:val="none" w:color="auto"/>
                <w:vertAlign w:val="baseline"/>
                <w:lang w:eastAsia="zh-CN"/>
              </w:rPr>
              <w:t>、银行存款凭证、有价证券、保险合同、车辆行驶证等予以证明，证件材料遗失应当及时通过相关部门补办（法律援助情况除外）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18</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遗产继承权证明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19</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市场主体住所证明（经营场所证明、同意住宅改变为经营性用房证明、社区经营性用房无扰民证明）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color w:val="000000"/>
                <w:sz w:val="28"/>
                <w:szCs w:val="28"/>
                <w:u w:val="none" w:color="auto"/>
              </w:rPr>
              <w:t>申请人应当提供经营场所的不动产权属证明文件、有效租赁合同等；住宅改变为经营性用房的，申请人应当自行征求利害关系人的同意，并提供相关证明材料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val="en-US" w:eastAsia="zh-CN"/>
              </w:rPr>
            </w:pPr>
            <w:r>
              <w:rPr>
                <w:rFonts w:hint="eastAsia" w:ascii="仿宋_GB2312" w:hAnsi="仿宋_GB2312" w:eastAsia="仿宋_GB2312" w:cs="仿宋_GB2312"/>
                <w:b w:val="0"/>
                <w:bCs w:val="0"/>
                <w:i w:val="0"/>
                <w:snapToGrid/>
                <w:color w:val="000000"/>
                <w:sz w:val="28"/>
                <w:szCs w:val="28"/>
                <w:u w:val="none" w:color="auto"/>
                <w:vertAlign w:val="baseline"/>
                <w:lang w:val="en-US" w:eastAsia="zh-CN"/>
              </w:rPr>
              <w:t>20</w:t>
            </w:r>
          </w:p>
        </w:tc>
        <w:tc>
          <w:tcPr>
            <w:tcW w:w="2559"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证件遗失证明</w:t>
            </w:r>
          </w:p>
        </w:tc>
        <w:tc>
          <w:tcPr>
            <w:tcW w:w="5076" w:type="dxa"/>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snapToGrid/>
                <w:color w:val="000000"/>
                <w:sz w:val="28"/>
                <w:szCs w:val="28"/>
                <w:u w:val="none" w:color="auto"/>
                <w:vertAlign w:val="baseline"/>
                <w:lang w:eastAsia="zh-CN"/>
              </w:rPr>
            </w:pPr>
            <w:r>
              <w:rPr>
                <w:rFonts w:hint="eastAsia" w:ascii="仿宋_GB2312" w:hAnsi="仿宋_GB2312" w:eastAsia="仿宋_GB2312" w:cs="仿宋_GB2312"/>
                <w:b w:val="0"/>
                <w:bCs w:val="0"/>
                <w:i w:val="0"/>
                <w:snapToGrid/>
                <w:color w:val="000000"/>
                <w:sz w:val="28"/>
                <w:szCs w:val="28"/>
                <w:u w:val="none" w:color="auto"/>
                <w:vertAlign w:val="baseline"/>
                <w:lang w:eastAsia="zh-CN"/>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黑体" w:hAnsi="黑体" w:eastAsia="黑体" w:cs="黑体"/>
          <w:b w:val="0"/>
          <w:bCs w:val="0"/>
          <w:i w:val="0"/>
          <w:snapToGrid/>
          <w:color w:val="000000"/>
          <w:sz w:val="32"/>
          <w:szCs w:val="32"/>
          <w:u w:val="none" w:color="auto"/>
          <w:lang w:val="en-US" w:eastAsia="zh-CN"/>
        </w:rPr>
      </w:pPr>
      <w:r>
        <w:rPr>
          <w:rFonts w:hint="eastAsia" w:ascii="黑体" w:hAnsi="黑体" w:eastAsia="黑体" w:cs="黑体"/>
          <w:b w:val="0"/>
          <w:bCs w:val="0"/>
          <w:i w:val="0"/>
          <w:snapToGrid/>
          <w:color w:val="000000"/>
          <w:sz w:val="32"/>
          <w:szCs w:val="32"/>
          <w:u w:val="none" w:color="auto"/>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i w:val="0"/>
          <w:snapToGrid/>
          <w:color w:val="000000"/>
          <w:spacing w:val="-11"/>
          <w:sz w:val="44"/>
          <w:szCs w:val="44"/>
          <w:u w:val="none" w:color="auto"/>
          <w:lang w:val="en-US" w:eastAsia="zh-CN"/>
        </w:rPr>
      </w:pPr>
      <w:r>
        <w:rPr>
          <w:rFonts w:hint="eastAsia" w:ascii="方正小标宋简体" w:hAnsi="方正小标宋简体" w:eastAsia="方正小标宋简体" w:cs="方正小标宋简体"/>
          <w:b w:val="0"/>
          <w:bCs w:val="0"/>
          <w:i w:val="0"/>
          <w:snapToGrid/>
          <w:color w:val="000000"/>
          <w:spacing w:val="-11"/>
          <w:sz w:val="44"/>
          <w:szCs w:val="44"/>
          <w:u w:val="none" w:color="auto"/>
          <w:lang w:eastAsia="zh-CN"/>
        </w:rPr>
        <w:t>应由基层群众性自治组织出具证明事项</w:t>
      </w:r>
      <w:r>
        <w:rPr>
          <w:rFonts w:hint="eastAsia" w:ascii="方正小标宋简体" w:hAnsi="方正小标宋简体" w:eastAsia="方正小标宋简体" w:cs="方正小标宋简体"/>
          <w:b w:val="0"/>
          <w:bCs w:val="0"/>
          <w:i w:val="0"/>
          <w:snapToGrid/>
          <w:color w:val="000000"/>
          <w:spacing w:val="-11"/>
          <w:sz w:val="44"/>
          <w:szCs w:val="44"/>
          <w:u w:val="none" w:color="auto"/>
          <w:lang w:val="en-US" w:eastAsia="zh-CN"/>
        </w:rPr>
        <w:t>统计表</w:t>
      </w:r>
    </w:p>
    <w:p>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val="0"/>
          <w:i w:val="0"/>
          <w:snapToGrid/>
          <w:color w:val="000000"/>
          <w:spacing w:val="-6"/>
          <w:sz w:val="28"/>
          <w:szCs w:val="28"/>
          <w:u w:val="none" w:color="auto"/>
          <w:lang w:val="en-US" w:eastAsia="zh-CN"/>
        </w:rPr>
      </w:pPr>
      <w:r>
        <w:rPr>
          <w:rFonts w:hint="eastAsia" w:asciiTheme="minorEastAsia" w:hAnsiTheme="minorEastAsia" w:eastAsiaTheme="minorEastAsia" w:cstheme="minorEastAsia"/>
          <w:b w:val="0"/>
          <w:bCs w:val="0"/>
          <w:i w:val="0"/>
          <w:snapToGrid/>
          <w:color w:val="000000"/>
          <w:spacing w:val="-6"/>
          <w:sz w:val="28"/>
          <w:szCs w:val="28"/>
          <w:u w:val="none" w:color="auto"/>
          <w:lang w:val="en-US" w:eastAsia="zh-CN"/>
        </w:rPr>
        <w:t>填报单位（盖章）：                                 时间：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325"/>
        <w:gridCol w:w="2233"/>
        <w:gridCol w:w="1223"/>
        <w:gridCol w:w="122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序号</w:t>
            </w: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证明事项名称</w:t>
            </w:r>
          </w:p>
        </w:tc>
        <w:tc>
          <w:tcPr>
            <w:tcW w:w="2247" w:type="dxa"/>
            <w:vAlign w:val="center"/>
          </w:tcPr>
          <w:p>
            <w:pPr>
              <w:pStyle w:val="3"/>
              <w:jc w:val="center"/>
              <w:rPr>
                <w:rFonts w:hint="default"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法律法规、政策依据</w:t>
            </w:r>
          </w:p>
        </w:tc>
        <w:tc>
          <w:tcPr>
            <w:tcW w:w="1230" w:type="dxa"/>
            <w:vAlign w:val="center"/>
          </w:tcPr>
          <w:p>
            <w:pPr>
              <w:pStyle w:val="3"/>
              <w:jc w:val="center"/>
              <w:rPr>
                <w:rFonts w:hint="default"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实施单位</w:t>
            </w:r>
          </w:p>
        </w:tc>
        <w:tc>
          <w:tcPr>
            <w:tcW w:w="1232" w:type="dxa"/>
            <w:vAlign w:val="center"/>
          </w:tcPr>
          <w:p>
            <w:pPr>
              <w:pStyle w:val="3"/>
              <w:jc w:val="center"/>
              <w:rPr>
                <w:rFonts w:hint="default"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主管部门</w:t>
            </w: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pPr>
            <w: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343"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224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0"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1232"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c>
          <w:tcPr>
            <w:tcW w:w="927" w:type="dxa"/>
            <w:vAlign w:val="center"/>
          </w:tcPr>
          <w:p>
            <w:pPr>
              <w:pStyle w:val="3"/>
              <w:jc w:val="center"/>
              <w:rPr>
                <w:rFonts w:hint="eastAsia" w:asciiTheme="minorEastAsia" w:hAnsiTheme="minorEastAsia" w:eastAsiaTheme="minorEastAsia" w:cstheme="minorEastAsia"/>
                <w:b w:val="0"/>
                <w:bCs w:val="0"/>
                <w:i w:val="0"/>
                <w:snapToGrid/>
                <w:color w:val="000000"/>
                <w:spacing w:val="-6"/>
                <w:sz w:val="24"/>
                <w:szCs w:val="24"/>
                <w:u w:val="none" w:color="auto"/>
                <w:vertAlign w:val="baseline"/>
                <w:lang w:eastAsia="zh-CN"/>
              </w:rPr>
            </w:pPr>
          </w:p>
        </w:tc>
      </w:tr>
    </w:tbl>
    <w:p>
      <w:pPr>
        <w:bidi w:val="0"/>
        <w:rPr>
          <w:lang w:val="en-US" w:eastAsia="zh-CN"/>
        </w:rPr>
      </w:pPr>
    </w:p>
    <w:p>
      <w:pPr>
        <w:bidi w:val="0"/>
        <w:jc w:val="left"/>
        <w:rPr>
          <w:lang w:val="en-US" w:eastAsia="zh-CN"/>
        </w:rPr>
      </w:pPr>
    </w:p>
    <w:p>
      <w:pPr>
        <w:pStyle w:val="3"/>
        <w:jc w:val="both"/>
      </w:pPr>
      <w:bookmarkStart w:id="0" w:name="_GoBack"/>
      <w:bookmarkEnd w:id="0"/>
    </w:p>
    <w:sectPr>
      <w:footerReference r:id="rId3" w:type="default"/>
      <w:pgSz w:w="11906" w:h="16838"/>
      <w:pgMar w:top="1701" w:right="1701" w:bottom="1701" w:left="1701" w:header="1701" w:footer="1587"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C1A19"/>
    <w:rsid w:val="080A54D2"/>
    <w:rsid w:val="0B7C1A19"/>
    <w:rsid w:val="0E66029D"/>
    <w:rsid w:val="1C913686"/>
    <w:rsid w:val="21405DD6"/>
    <w:rsid w:val="2F750379"/>
    <w:rsid w:val="3AF91789"/>
    <w:rsid w:val="42F81BF0"/>
    <w:rsid w:val="43391D7C"/>
    <w:rsid w:val="4EB7242F"/>
    <w:rsid w:val="4F3E6E1C"/>
    <w:rsid w:val="5C7624B4"/>
    <w:rsid w:val="64BB3BF9"/>
    <w:rsid w:val="71A677F2"/>
    <w:rsid w:val="7C13668C"/>
    <w:rsid w:val="7F77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9">
    <w:name w:val="Default Paragraph Font"/>
    <w:link w:val="10"/>
    <w:semiHidden/>
    <w:qFormat/>
    <w:uiPriority w:val="0"/>
    <w:rPr>
      <w:sz w:val="24"/>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line="480" w:lineRule="auto"/>
      <w:ind w:left="420" w:leftChars="200"/>
    </w:pPr>
  </w:style>
  <w:style w:type="paragraph" w:styleId="3">
    <w:name w:val="Body Text"/>
    <w:basedOn w:val="1"/>
    <w:qFormat/>
    <w:uiPriority w:val="0"/>
    <w:pPr>
      <w:jc w:val="center"/>
    </w:pPr>
    <w:rPr>
      <w:rFonts w:eastAsia="仿宋_GB2312"/>
      <w:b/>
      <w:bCs/>
      <w:spacing w:val="-90"/>
      <w:sz w:val="72"/>
    </w:r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Char Char Char"/>
    <w:basedOn w:val="1"/>
    <w:link w:val="9"/>
    <w:qFormat/>
    <w:uiPriority w:val="0"/>
    <w:pPr>
      <w:tabs>
        <w:tab w:val="left" w:pos="840"/>
      </w:tabs>
      <w:ind w:left="840" w:hanging="420"/>
    </w:pPr>
    <w:rPr>
      <w:sz w:val="24"/>
    </w:rPr>
  </w:style>
  <w:style w:type="character" w:styleId="11">
    <w:name w:val="page number"/>
    <w:basedOn w:val="9"/>
    <w:qFormat/>
    <w:uiPriority w:val="99"/>
    <w:rPr>
      <w:rFonts w:cs="Times New Roman"/>
    </w:rPr>
  </w:style>
  <w:style w:type="character" w:customStyle="1" w:styleId="12">
    <w:name w:val="font1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2019-07-10T07:12:00Z</dcterms:created>
  <dc:creator>以女王的霸气俯视天下</dc:creator>
  <cp:lastModifiedBy>Irene</cp:lastModifiedBy>
  <cp:lastPrinted>2020-12-03T06:52:00Z</cp:lastPrinted>
  <dcterms:modified xsi:type="dcterms:W3CDTF">2021-12-01T02:42:29Z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