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10" w:lineRule="exact"/>
        <w:ind w:left="0" w:leftChars="0" w:firstLine="0" w:firstLineChars="0"/>
        <w:jc w:val="center"/>
        <w:textAlignment w:val="auto"/>
        <w:rPr>
          <w:rFonts w:eastAsia="黑体"/>
          <w:b/>
          <w:bCs/>
          <w:sz w:val="40"/>
          <w:szCs w:val="40"/>
        </w:rPr>
      </w:pPr>
    </w:p>
    <w:p>
      <w:pPr>
        <w:keepNext w:val="0"/>
        <w:keepLines w:val="0"/>
        <w:pageBreakBefore w:val="0"/>
        <w:kinsoku/>
        <w:wordWrap/>
        <w:overflowPunct/>
        <w:topLinePunct w:val="0"/>
        <w:bidi w:val="0"/>
        <w:spacing w:line="610" w:lineRule="exact"/>
        <w:ind w:left="0" w:leftChars="0" w:firstLine="0" w:firstLineChars="0"/>
        <w:jc w:val="center"/>
        <w:textAlignment w:val="auto"/>
        <w:rPr>
          <w:rFonts w:eastAsia="黑体"/>
          <w:b/>
          <w:bCs/>
          <w:sz w:val="40"/>
          <w:szCs w:val="40"/>
        </w:rPr>
      </w:pPr>
    </w:p>
    <w:p>
      <w:pPr>
        <w:keepNext w:val="0"/>
        <w:keepLines w:val="0"/>
        <w:pageBreakBefore w:val="0"/>
        <w:kinsoku/>
        <w:wordWrap/>
        <w:overflowPunct/>
        <w:topLinePunct w:val="0"/>
        <w:bidi w:val="0"/>
        <w:spacing w:line="610" w:lineRule="exact"/>
        <w:ind w:left="0" w:leftChars="0" w:firstLine="0" w:firstLineChars="0"/>
        <w:jc w:val="center"/>
        <w:textAlignment w:val="auto"/>
        <w:rPr>
          <w:rFonts w:eastAsia="黑体"/>
          <w:b/>
          <w:bCs/>
          <w:sz w:val="48"/>
          <w:szCs w:val="48"/>
        </w:rPr>
      </w:pPr>
    </w:p>
    <w:p>
      <w:pPr>
        <w:keepNext w:val="0"/>
        <w:keepLines w:val="0"/>
        <w:pageBreakBefore w:val="0"/>
        <w:kinsoku/>
        <w:wordWrap/>
        <w:overflowPunct/>
        <w:topLinePunct w:val="0"/>
        <w:bidi w:val="0"/>
        <w:spacing w:line="610" w:lineRule="exact"/>
        <w:ind w:left="0" w:leftChars="0" w:firstLine="0" w:firstLineChars="0"/>
        <w:jc w:val="center"/>
        <w:textAlignment w:val="auto"/>
        <w:rPr>
          <w:rFonts w:eastAsia="黑体"/>
          <w:b/>
          <w:bCs/>
          <w:sz w:val="48"/>
          <w:szCs w:val="48"/>
        </w:rPr>
      </w:pPr>
    </w:p>
    <w:p>
      <w:pPr>
        <w:keepNext w:val="0"/>
        <w:keepLines w:val="0"/>
        <w:pageBreakBefore w:val="0"/>
        <w:kinsoku/>
        <w:wordWrap/>
        <w:overflowPunct/>
        <w:topLinePunct w:val="0"/>
        <w:bidi w:val="0"/>
        <w:spacing w:line="610" w:lineRule="exact"/>
        <w:ind w:left="0" w:leftChars="0" w:firstLine="0" w:firstLineChars="0"/>
        <w:jc w:val="center"/>
        <w:textAlignment w:val="auto"/>
        <w:rPr>
          <w:rFonts w:eastAsia="黑体"/>
          <w:b/>
          <w:bCs/>
          <w:sz w:val="48"/>
          <w:szCs w:val="48"/>
        </w:rPr>
      </w:pPr>
    </w:p>
    <w:p>
      <w:pPr>
        <w:keepNext w:val="0"/>
        <w:keepLines w:val="0"/>
        <w:pageBreakBefore w:val="0"/>
        <w:kinsoku/>
        <w:wordWrap/>
        <w:overflowPunct/>
        <w:topLinePunct w:val="0"/>
        <w:bidi w:val="0"/>
        <w:spacing w:line="61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部门整体支出绩效评价报告</w:t>
      </w:r>
    </w:p>
    <w:p>
      <w:pPr>
        <w:keepNext w:val="0"/>
        <w:keepLines w:val="0"/>
        <w:pageBreakBefore w:val="0"/>
        <w:widowControl/>
        <w:kinsoku/>
        <w:wordWrap/>
        <w:overflowPunct/>
        <w:topLinePunct w:val="0"/>
        <w:bidi w:val="0"/>
        <w:spacing w:line="61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bidi="en-US"/>
        </w:rPr>
      </w:pPr>
    </w:p>
    <w:p>
      <w:pPr>
        <w:keepNext w:val="0"/>
        <w:keepLines w:val="0"/>
        <w:pageBreakBefore w:val="0"/>
        <w:widowControl/>
        <w:kinsoku/>
        <w:wordWrap/>
        <w:overflowPunct/>
        <w:topLinePunct w:val="0"/>
        <w:bidi w:val="0"/>
        <w:spacing w:line="610" w:lineRule="exact"/>
        <w:ind w:left="0" w:leftChars="0" w:firstLine="0" w:firstLineChars="0"/>
        <w:jc w:val="center"/>
        <w:textAlignment w:val="auto"/>
        <w:rPr>
          <w:rFonts w:eastAsia="黑体"/>
          <w:b/>
          <w:kern w:val="0"/>
          <w:sz w:val="44"/>
          <w:szCs w:val="44"/>
          <w:lang w:bidi="en-US"/>
        </w:rPr>
      </w:pPr>
    </w:p>
    <w:p>
      <w:pPr>
        <w:keepNext w:val="0"/>
        <w:keepLines w:val="0"/>
        <w:pageBreakBefore w:val="0"/>
        <w:widowControl/>
        <w:kinsoku/>
        <w:wordWrap/>
        <w:overflowPunct/>
        <w:topLinePunct w:val="0"/>
        <w:bidi w:val="0"/>
        <w:spacing w:line="610" w:lineRule="exact"/>
        <w:ind w:left="0" w:leftChars="0" w:firstLine="0" w:firstLineChars="0"/>
        <w:jc w:val="center"/>
        <w:textAlignment w:val="auto"/>
        <w:rPr>
          <w:rFonts w:eastAsia="黑体"/>
          <w:b/>
          <w:kern w:val="0"/>
          <w:sz w:val="44"/>
          <w:szCs w:val="44"/>
          <w:lang w:bidi="en-US"/>
        </w:rPr>
      </w:pPr>
    </w:p>
    <w:p>
      <w:pPr>
        <w:keepNext w:val="0"/>
        <w:keepLines w:val="0"/>
        <w:pageBreakBefore w:val="0"/>
        <w:widowControl/>
        <w:kinsoku/>
        <w:wordWrap/>
        <w:overflowPunct/>
        <w:topLinePunct w:val="0"/>
        <w:bidi w:val="0"/>
        <w:spacing w:line="610" w:lineRule="exact"/>
        <w:ind w:left="0" w:leftChars="0" w:firstLine="0" w:firstLineChars="0"/>
        <w:jc w:val="both"/>
        <w:textAlignment w:val="auto"/>
        <w:rPr>
          <w:rFonts w:eastAsia="黑体"/>
          <w:b/>
          <w:kern w:val="0"/>
          <w:szCs w:val="28"/>
          <w:lang w:bidi="en-US"/>
        </w:rPr>
      </w:pPr>
    </w:p>
    <w:p>
      <w:pPr>
        <w:keepNext w:val="0"/>
        <w:keepLines w:val="0"/>
        <w:pageBreakBefore w:val="0"/>
        <w:widowControl/>
        <w:kinsoku/>
        <w:wordWrap/>
        <w:overflowPunct/>
        <w:topLinePunct w:val="0"/>
        <w:bidi w:val="0"/>
        <w:spacing w:line="610" w:lineRule="exact"/>
        <w:ind w:left="0" w:leftChars="0" w:firstLine="0" w:firstLineChars="0"/>
        <w:jc w:val="center"/>
        <w:textAlignment w:val="auto"/>
        <w:rPr>
          <w:rFonts w:eastAsia="黑体"/>
          <w:b/>
          <w:kern w:val="0"/>
          <w:szCs w:val="28"/>
          <w:lang w:bidi="en-US"/>
        </w:rPr>
      </w:pPr>
    </w:p>
    <w:p>
      <w:pPr>
        <w:keepNext w:val="0"/>
        <w:keepLines w:val="0"/>
        <w:pageBreakBefore w:val="0"/>
        <w:widowControl/>
        <w:kinsoku/>
        <w:wordWrap/>
        <w:overflowPunct/>
        <w:topLinePunct w:val="0"/>
        <w:bidi w:val="0"/>
        <w:spacing w:line="610" w:lineRule="exact"/>
        <w:ind w:left="0" w:leftChars="0" w:firstLine="1606" w:firstLineChars="500"/>
        <w:jc w:val="left"/>
        <w:textAlignment w:val="auto"/>
        <w:rPr>
          <w:rFonts w:hint="eastAsia" w:asciiTheme="minorEastAsia" w:hAnsiTheme="minorEastAsia" w:eastAsiaTheme="minorEastAsia" w:cstheme="minorEastAsia"/>
          <w:b/>
          <w:bCs/>
          <w:kern w:val="0"/>
          <w:sz w:val="32"/>
          <w:szCs w:val="32"/>
          <w:lang w:eastAsia="zh-CN" w:bidi="en-US"/>
        </w:rPr>
      </w:pPr>
      <w:r>
        <w:rPr>
          <w:rFonts w:hint="eastAsia" w:asciiTheme="minorEastAsia" w:hAnsiTheme="minorEastAsia" w:eastAsiaTheme="minorEastAsia" w:cstheme="minorEastAsia"/>
          <w:b/>
          <w:bCs/>
          <w:kern w:val="0"/>
          <w:sz w:val="32"/>
          <w:szCs w:val="32"/>
          <w:lang w:eastAsia="zh-CN" w:bidi="en-US"/>
        </w:rPr>
        <w:t>部门（</w:t>
      </w:r>
      <w:r>
        <w:rPr>
          <w:rFonts w:hint="eastAsia" w:asciiTheme="minorEastAsia" w:hAnsiTheme="minorEastAsia" w:eastAsiaTheme="minorEastAsia" w:cstheme="minorEastAsia"/>
          <w:b/>
          <w:bCs/>
          <w:kern w:val="0"/>
          <w:sz w:val="32"/>
          <w:szCs w:val="32"/>
          <w:lang w:bidi="en-US"/>
        </w:rPr>
        <w:t>单位</w:t>
      </w:r>
      <w:r>
        <w:rPr>
          <w:rFonts w:hint="eastAsia" w:asciiTheme="minorEastAsia" w:hAnsiTheme="minorEastAsia" w:eastAsiaTheme="minorEastAsia" w:cstheme="minorEastAsia"/>
          <w:b/>
          <w:bCs/>
          <w:kern w:val="0"/>
          <w:sz w:val="32"/>
          <w:szCs w:val="32"/>
          <w:lang w:eastAsia="zh-CN" w:bidi="en-US"/>
        </w:rPr>
        <w:t>）</w:t>
      </w:r>
      <w:r>
        <w:rPr>
          <w:rFonts w:hint="eastAsia" w:asciiTheme="minorEastAsia" w:hAnsiTheme="minorEastAsia" w:eastAsiaTheme="minorEastAsia" w:cstheme="minorEastAsia"/>
          <w:b/>
          <w:bCs/>
          <w:kern w:val="0"/>
          <w:sz w:val="32"/>
          <w:szCs w:val="32"/>
          <w:lang w:bidi="en-US"/>
        </w:rPr>
        <w:t>：</w:t>
      </w:r>
      <w:r>
        <w:rPr>
          <w:rFonts w:hint="eastAsia" w:asciiTheme="minorEastAsia" w:hAnsiTheme="minorEastAsia" w:eastAsiaTheme="minorEastAsia" w:cstheme="minorEastAsia"/>
          <w:b/>
          <w:bCs/>
          <w:kern w:val="0"/>
          <w:sz w:val="32"/>
          <w:szCs w:val="32"/>
          <w:lang w:eastAsia="zh-CN" w:bidi="en-US"/>
        </w:rPr>
        <w:t>临泽县沙河镇人民政府</w:t>
      </w:r>
    </w:p>
    <w:p>
      <w:pPr>
        <w:keepNext w:val="0"/>
        <w:keepLines w:val="0"/>
        <w:pageBreakBefore w:val="0"/>
        <w:widowControl/>
        <w:kinsoku/>
        <w:wordWrap/>
        <w:overflowPunct/>
        <w:topLinePunct w:val="0"/>
        <w:bidi w:val="0"/>
        <w:spacing w:line="610" w:lineRule="exact"/>
        <w:ind w:left="0" w:leftChars="0" w:firstLine="3855" w:firstLineChars="1200"/>
        <w:jc w:val="left"/>
        <w:textAlignment w:val="auto"/>
        <w:rPr>
          <w:rFonts w:hint="eastAsia" w:asciiTheme="minorEastAsia" w:hAnsiTheme="minorEastAsia" w:eastAsiaTheme="minorEastAsia" w:cstheme="minorEastAsia"/>
          <w:b/>
          <w:bCs/>
          <w:sz w:val="32"/>
          <w:szCs w:val="32"/>
        </w:rPr>
      </w:pPr>
    </w:p>
    <w:p>
      <w:pPr>
        <w:keepNext w:val="0"/>
        <w:keepLines w:val="0"/>
        <w:pageBreakBefore w:val="0"/>
        <w:widowControl/>
        <w:kinsoku/>
        <w:wordWrap/>
        <w:overflowPunct/>
        <w:topLinePunct w:val="0"/>
        <w:bidi w:val="0"/>
        <w:spacing w:line="610" w:lineRule="exact"/>
        <w:ind w:left="0" w:leftChars="0" w:firstLine="3855" w:firstLineChars="1200"/>
        <w:jc w:val="left"/>
        <w:textAlignment w:val="auto"/>
        <w:rPr>
          <w:rFonts w:hint="eastAsia" w:asciiTheme="minorEastAsia" w:hAnsiTheme="minorEastAsia" w:eastAsiaTheme="minorEastAsia" w:cstheme="minorEastAsia"/>
          <w:b/>
          <w:bCs/>
          <w:sz w:val="32"/>
          <w:szCs w:val="32"/>
        </w:rPr>
      </w:pPr>
    </w:p>
    <w:p>
      <w:pPr>
        <w:keepNext w:val="0"/>
        <w:keepLines w:val="0"/>
        <w:pageBreakBefore w:val="0"/>
        <w:widowControl/>
        <w:kinsoku/>
        <w:wordWrap/>
        <w:overflowPunct/>
        <w:topLinePunct w:val="0"/>
        <w:bidi w:val="0"/>
        <w:spacing w:line="610" w:lineRule="exact"/>
        <w:ind w:left="0" w:leftChars="0" w:firstLine="3855" w:firstLineChars="1200"/>
        <w:jc w:val="left"/>
        <w:textAlignment w:val="auto"/>
        <w:rPr>
          <w:rFonts w:hint="eastAsia" w:ascii="方正小标宋简体" w:hAnsi="仿宋" w:eastAsia="方正小标宋简体"/>
          <w:sz w:val="36"/>
          <w:szCs w:val="36"/>
          <w:lang w:eastAsia="zh-CN"/>
        </w:rPr>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pPr>
      <w:r>
        <w:rPr>
          <w:rFonts w:hint="eastAsia" w:asciiTheme="minorEastAsia" w:hAnsiTheme="minorEastAsia" w:eastAsiaTheme="minorEastAsia" w:cstheme="minorEastAsia"/>
          <w:b/>
          <w:bCs/>
          <w:sz w:val="32"/>
          <w:szCs w:val="32"/>
        </w:rPr>
        <w:t>20</w:t>
      </w:r>
      <w:r>
        <w:rPr>
          <w:rFonts w:hint="eastAsia" w:asciiTheme="minorEastAsia" w:hAnsiTheme="minorEastAsia" w:eastAsiaTheme="minorEastAsia" w:cstheme="minorEastAsia"/>
          <w:b/>
          <w:bCs/>
          <w:sz w:val="32"/>
          <w:szCs w:val="32"/>
          <w:lang w:val="en-US" w:eastAsia="zh-CN"/>
        </w:rPr>
        <w:t>24</w:t>
      </w:r>
      <w:bookmarkStart w:id="6" w:name="_GoBack"/>
      <w:bookmarkEnd w:id="6"/>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2月</w:t>
      </w:r>
    </w:p>
    <w:p>
      <w:pPr>
        <w:pStyle w:val="19"/>
        <w:keepNext w:val="0"/>
        <w:keepLines w:val="0"/>
        <w:pageBreakBefore w:val="0"/>
        <w:kinsoku/>
        <w:wordWrap/>
        <w:overflowPunct/>
        <w:topLinePunct w:val="0"/>
        <w:bidi w:val="0"/>
        <w:adjustRightInd w:val="0"/>
        <w:snapToGrid w:val="0"/>
        <w:spacing w:before="0" w:after="0" w:line="610" w:lineRule="exact"/>
        <w:ind w:left="0" w:leftChars="0"/>
        <w:jc w:val="center"/>
        <w:textAlignment w:val="auto"/>
        <w:outlineLvl w:val="9"/>
        <w:rPr>
          <w:rFonts w:hint="eastAsia" w:ascii="方正小标宋简体" w:hAnsi="仿宋" w:eastAsia="方正小标宋简体"/>
          <w:b w:val="0"/>
          <w:bCs/>
          <w:sz w:val="44"/>
          <w:szCs w:val="44"/>
          <w:lang w:eastAsia="zh-CN"/>
        </w:rPr>
      </w:pPr>
      <w:r>
        <w:rPr>
          <w:rFonts w:hint="eastAsia" w:ascii="方正小标宋简体" w:hAnsi="仿宋" w:eastAsia="方正小标宋简体"/>
          <w:b w:val="0"/>
          <w:bCs/>
          <w:sz w:val="44"/>
          <w:szCs w:val="44"/>
          <w:lang w:eastAsia="zh-CN"/>
        </w:rPr>
        <w:t>临泽县沙河</w:t>
      </w:r>
      <w:r>
        <w:rPr>
          <w:rFonts w:hint="eastAsia" w:ascii="方正小标宋简体" w:hAnsi="仿宋" w:eastAsia="方正小标宋简体"/>
          <w:b w:val="0"/>
          <w:bCs/>
          <w:sz w:val="44"/>
          <w:szCs w:val="44"/>
          <w:lang w:val="en-US" w:eastAsia="zh-CN"/>
        </w:rPr>
        <w:t>镇</w:t>
      </w:r>
      <w:r>
        <w:rPr>
          <w:rFonts w:hint="eastAsia" w:ascii="方正小标宋简体" w:hAnsi="仿宋" w:eastAsia="方正小标宋简体"/>
          <w:b w:val="0"/>
          <w:bCs/>
          <w:sz w:val="44"/>
          <w:szCs w:val="44"/>
        </w:rPr>
        <w:t>整体支出绩效评价报告</w:t>
      </w:r>
    </w:p>
    <w:p>
      <w:pPr>
        <w:keepNext w:val="0"/>
        <w:keepLines w:val="0"/>
        <w:pageBreakBefore w:val="0"/>
        <w:kinsoku/>
        <w:wordWrap/>
        <w:overflowPunct/>
        <w:topLinePunct w:val="0"/>
        <w:autoSpaceDE/>
        <w:autoSpaceDN/>
        <w:bidi w:val="0"/>
        <w:adjustRightInd w:val="0"/>
        <w:snapToGrid w:val="0"/>
        <w:spacing w:line="610" w:lineRule="exact"/>
        <w:ind w:left="0" w:leftChars="0" w:firstLine="643" w:firstLineChars="200"/>
        <w:textAlignment w:val="auto"/>
        <w:rPr>
          <w:rFonts w:hint="eastAsia" w:ascii="黑体" w:hAnsi="黑体" w:eastAsia="黑体" w:cs="黑体"/>
          <w:b/>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黑体" w:hAnsi="黑体" w:eastAsia="黑体" w:cs="黑体"/>
          <w:b/>
          <w:szCs w:val="32"/>
        </w:rPr>
      </w:pPr>
      <w:r>
        <w:rPr>
          <w:rFonts w:hint="eastAsia" w:ascii="黑体" w:hAnsi="黑体" w:eastAsia="黑体" w:cs="黑体"/>
          <w:b/>
          <w:szCs w:val="32"/>
        </w:rPr>
        <w:t>一、部门概况</w:t>
      </w:r>
    </w:p>
    <w:p>
      <w:pPr>
        <w:pStyle w:val="7"/>
        <w:keepNext w:val="0"/>
        <w:keepLines w:val="0"/>
        <w:pageBreakBefore w:val="0"/>
        <w:widowControl w:val="0"/>
        <w:kinsoku/>
        <w:wordWrap/>
        <w:overflowPunct/>
        <w:topLinePunct w:val="0"/>
        <w:autoSpaceDE/>
        <w:autoSpaceDN/>
        <w:bidi w:val="0"/>
        <w:spacing w:line="580" w:lineRule="exact"/>
        <w:ind w:left="0" w:leftChars="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（一）机构职能</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color w:val="000000"/>
          <w:kern w:val="0"/>
          <w:sz w:val="32"/>
          <w:szCs w:val="32"/>
        </w:rPr>
        <w:t>1.</w:t>
      </w:r>
      <w:r>
        <w:rPr>
          <w:rFonts w:ascii="仿宋_GB2312" w:hAnsi="宋体" w:eastAsia="仿宋_GB2312" w:cs="宋体"/>
          <w:b/>
          <w:kern w:val="0"/>
          <w:sz w:val="32"/>
          <w:szCs w:val="32"/>
        </w:rPr>
        <w:t>促进经济发展、增加农民收入</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认真贯彻落实党在农村的方针政策和强农惠农措施，坚持科学发展，积极转变经济发展方式，推动产业结构调整。结合实际制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劳务输转，促进农民增产增收。</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2.</w:t>
      </w:r>
      <w:r>
        <w:rPr>
          <w:rFonts w:ascii="仿宋_GB2312" w:hAnsi="宋体" w:eastAsia="仿宋_GB2312" w:cs="宋体"/>
          <w:b/>
          <w:kern w:val="0"/>
          <w:sz w:val="32"/>
          <w:szCs w:val="32"/>
        </w:rPr>
        <w:t>强化公共服务、着力改善民生</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完善农村医疗、养老、救助等社会保障制度，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3.加强社会管理，维护农村稳定。</w:t>
      </w:r>
      <w:r>
        <w:rPr>
          <w:rFonts w:hint="eastAsia" w:ascii="仿宋_GB2312" w:hAnsi="宋体" w:eastAsia="仿宋_GB2312" w:cs="宋体"/>
          <w:kern w:val="0"/>
          <w:sz w:val="32"/>
          <w:szCs w:val="32"/>
        </w:rPr>
        <w:t>普及农村法制教育，强化社会治安综合治理，加强信访和民事纠纷调解，维护农村公共秩序和社会稳定。加强安全生产、</w:t>
      </w:r>
      <w:r>
        <w:rPr>
          <w:rFonts w:ascii="仿宋_GB2312" w:hAnsi="宋体" w:eastAsia="仿宋_GB2312" w:cs="宋体"/>
          <w:kern w:val="0"/>
          <w:sz w:val="32"/>
          <w:szCs w:val="32"/>
        </w:rPr>
        <w:t>市场监管</w:t>
      </w:r>
      <w:r>
        <w:rPr>
          <w:rFonts w:hint="eastAsia" w:ascii="仿宋_GB2312" w:hAnsi="宋体" w:eastAsia="仿宋_GB2312" w:cs="宋体"/>
          <w:kern w:val="0"/>
          <w:sz w:val="32"/>
          <w:szCs w:val="32"/>
        </w:rPr>
        <w:t>、动植物疫病防控和农畜产品质量监控等社会管理，健全农民权益保障机制，维护农村社会公平正义。建立健全应急保障体系，加强突发事件预警和管理，做好防灾减灾工作。</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hint="eastAsia" w:ascii="仿宋_GB2312" w:hAnsi="宋体" w:eastAsia="仿宋_GB2312" w:cs="宋体"/>
          <w:color w:val="000000"/>
          <w:kern w:val="0"/>
          <w:sz w:val="32"/>
          <w:szCs w:val="32"/>
        </w:rPr>
      </w:pPr>
      <w:r>
        <w:rPr>
          <w:rFonts w:hint="eastAsia" w:ascii="仿宋_GB2312" w:hAnsi="宋体" w:eastAsia="仿宋_GB2312" w:cs="宋体"/>
          <w:b/>
          <w:kern w:val="0"/>
          <w:sz w:val="32"/>
          <w:szCs w:val="32"/>
        </w:rPr>
        <w:t>4.推进基层民主，促进农村和谐。</w:t>
      </w:r>
      <w:r>
        <w:rPr>
          <w:rFonts w:hint="eastAsia" w:ascii="仿宋_GB2312" w:hAnsi="宋体" w:eastAsia="仿宋_GB2312" w:cs="宋体"/>
          <w:kern w:val="0"/>
          <w:sz w:val="32"/>
          <w:szCs w:val="32"/>
        </w:rPr>
        <w:t>加强农村党的基层组织建设，不断提高党组织领导农村经济社会发展的能力和水平。重视群团组织建设，指导村民自治，引导农民有序参与村级事务管理，推进村务公开，推动农村社区建设，促进社会组织健康发展，增强农村社会自治功能。</w:t>
      </w:r>
    </w:p>
    <w:p>
      <w:pPr>
        <w:pStyle w:val="7"/>
        <w:keepNext w:val="0"/>
        <w:keepLines w:val="0"/>
        <w:pageBreakBefore w:val="0"/>
        <w:widowControl w:val="0"/>
        <w:kinsoku/>
        <w:wordWrap/>
        <w:overflowPunct/>
        <w:topLinePunct w:val="0"/>
        <w:autoSpaceDE/>
        <w:autoSpaceDN/>
        <w:bidi w:val="0"/>
        <w:spacing w:line="580" w:lineRule="exact"/>
        <w:ind w:left="0" w:leftChars="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w:t>
      </w:r>
      <w:r>
        <w:rPr>
          <w:rFonts w:hint="eastAsia" w:ascii="楷体_GB2312" w:hAnsi="楷体_GB2312" w:eastAsia="楷体_GB2312" w:cs="楷体_GB2312"/>
          <w:b/>
          <w:bCs/>
          <w:szCs w:val="32"/>
          <w:lang w:val="en-US" w:eastAsia="zh-CN"/>
        </w:rPr>
        <w:t>组织机构设置及</w:t>
      </w:r>
      <w:r>
        <w:rPr>
          <w:rFonts w:hint="eastAsia" w:ascii="楷体_GB2312" w:hAnsi="楷体_GB2312" w:eastAsia="楷体_GB2312" w:cs="楷体_GB2312"/>
          <w:b/>
          <w:bCs/>
          <w:szCs w:val="32"/>
        </w:rPr>
        <w:t>人员</w:t>
      </w:r>
      <w:r>
        <w:rPr>
          <w:rFonts w:hint="eastAsia" w:ascii="楷体_GB2312" w:hAnsi="楷体_GB2312" w:eastAsia="楷体_GB2312" w:cs="楷体_GB2312"/>
          <w:b/>
          <w:bCs/>
          <w:szCs w:val="32"/>
          <w:lang w:val="en-US" w:eastAsia="zh-CN"/>
        </w:rPr>
        <w:t>构成情况</w:t>
      </w:r>
    </w:p>
    <w:p>
      <w:pPr>
        <w:keepNext w:val="0"/>
        <w:keepLines w:val="0"/>
        <w:pageBreakBefore w:val="0"/>
        <w:widowControl w:val="0"/>
        <w:tabs>
          <w:tab w:val="left" w:pos="180"/>
          <w:tab w:val="left" w:pos="720"/>
          <w:tab w:val="left" w:pos="900"/>
        </w:tabs>
        <w:kinsoku/>
        <w:wordWrap/>
        <w:overflowPunct/>
        <w:topLinePunct w:val="0"/>
        <w:autoSpaceDE/>
        <w:autoSpaceDN/>
        <w:bidi w:val="0"/>
        <w:adjustRightInd/>
        <w:snapToGrid/>
        <w:spacing w:line="580" w:lineRule="exact"/>
        <w:ind w:firstLine="720" w:firstLineChars="225"/>
        <w:textAlignment w:val="auto"/>
        <w:rPr>
          <w:rFonts w:hint="eastAsia" w:ascii="仿宋_GB2312" w:eastAsia="仿宋_GB2312"/>
          <w:sz w:val="32"/>
          <w:szCs w:val="32"/>
        </w:rPr>
      </w:pPr>
      <w:r>
        <w:rPr>
          <w:rFonts w:hint="eastAsia" w:ascii="仿宋_GB2312" w:hAnsi="宋体" w:eastAsia="仿宋_GB2312" w:cs="宋体"/>
          <w:kern w:val="0"/>
          <w:sz w:val="32"/>
          <w:szCs w:val="32"/>
        </w:rPr>
        <w:t>根据《中共临泽县委办公室临泽县人民政府办公室关于印发</w:t>
      </w:r>
      <w:r>
        <w:rPr>
          <w:rFonts w:hint="eastAsia" w:ascii="仿宋_GB2312" w:hAnsi="宋体" w:eastAsia="仿宋_GB2312" w:cs="宋体"/>
          <w:kern w:val="0"/>
          <w:sz w:val="32"/>
          <w:szCs w:val="32"/>
          <w:lang w:eastAsia="zh-CN"/>
        </w:rPr>
        <w:t>临泽县乡镇机构设置方案</w:t>
      </w:r>
      <w:r>
        <w:rPr>
          <w:rFonts w:hint="eastAsia" w:ascii="仿宋_GB2312" w:hAnsi="宋体" w:eastAsia="仿宋_GB2312" w:cs="宋体"/>
          <w:kern w:val="0"/>
          <w:sz w:val="32"/>
          <w:szCs w:val="32"/>
        </w:rPr>
        <w:t>的通知》，</w:t>
      </w:r>
      <w:r>
        <w:rPr>
          <w:rFonts w:hint="eastAsia" w:ascii="仿宋_GB2312"/>
          <w:sz w:val="32"/>
          <w:szCs w:val="32"/>
          <w:lang w:eastAsia="zh-CN"/>
        </w:rPr>
        <w:t>沙河</w:t>
      </w:r>
      <w:r>
        <w:rPr>
          <w:rFonts w:hint="eastAsia" w:ascii="仿宋_GB2312" w:eastAsia="仿宋_GB2312"/>
          <w:sz w:val="32"/>
          <w:szCs w:val="32"/>
        </w:rPr>
        <w:t>镇人员编制共</w:t>
      </w:r>
      <w:r>
        <w:rPr>
          <w:rFonts w:hint="eastAsia" w:ascii="仿宋_GB2312"/>
          <w:sz w:val="32"/>
          <w:szCs w:val="32"/>
          <w:lang w:val="en-US" w:eastAsia="zh-CN"/>
        </w:rPr>
        <w:t>103</w:t>
      </w:r>
      <w:r>
        <w:rPr>
          <w:rFonts w:hint="eastAsia" w:ascii="仿宋_GB2312" w:eastAsia="仿宋_GB2312"/>
          <w:sz w:val="32"/>
          <w:szCs w:val="32"/>
        </w:rPr>
        <w:t>名，其中行政编制2</w:t>
      </w:r>
      <w:r>
        <w:rPr>
          <w:rFonts w:hint="eastAsia" w:ascii="仿宋_GB2312"/>
          <w:sz w:val="32"/>
          <w:szCs w:val="32"/>
          <w:lang w:val="en-US" w:eastAsia="zh-CN"/>
        </w:rPr>
        <w:t>7</w:t>
      </w:r>
      <w:r>
        <w:rPr>
          <w:rFonts w:hint="eastAsia" w:ascii="仿宋_GB2312" w:eastAsia="仿宋_GB2312"/>
          <w:sz w:val="32"/>
          <w:szCs w:val="32"/>
        </w:rPr>
        <w:t>名，事业编制</w:t>
      </w:r>
      <w:r>
        <w:rPr>
          <w:rFonts w:hint="eastAsia" w:ascii="仿宋_GB2312"/>
          <w:sz w:val="32"/>
          <w:szCs w:val="32"/>
          <w:lang w:val="en-US" w:eastAsia="zh-CN"/>
        </w:rPr>
        <w:t>76</w:t>
      </w:r>
      <w:r>
        <w:rPr>
          <w:rFonts w:hint="eastAsia" w:ascii="仿宋_GB2312" w:eastAsia="仿宋_GB2312"/>
          <w:sz w:val="32"/>
          <w:szCs w:val="32"/>
        </w:rPr>
        <w:t>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黑体" w:hAnsi="黑体" w:eastAsia="黑体"/>
          <w:sz w:val="32"/>
          <w:szCs w:val="32"/>
        </w:rPr>
      </w:pPr>
      <w:r>
        <w:rPr>
          <w:rFonts w:hint="eastAsia" w:ascii="仿宋_GB2312" w:hAnsi="宋体" w:eastAsia="仿宋_GB2312" w:cs="宋体"/>
          <w:kern w:val="0"/>
          <w:sz w:val="32"/>
          <w:szCs w:val="32"/>
        </w:rPr>
        <w:t>临泽县</w:t>
      </w:r>
      <w:r>
        <w:rPr>
          <w:rFonts w:hint="eastAsia" w:ascii="仿宋_GB2312" w:hAnsi="宋体" w:cs="宋体"/>
          <w:kern w:val="0"/>
          <w:sz w:val="32"/>
          <w:szCs w:val="32"/>
          <w:lang w:eastAsia="zh-CN"/>
        </w:rPr>
        <w:t>沙河</w:t>
      </w:r>
      <w:r>
        <w:rPr>
          <w:rFonts w:hint="eastAsia" w:ascii="仿宋_GB2312" w:hAnsi="宋体" w:eastAsia="仿宋_GB2312" w:cs="宋体"/>
          <w:kern w:val="0"/>
          <w:sz w:val="32"/>
          <w:szCs w:val="32"/>
        </w:rPr>
        <w:t>镇人民政府内设“</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办</w:t>
      </w:r>
      <w:r>
        <w:rPr>
          <w:rFonts w:hint="eastAsia" w:ascii="仿宋_GB2312" w:hAnsi="宋体" w:cs="宋体"/>
          <w:kern w:val="0"/>
          <w:sz w:val="32"/>
          <w:szCs w:val="32"/>
          <w:lang w:eastAsia="zh-CN"/>
        </w:rPr>
        <w:t>五</w:t>
      </w:r>
      <w:r>
        <w:rPr>
          <w:rFonts w:hint="eastAsia" w:ascii="仿宋_GB2312" w:hAnsi="宋体" w:eastAsia="仿宋_GB2312" w:cs="宋体"/>
          <w:kern w:val="0"/>
          <w:sz w:val="32"/>
          <w:szCs w:val="32"/>
        </w:rPr>
        <w:t>中心</w:t>
      </w:r>
      <w:r>
        <w:rPr>
          <w:rFonts w:hint="eastAsia" w:ascii="仿宋_GB2312" w:hAnsi="宋体" w:eastAsia="仿宋_GB2312" w:cs="宋体"/>
          <w:kern w:val="0"/>
          <w:sz w:val="32"/>
          <w:szCs w:val="32"/>
          <w:lang w:eastAsia="zh-CN"/>
        </w:rPr>
        <w:t>一大队</w:t>
      </w:r>
      <w:r>
        <w:rPr>
          <w:rFonts w:hint="eastAsia" w:ascii="仿宋_GB2312" w:hAnsi="宋体" w:eastAsia="仿宋_GB2312" w:cs="宋体"/>
          <w:kern w:val="0"/>
          <w:sz w:val="32"/>
          <w:szCs w:val="32"/>
        </w:rPr>
        <w:t>”即：党政综合办公室、</w:t>
      </w:r>
      <w:r>
        <w:rPr>
          <w:rFonts w:hint="eastAsia" w:ascii="仿宋_GB2312" w:hAnsi="宋体" w:eastAsia="仿宋_GB2312" w:cs="宋体"/>
          <w:kern w:val="0"/>
          <w:sz w:val="32"/>
          <w:szCs w:val="32"/>
          <w:lang w:eastAsia="zh-CN"/>
        </w:rPr>
        <w:t>党建工作办公室、</w:t>
      </w:r>
      <w:r>
        <w:rPr>
          <w:rFonts w:hint="eastAsia" w:ascii="仿宋_GB2312" w:hAnsi="宋体" w:eastAsia="仿宋_GB2312" w:cs="宋体"/>
          <w:kern w:val="0"/>
          <w:sz w:val="32"/>
          <w:szCs w:val="32"/>
        </w:rPr>
        <w:t>经济发展办公室、社会</w:t>
      </w:r>
      <w:r>
        <w:rPr>
          <w:rFonts w:hint="eastAsia" w:ascii="仿宋_GB2312" w:hAnsi="宋体" w:eastAsia="仿宋_GB2312" w:cs="宋体"/>
          <w:kern w:val="0"/>
          <w:sz w:val="32"/>
          <w:szCs w:val="32"/>
          <w:lang w:eastAsia="zh-CN"/>
        </w:rPr>
        <w:t>事务</w:t>
      </w:r>
      <w:r>
        <w:rPr>
          <w:rFonts w:hint="eastAsia" w:ascii="仿宋_GB2312" w:hAnsi="宋体" w:eastAsia="仿宋_GB2312" w:cs="宋体"/>
          <w:kern w:val="0"/>
          <w:sz w:val="32"/>
          <w:szCs w:val="32"/>
        </w:rPr>
        <w:t>办公室、社会治理</w:t>
      </w:r>
      <w:r>
        <w:rPr>
          <w:rFonts w:hint="eastAsia" w:ascii="仿宋_GB2312" w:hAnsi="宋体" w:eastAsia="仿宋_GB2312" w:cs="宋体"/>
          <w:kern w:val="0"/>
          <w:sz w:val="32"/>
          <w:szCs w:val="32"/>
          <w:lang w:eastAsia="zh-CN"/>
        </w:rPr>
        <w:t>和应急管理</w:t>
      </w:r>
      <w:r>
        <w:rPr>
          <w:rFonts w:hint="eastAsia" w:ascii="仿宋_GB2312" w:hAnsi="宋体" w:eastAsia="仿宋_GB2312" w:cs="宋体"/>
          <w:kern w:val="0"/>
          <w:sz w:val="32"/>
          <w:szCs w:val="32"/>
        </w:rPr>
        <w:t>办公室、农业</w:t>
      </w:r>
      <w:r>
        <w:rPr>
          <w:rFonts w:hint="eastAsia" w:ascii="仿宋_GB2312" w:hAnsi="宋体" w:eastAsia="仿宋_GB2312" w:cs="宋体"/>
          <w:kern w:val="0"/>
          <w:sz w:val="32"/>
          <w:szCs w:val="32"/>
          <w:lang w:eastAsia="zh-CN"/>
        </w:rPr>
        <w:t>农村</w:t>
      </w:r>
      <w:r>
        <w:rPr>
          <w:rFonts w:hint="eastAsia" w:ascii="仿宋_GB2312" w:hAnsi="宋体" w:eastAsia="仿宋_GB2312" w:cs="宋体"/>
          <w:kern w:val="0"/>
          <w:sz w:val="32"/>
          <w:szCs w:val="32"/>
        </w:rPr>
        <w:t>综合服务中心、</w:t>
      </w:r>
      <w:r>
        <w:rPr>
          <w:rFonts w:hint="eastAsia" w:ascii="仿宋_GB2312" w:hAnsi="宋体" w:eastAsia="仿宋_GB2312" w:cs="宋体"/>
          <w:kern w:val="0"/>
          <w:sz w:val="32"/>
          <w:szCs w:val="32"/>
          <w:lang w:eastAsia="zh-CN"/>
        </w:rPr>
        <w:t>公共</w:t>
      </w:r>
      <w:r>
        <w:rPr>
          <w:rFonts w:hint="eastAsia" w:ascii="仿宋_GB2312" w:hAnsi="宋体" w:eastAsia="仿宋_GB2312" w:cs="宋体"/>
          <w:kern w:val="0"/>
          <w:sz w:val="32"/>
          <w:szCs w:val="32"/>
        </w:rPr>
        <w:t>事务服务中心、</w:t>
      </w:r>
      <w:r>
        <w:rPr>
          <w:rFonts w:hint="eastAsia" w:ascii="仿宋_GB2312" w:hAnsi="宋体" w:eastAsia="仿宋_GB2312" w:cs="宋体"/>
          <w:kern w:val="0"/>
          <w:sz w:val="32"/>
          <w:szCs w:val="32"/>
          <w:lang w:eastAsia="zh-CN"/>
        </w:rPr>
        <w:t>政务（便民）</w:t>
      </w:r>
      <w:r>
        <w:rPr>
          <w:rFonts w:hint="eastAsia" w:ascii="仿宋_GB2312" w:hAnsi="宋体" w:eastAsia="仿宋_GB2312" w:cs="宋体"/>
          <w:kern w:val="0"/>
          <w:sz w:val="32"/>
          <w:szCs w:val="32"/>
        </w:rPr>
        <w:t>服务中心、</w:t>
      </w:r>
      <w:r>
        <w:rPr>
          <w:rFonts w:hint="eastAsia" w:ascii="仿宋_GB2312" w:hAnsi="宋体" w:eastAsia="仿宋_GB2312" w:cs="宋体"/>
          <w:kern w:val="0"/>
          <w:sz w:val="32"/>
          <w:szCs w:val="32"/>
          <w:lang w:eastAsia="zh-CN"/>
        </w:rPr>
        <w:t>社会治安综合治理</w:t>
      </w:r>
      <w:r>
        <w:rPr>
          <w:rFonts w:hint="eastAsia" w:ascii="仿宋_GB2312" w:hAnsi="宋体" w:eastAsia="仿宋_GB2312" w:cs="宋体"/>
          <w:kern w:val="0"/>
          <w:sz w:val="32"/>
          <w:szCs w:val="32"/>
        </w:rPr>
        <w:t>中心</w:t>
      </w:r>
      <w:r>
        <w:rPr>
          <w:rFonts w:hint="eastAsia" w:ascii="仿宋_GB2312" w:hAnsi="宋体" w:eastAsia="仿宋_GB2312" w:cs="宋体"/>
          <w:kern w:val="0"/>
          <w:sz w:val="32"/>
          <w:szCs w:val="32"/>
          <w:lang w:eastAsia="zh-CN"/>
        </w:rPr>
        <w:t>、</w:t>
      </w:r>
      <w:r>
        <w:rPr>
          <w:rFonts w:hint="eastAsia" w:ascii="仿宋_GB2312" w:hAnsi="宋体" w:cs="宋体"/>
          <w:kern w:val="0"/>
          <w:sz w:val="32"/>
          <w:szCs w:val="32"/>
          <w:lang w:eastAsia="zh-CN"/>
        </w:rPr>
        <w:t>社区服务中心、</w:t>
      </w:r>
      <w:r>
        <w:rPr>
          <w:rFonts w:hint="eastAsia" w:ascii="仿宋_GB2312" w:hAnsi="宋体" w:eastAsia="仿宋_GB2312" w:cs="宋体"/>
          <w:kern w:val="0"/>
          <w:sz w:val="32"/>
          <w:szCs w:val="32"/>
          <w:lang w:eastAsia="zh-CN"/>
        </w:rPr>
        <w:t>综合行政执法队</w:t>
      </w:r>
      <w:r>
        <w:rPr>
          <w:rFonts w:hint="eastAsia" w:ascii="仿宋_GB2312" w:hAnsi="宋体" w:eastAsia="仿宋_GB2312" w:cs="宋体"/>
          <w:kern w:val="0"/>
          <w:sz w:val="32"/>
          <w:szCs w:val="32"/>
        </w:rPr>
        <w:t>。</w:t>
      </w:r>
    </w:p>
    <w:p>
      <w:pPr>
        <w:pStyle w:val="7"/>
        <w:keepNext w:val="0"/>
        <w:keepLines w:val="0"/>
        <w:pageBreakBefore w:val="0"/>
        <w:widowControl w:val="0"/>
        <w:kinsoku/>
        <w:wordWrap/>
        <w:overflowPunct/>
        <w:topLinePunct w:val="0"/>
        <w:autoSpaceDE/>
        <w:autoSpaceDN/>
        <w:bidi w:val="0"/>
        <w:spacing w:line="580" w:lineRule="exact"/>
        <w:ind w:left="0" w:leftChars="0"/>
        <w:textAlignment w:val="auto"/>
        <w:rPr>
          <w:rFonts w:hint="eastAsia" w:ascii="楷体_GB2312" w:hAnsi="楷体_GB2312" w:eastAsia="楷体_GB2312" w:cs="楷体_GB2312"/>
          <w:b/>
          <w:bCs/>
          <w:szCs w:val="32"/>
          <w:lang w:val="en-US" w:eastAsia="zh-CN"/>
        </w:rPr>
      </w:pPr>
      <w:r>
        <w:rPr>
          <w:rFonts w:hint="eastAsia" w:ascii="楷体_GB2312" w:hAnsi="楷体_GB2312" w:eastAsia="楷体_GB2312" w:cs="楷体_GB2312"/>
          <w:b/>
          <w:bCs/>
          <w:szCs w:val="32"/>
        </w:rPr>
        <w:t>（三）</w:t>
      </w:r>
      <w:r>
        <w:rPr>
          <w:rFonts w:hint="eastAsia" w:ascii="楷体_GB2312" w:hAnsi="楷体_GB2312" w:eastAsia="楷体_GB2312" w:cs="楷体_GB2312"/>
          <w:b/>
          <w:bCs/>
          <w:szCs w:val="32"/>
          <w:lang w:val="en-US" w:eastAsia="zh-CN"/>
        </w:rPr>
        <w:t>部门整体预算批复及支出安排情况；</w:t>
      </w:r>
    </w:p>
    <w:p>
      <w:pPr>
        <w:pStyle w:val="7"/>
        <w:keepNext w:val="0"/>
        <w:keepLines w:val="0"/>
        <w:pageBreakBefore w:val="0"/>
        <w:widowControl w:val="0"/>
        <w:numPr>
          <w:ilvl w:val="0"/>
          <w:numId w:val="0"/>
        </w:numPr>
        <w:kinsoku/>
        <w:wordWrap/>
        <w:overflowPunct/>
        <w:topLinePunct w:val="0"/>
        <w:autoSpaceDE/>
        <w:autoSpaceDN/>
        <w:bidi w:val="0"/>
        <w:spacing w:line="580" w:lineRule="exact"/>
        <w:ind w:left="0" w:leftChars="0" w:firstLine="643" w:firstLineChars="200"/>
        <w:textAlignment w:val="auto"/>
        <w:rPr>
          <w:rFonts w:hint="eastAsia" w:ascii="仿宋_GB2312" w:hAnsi="宋体" w:eastAsia="仿宋_GB2312" w:cs="宋体"/>
          <w:b/>
          <w:color w:val="000000"/>
          <w:kern w:val="0"/>
          <w:sz w:val="32"/>
          <w:szCs w:val="32"/>
          <w:lang w:val="en-US" w:eastAsia="zh-CN" w:bidi="ar-SA"/>
        </w:rPr>
      </w:pPr>
      <w:r>
        <w:rPr>
          <w:rFonts w:hint="eastAsia" w:ascii="仿宋_GB2312" w:hAnsi="宋体" w:eastAsia="仿宋_GB2312" w:cs="宋体"/>
          <w:b/>
          <w:color w:val="000000"/>
          <w:kern w:val="0"/>
          <w:sz w:val="32"/>
          <w:szCs w:val="32"/>
          <w:lang w:val="en-US" w:eastAsia="zh-CN" w:bidi="ar-SA"/>
        </w:rPr>
        <w:t>1、县本级财政资金预算执行情况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本单位整体预算包括人员经费、公用经费。部门预算按照预算流程进行编制、审批和下达预算。202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val="en-US" w:eastAsia="zh-CN"/>
        </w:rPr>
        <w:t>年本单位年初预算为</w:t>
      </w:r>
      <w:r>
        <w:rPr>
          <w:rFonts w:hint="eastAsia" w:ascii="仿宋_GB2312" w:hAnsi="宋体" w:cs="宋体"/>
          <w:kern w:val="0"/>
          <w:sz w:val="32"/>
          <w:szCs w:val="32"/>
          <w:lang w:val="en-US" w:eastAsia="zh-CN"/>
        </w:rPr>
        <w:t>1821.84</w:t>
      </w:r>
      <w:r>
        <w:rPr>
          <w:rFonts w:hint="eastAsia" w:ascii="仿宋_GB2312" w:hAnsi="宋体" w:eastAsia="仿宋_GB2312" w:cs="宋体"/>
          <w:kern w:val="0"/>
          <w:sz w:val="32"/>
          <w:szCs w:val="32"/>
          <w:lang w:val="en-US" w:eastAsia="zh-CN"/>
        </w:rPr>
        <w:t>万元，包括人员经费为</w:t>
      </w:r>
      <w:r>
        <w:rPr>
          <w:rFonts w:hint="eastAsia" w:ascii="仿宋_GB2312" w:hAnsi="宋体" w:cs="宋体"/>
          <w:kern w:val="0"/>
          <w:sz w:val="32"/>
          <w:szCs w:val="32"/>
          <w:lang w:val="en-US" w:eastAsia="zh-CN"/>
        </w:rPr>
        <w:t>1592</w:t>
      </w:r>
      <w:r>
        <w:rPr>
          <w:rFonts w:hint="eastAsia" w:ascii="仿宋_GB2312" w:hAnsi="宋体" w:eastAsia="仿宋_GB2312" w:cs="宋体"/>
          <w:kern w:val="0"/>
          <w:sz w:val="32"/>
          <w:szCs w:val="32"/>
          <w:lang w:val="en-US" w:eastAsia="zh-CN"/>
        </w:rPr>
        <w:t>万元，公用经费为</w:t>
      </w:r>
      <w:r>
        <w:rPr>
          <w:rFonts w:hint="eastAsia" w:ascii="仿宋_GB2312" w:hAnsi="宋体" w:cs="宋体"/>
          <w:kern w:val="0"/>
          <w:sz w:val="32"/>
          <w:szCs w:val="32"/>
          <w:lang w:val="en-US" w:eastAsia="zh-CN"/>
        </w:rPr>
        <w:t>229.84</w:t>
      </w:r>
      <w:r>
        <w:rPr>
          <w:rFonts w:hint="eastAsia" w:ascii="仿宋_GB2312" w:hAnsi="宋体" w:eastAsia="仿宋_GB2312" w:cs="宋体"/>
          <w:kern w:val="0"/>
          <w:sz w:val="32"/>
          <w:szCs w:val="32"/>
          <w:lang w:val="en-US" w:eastAsia="zh-CN"/>
        </w:rPr>
        <w:t>万元，预算资金全部由临泽县财政直接拨款，详见表1-</w:t>
      </w:r>
      <w:r>
        <w:rPr>
          <w:rFonts w:hint="eastAsia" w:ascii="仿宋_GB2312" w:hAnsi="宋体" w:cs="宋体"/>
          <w:kern w:val="0"/>
          <w:sz w:val="32"/>
          <w:szCs w:val="32"/>
          <w:lang w:val="en-US" w:eastAsia="zh-CN"/>
        </w:rPr>
        <w:t>1</w:t>
      </w:r>
      <w:r>
        <w:rPr>
          <w:rFonts w:hint="eastAsia" w:ascii="仿宋_GB2312" w:hAnsi="宋体" w:eastAsia="仿宋_GB2312" w:cs="宋体"/>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表1-</w:t>
      </w:r>
      <w:r>
        <w:rPr>
          <w:rFonts w:hint="eastAsia" w:ascii="仿宋_GB2312" w:hAnsi="宋体" w:cs="宋体"/>
          <w:kern w:val="0"/>
          <w:sz w:val="32"/>
          <w:szCs w:val="32"/>
          <w:lang w:val="en-US" w:eastAsia="zh-CN"/>
        </w:rPr>
        <w:t>1</w:t>
      </w:r>
      <w:r>
        <w:rPr>
          <w:rFonts w:hint="eastAsia" w:ascii="仿宋_GB2312" w:hAnsi="宋体" w:eastAsia="仿宋_GB2312" w:cs="宋体"/>
          <w:kern w:val="0"/>
          <w:sz w:val="32"/>
          <w:szCs w:val="32"/>
          <w:lang w:eastAsia="zh-CN"/>
        </w:rPr>
        <w:t xml:space="preserve">  2</w:t>
      </w:r>
      <w:r>
        <w:rPr>
          <w:rFonts w:hint="eastAsia" w:ascii="仿宋_GB2312" w:hAnsi="宋体" w:eastAsia="仿宋_GB2312" w:cs="宋体"/>
          <w:kern w:val="0"/>
          <w:sz w:val="32"/>
          <w:szCs w:val="32"/>
          <w:lang w:val="en-US" w:eastAsia="zh-CN"/>
        </w:rPr>
        <w:t>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年度本单位预算批复情况（单位：万元）</w:t>
      </w:r>
    </w:p>
    <w:tbl>
      <w:tblPr>
        <w:tblStyle w:val="13"/>
        <w:tblW w:w="4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971"/>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项</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目</w:t>
            </w:r>
          </w:p>
        </w:tc>
        <w:tc>
          <w:tcPr>
            <w:tcW w:w="1347"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小计</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320" w:firstLineChars="1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　合计</w:t>
            </w:r>
          </w:p>
        </w:tc>
        <w:tc>
          <w:tcPr>
            <w:tcW w:w="1347"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1821.84</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1821.84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一般公共服务支出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320" w:firstLineChars="100"/>
              <w:jc w:val="both"/>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1568.26</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320" w:firstLineChars="100"/>
              <w:jc w:val="both"/>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1568.26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公共安全支出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48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24"/>
                <w:szCs w:val="24"/>
                <w:lang w:eastAsia="zh-CN"/>
              </w:rPr>
              <w:t>文化旅游体育与传媒支出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56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28"/>
                <w:szCs w:val="28"/>
                <w:lang w:eastAsia="zh-CN"/>
              </w:rPr>
              <w:t>社会保障和就业支出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111.92</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卫生健康支出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62.6</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城乡社区支出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农林水支出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交通运输支出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69" w:type="pct"/>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住房保障支出</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79.06</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center"/>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79.06</w:t>
            </w:r>
          </w:p>
        </w:tc>
      </w:tr>
    </w:tbl>
    <w:p>
      <w:pPr>
        <w:pStyle w:val="7"/>
        <w:keepNext w:val="0"/>
        <w:keepLines w:val="0"/>
        <w:pageBreakBefore w:val="0"/>
        <w:numPr>
          <w:ilvl w:val="0"/>
          <w:numId w:val="0"/>
        </w:numPr>
        <w:kinsoku/>
        <w:wordWrap/>
        <w:overflowPunct/>
        <w:topLinePunct w:val="0"/>
        <w:autoSpaceDE/>
        <w:autoSpaceDN/>
        <w:bidi w:val="0"/>
        <w:spacing w:line="610" w:lineRule="exact"/>
        <w:ind w:left="0" w:leftChars="0" w:firstLine="643" w:firstLineChars="200"/>
        <w:textAlignment w:val="auto"/>
        <w:rPr>
          <w:rFonts w:hint="eastAsia" w:ascii="仿宋_GB2312" w:hAnsi="宋体" w:eastAsia="仿宋_GB2312" w:cs="宋体"/>
          <w:b/>
          <w:color w:val="000000"/>
          <w:kern w:val="0"/>
          <w:sz w:val="32"/>
          <w:szCs w:val="32"/>
          <w:lang w:val="en-US" w:eastAsia="zh-CN" w:bidi="ar-SA"/>
        </w:rPr>
      </w:pPr>
      <w:r>
        <w:rPr>
          <w:rFonts w:hint="eastAsia" w:ascii="仿宋_GB2312" w:hAnsi="宋体" w:eastAsia="仿宋_GB2312" w:cs="宋体"/>
          <w:b/>
          <w:color w:val="000000"/>
          <w:kern w:val="0"/>
          <w:sz w:val="32"/>
          <w:szCs w:val="32"/>
          <w:lang w:val="en-US" w:eastAsia="zh-CN" w:bidi="ar-SA"/>
        </w:rPr>
        <w:t>2、上级下达部门资金预算执行情况</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本单位202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val="en-US" w:eastAsia="zh-CN"/>
        </w:rPr>
        <w:t>年预算，实际支出总数为</w:t>
      </w:r>
      <w:r>
        <w:rPr>
          <w:rFonts w:hint="eastAsia" w:ascii="仿宋_GB2312" w:hAnsi="宋体" w:cs="宋体"/>
          <w:kern w:val="0"/>
          <w:sz w:val="32"/>
          <w:szCs w:val="32"/>
          <w:lang w:val="en-US" w:eastAsia="zh-CN"/>
        </w:rPr>
        <w:t>1821.84</w:t>
      </w:r>
      <w:r>
        <w:rPr>
          <w:rFonts w:hint="eastAsia" w:ascii="仿宋_GB2312" w:hAnsi="宋体" w:eastAsia="仿宋_GB2312" w:cs="宋体"/>
          <w:kern w:val="0"/>
          <w:sz w:val="32"/>
          <w:szCs w:val="32"/>
          <w:lang w:val="en-US" w:eastAsia="zh-CN"/>
        </w:rPr>
        <w:t>万元，预算执行率为100%。资金执行情况如下表所示。</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表1-</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lang w:eastAsia="zh-CN"/>
        </w:rPr>
        <w:t xml:space="preserve">  20</w:t>
      </w:r>
      <w:r>
        <w:rPr>
          <w:rFonts w:hint="eastAsia" w:ascii="仿宋_GB2312" w:hAnsi="宋体" w:eastAsia="仿宋_GB2312" w:cs="宋体"/>
          <w:kern w:val="0"/>
          <w:sz w:val="32"/>
          <w:szCs w:val="32"/>
          <w:lang w:val="en-US" w:eastAsia="zh-CN"/>
        </w:rPr>
        <w:t>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年度本单位资金预算执行表</w:t>
      </w:r>
    </w:p>
    <w:tbl>
      <w:tblPr>
        <w:tblStyle w:val="13"/>
        <w:tblW w:w="9322" w:type="dxa"/>
        <w:tblInd w:w="0" w:type="dxa"/>
        <w:tblLayout w:type="fixed"/>
        <w:tblCellMar>
          <w:top w:w="0" w:type="dxa"/>
          <w:left w:w="108" w:type="dxa"/>
          <w:bottom w:w="0" w:type="dxa"/>
          <w:right w:w="108" w:type="dxa"/>
        </w:tblCellMar>
      </w:tblPr>
      <w:tblGrid>
        <w:gridCol w:w="2378"/>
        <w:gridCol w:w="2266"/>
        <w:gridCol w:w="2410"/>
        <w:gridCol w:w="2268"/>
      </w:tblGrid>
      <w:tr>
        <w:tblPrEx>
          <w:tblCellMar>
            <w:top w:w="0" w:type="dxa"/>
            <w:left w:w="108" w:type="dxa"/>
            <w:bottom w:w="0" w:type="dxa"/>
            <w:right w:w="108" w:type="dxa"/>
          </w:tblCellMar>
        </w:tblPrEx>
        <w:trPr>
          <w:trHeight w:val="738" w:hRule="atLeast"/>
          <w:tblHeader/>
        </w:trPr>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项目</w:t>
            </w:r>
          </w:p>
        </w:tc>
        <w:tc>
          <w:tcPr>
            <w:tcW w:w="2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预算数（万元）</w:t>
            </w:r>
          </w:p>
        </w:tc>
        <w:tc>
          <w:tcPr>
            <w:tcW w:w="2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执行数（万元）</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预算执行率</w:t>
            </w:r>
          </w:p>
        </w:tc>
      </w:tr>
      <w:tr>
        <w:tblPrEx>
          <w:tblCellMar>
            <w:top w:w="0" w:type="dxa"/>
            <w:left w:w="108" w:type="dxa"/>
            <w:bottom w:w="0" w:type="dxa"/>
            <w:right w:w="108" w:type="dxa"/>
          </w:tblCellMar>
        </w:tblPrEx>
        <w:trPr>
          <w:trHeight w:val="772" w:hRule="atLeast"/>
        </w:trPr>
        <w:tc>
          <w:tcPr>
            <w:tcW w:w="2378" w:type="dxa"/>
            <w:tcBorders>
              <w:top w:val="nil"/>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支出</w:t>
            </w:r>
          </w:p>
        </w:tc>
        <w:tc>
          <w:tcPr>
            <w:tcW w:w="22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1821.84</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1821.84</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100%</w:t>
            </w:r>
          </w:p>
        </w:tc>
      </w:tr>
      <w:tr>
        <w:tblPrEx>
          <w:tblCellMar>
            <w:top w:w="0" w:type="dxa"/>
            <w:left w:w="108" w:type="dxa"/>
            <w:bottom w:w="0" w:type="dxa"/>
            <w:right w:w="108" w:type="dxa"/>
          </w:tblCellMar>
        </w:tblPrEx>
        <w:trPr>
          <w:trHeight w:val="734" w:hRule="atLeast"/>
        </w:trPr>
        <w:tc>
          <w:tcPr>
            <w:tcW w:w="2378"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合计</w:t>
            </w:r>
          </w:p>
        </w:tc>
        <w:tc>
          <w:tcPr>
            <w:tcW w:w="22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1821.84</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cs="宋体"/>
                <w:kern w:val="0"/>
                <w:sz w:val="32"/>
                <w:szCs w:val="32"/>
                <w:lang w:val="en-US" w:eastAsia="zh-CN"/>
              </w:rPr>
              <w:t>1821.84</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100%</w:t>
            </w:r>
          </w:p>
        </w:tc>
      </w:tr>
    </w:tbl>
    <w:p>
      <w:pPr>
        <w:keepNext w:val="0"/>
        <w:keepLines w:val="0"/>
        <w:pageBreakBefore w:val="0"/>
        <w:numPr>
          <w:ilvl w:val="0"/>
          <w:numId w:val="0"/>
        </w:numPr>
        <w:kinsoku/>
        <w:wordWrap/>
        <w:overflowPunct/>
        <w:topLinePunct w:val="0"/>
        <w:autoSpaceDE/>
        <w:autoSpaceDN/>
        <w:bidi w:val="0"/>
        <w:adjustRightInd w:val="0"/>
        <w:snapToGrid w:val="0"/>
        <w:spacing w:line="610" w:lineRule="exact"/>
        <w:ind w:left="0" w:leftChars="0" w:firstLine="643" w:firstLineChars="200"/>
        <w:textAlignment w:val="auto"/>
        <w:rPr>
          <w:rFonts w:hint="eastAsia" w:ascii="微软雅黑" w:hAnsi="微软雅黑" w:eastAsia="微软雅黑" w:cs="微软雅黑"/>
          <w:lang w:eastAsia="zh-CN"/>
        </w:rPr>
      </w:pPr>
      <w:r>
        <w:rPr>
          <w:rFonts w:hint="eastAsia" w:ascii="仿宋_GB2312" w:hAnsi="仿宋_GB2312" w:cs="仿宋_GB2312"/>
          <w:b/>
          <w:szCs w:val="32"/>
          <w:lang w:eastAsia="zh-CN"/>
        </w:rPr>
        <w:t>二、</w:t>
      </w:r>
      <w:r>
        <w:rPr>
          <w:rFonts w:hint="eastAsia" w:ascii="仿宋_GB2312" w:hAnsi="仿宋_GB2312" w:cs="仿宋_GB2312"/>
          <w:b/>
          <w:szCs w:val="32"/>
        </w:rPr>
        <w:t>评价工作开展</w:t>
      </w:r>
    </w:p>
    <w:p>
      <w:pPr>
        <w:pStyle w:val="7"/>
        <w:keepNext w:val="0"/>
        <w:keepLines w:val="0"/>
        <w:pageBreakBefore w:val="0"/>
        <w:kinsoku/>
        <w:wordWrap/>
        <w:overflowPunct/>
        <w:topLinePunct w:val="0"/>
        <w:autoSpaceDE/>
        <w:autoSpaceDN/>
        <w:bidi w:val="0"/>
        <w:spacing w:line="610" w:lineRule="exact"/>
        <w:ind w:left="0" w:leftChars="0"/>
        <w:textAlignment w:val="auto"/>
        <w:rPr>
          <w:rFonts w:hint="eastAsia" w:ascii="仿宋_GB2312" w:hAnsi="仿宋_GB2312" w:cs="仿宋_GB2312"/>
          <w:b/>
          <w:bCs/>
          <w:kern w:val="0"/>
          <w:sz w:val="32"/>
          <w:szCs w:val="32"/>
          <w:lang w:val="en-US" w:eastAsia="zh-CN" w:bidi="ar-SA"/>
        </w:rPr>
      </w:pPr>
      <w:r>
        <w:rPr>
          <w:rFonts w:hint="eastAsia" w:ascii="仿宋_GB2312" w:hAnsi="仿宋_GB2312" w:cs="仿宋_GB2312"/>
          <w:b/>
          <w:bCs/>
          <w:kern w:val="0"/>
          <w:sz w:val="32"/>
          <w:szCs w:val="32"/>
          <w:lang w:val="en-US" w:eastAsia="zh-CN" w:bidi="ar-SA"/>
        </w:rPr>
        <w:t>（一）绩效评价实施过程</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本单位通过对相关资料的分析，利用指标体系对202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年度的本部门整体支出情况进行绩效评价。本次绩效评价自202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年12月启动，主要根据本单位基本情况、预算制定明细、部门职能目标及组织架构等基础信息采集等形式，开展相关基础工作。主要实施过程如下：</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30" w:firstLineChars="196"/>
        <w:textAlignment w:val="auto"/>
        <w:rPr>
          <w:rFonts w:hint="eastAsia" w:ascii="仿宋_GB2312" w:hAnsi="宋体" w:eastAsia="仿宋_GB2312" w:cs="宋体"/>
          <w:b/>
          <w:color w:val="000000"/>
          <w:kern w:val="0"/>
          <w:sz w:val="32"/>
          <w:szCs w:val="32"/>
          <w:lang w:eastAsia="zh-CN"/>
        </w:rPr>
      </w:pPr>
      <w:r>
        <w:rPr>
          <w:rFonts w:hint="eastAsia" w:ascii="仿宋_GB2312" w:hAnsi="宋体" w:eastAsia="仿宋_GB2312" w:cs="宋体"/>
          <w:b/>
          <w:color w:val="000000"/>
          <w:kern w:val="0"/>
          <w:sz w:val="32"/>
          <w:szCs w:val="32"/>
          <w:lang w:eastAsia="zh-CN"/>
        </w:rPr>
        <w:t>1.前期准备</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自202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年12月开始，基本确定了202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年度部门整体评价的实施内容、工作范围、评价目标等，并通过相关资料和数据的基础信息，设计了部门整体评价指标体系与单位相关基础信息采集表。</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30" w:firstLineChars="196"/>
        <w:textAlignment w:val="auto"/>
        <w:rPr>
          <w:rFonts w:hint="eastAsia" w:ascii="仿宋_GB2312" w:hAnsi="宋体" w:eastAsia="仿宋_GB2312" w:cs="宋体"/>
          <w:b/>
          <w:color w:val="000000"/>
          <w:kern w:val="0"/>
          <w:sz w:val="32"/>
          <w:szCs w:val="32"/>
          <w:lang w:eastAsia="zh-CN"/>
        </w:rPr>
      </w:pPr>
      <w:bookmarkStart w:id="0" w:name="_Toc356400138"/>
      <w:bookmarkStart w:id="1" w:name="_Toc343641673"/>
      <w:bookmarkStart w:id="2" w:name="_Toc361813819"/>
      <w:bookmarkStart w:id="3" w:name="_Toc360067907"/>
      <w:bookmarkStart w:id="4" w:name="_Toc366411941"/>
      <w:bookmarkStart w:id="5" w:name="_Toc366093883"/>
      <w:r>
        <w:rPr>
          <w:rFonts w:hint="eastAsia" w:ascii="仿宋_GB2312" w:hAnsi="宋体" w:eastAsia="仿宋_GB2312" w:cs="宋体"/>
          <w:b/>
          <w:color w:val="000000"/>
          <w:kern w:val="0"/>
          <w:sz w:val="32"/>
          <w:szCs w:val="32"/>
          <w:lang w:val="en-US" w:eastAsia="zh-CN"/>
        </w:rPr>
        <w:t>2.</w:t>
      </w:r>
      <w:r>
        <w:rPr>
          <w:rFonts w:hint="eastAsia" w:ascii="仿宋_GB2312" w:hAnsi="宋体" w:eastAsia="仿宋_GB2312" w:cs="宋体"/>
          <w:b/>
          <w:color w:val="000000"/>
          <w:kern w:val="0"/>
          <w:sz w:val="32"/>
          <w:szCs w:val="32"/>
          <w:lang w:eastAsia="zh-CN"/>
        </w:rPr>
        <w:t>数据分析及报告</w:t>
      </w:r>
      <w:bookmarkEnd w:id="0"/>
      <w:bookmarkEnd w:id="1"/>
      <w:r>
        <w:rPr>
          <w:rFonts w:hint="eastAsia" w:ascii="仿宋_GB2312" w:hAnsi="宋体" w:eastAsia="仿宋_GB2312" w:cs="宋体"/>
          <w:b/>
          <w:color w:val="000000"/>
          <w:kern w:val="0"/>
          <w:sz w:val="32"/>
          <w:szCs w:val="32"/>
          <w:lang w:eastAsia="zh-CN"/>
        </w:rPr>
        <w:t>撰写</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根据部门整体绩效评价的原理和规范，对采集的数据进行处理、分析和评分，提炼结论撰写报告，并不断修正完善。</w:t>
      </w:r>
    </w:p>
    <w:p>
      <w:pPr>
        <w:pStyle w:val="7"/>
        <w:keepNext w:val="0"/>
        <w:keepLines w:val="0"/>
        <w:pageBreakBefore w:val="0"/>
        <w:kinsoku/>
        <w:wordWrap/>
        <w:overflowPunct/>
        <w:topLinePunct w:val="0"/>
        <w:autoSpaceDE/>
        <w:autoSpaceDN/>
        <w:bidi w:val="0"/>
        <w:spacing w:line="610" w:lineRule="exact"/>
        <w:ind w:left="0" w:leftChars="0"/>
        <w:textAlignment w:val="auto"/>
        <w:rPr>
          <w:rFonts w:hint="eastAsia" w:ascii="仿宋_GB2312" w:hAnsi="仿宋_GB2312" w:cs="仿宋_GB2312"/>
          <w:b/>
          <w:bCs/>
          <w:szCs w:val="32"/>
        </w:rPr>
      </w:pPr>
      <w:r>
        <w:rPr>
          <w:rFonts w:hint="eastAsia" w:ascii="仿宋_GB2312" w:hAnsi="仿宋_GB2312" w:cs="仿宋_GB2312"/>
          <w:b/>
          <w:bCs/>
          <w:szCs w:val="32"/>
        </w:rPr>
        <w:t>（二）绩效评价整体结果概况</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方正小标宋简体" w:eastAsia="方正小标宋简体"/>
          <w:sz w:val="38"/>
          <w:szCs w:val="38"/>
        </w:rPr>
      </w:pPr>
      <w:r>
        <w:rPr>
          <w:rFonts w:hint="eastAsia" w:ascii="仿宋_GB2312" w:hAnsi="宋体" w:eastAsia="仿宋_GB2312" w:cs="宋体"/>
          <w:kern w:val="0"/>
          <w:sz w:val="32"/>
          <w:szCs w:val="32"/>
          <w:lang w:val="en-US" w:eastAsia="zh-CN"/>
        </w:rPr>
        <w:t>依据部门整体绩效评价指标体系及评分标准，我单位根据基础数据，对202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val="en-US" w:eastAsia="zh-CN"/>
        </w:rPr>
        <w:t>年度整体支出进行了独立评分，最终评分结果为</w:t>
      </w:r>
      <w:r>
        <w:rPr>
          <w:rFonts w:hint="eastAsia" w:ascii="仿宋_GB2312" w:hAnsi="宋体" w:cs="宋体"/>
          <w:kern w:val="0"/>
          <w:sz w:val="32"/>
          <w:szCs w:val="32"/>
          <w:lang w:val="en-US" w:eastAsia="zh-CN"/>
        </w:rPr>
        <w:t>99</w:t>
      </w:r>
      <w:r>
        <w:rPr>
          <w:rFonts w:hint="eastAsia" w:ascii="仿宋_GB2312" w:hAnsi="宋体" w:eastAsia="仿宋_GB2312" w:cs="宋体"/>
          <w:kern w:val="0"/>
          <w:sz w:val="32"/>
          <w:szCs w:val="32"/>
          <w:lang w:val="en-US" w:eastAsia="zh-CN"/>
        </w:rPr>
        <w:t>分，具体评分情况如下表：</w:t>
      </w:r>
    </w:p>
    <w:p>
      <w:pPr>
        <w:keepNext w:val="0"/>
        <w:keepLines w:val="0"/>
        <w:pageBreakBefore w:val="0"/>
        <w:kinsoku/>
        <w:wordWrap/>
        <w:overflowPunct/>
        <w:topLinePunct w:val="0"/>
        <w:bidi w:val="0"/>
        <w:spacing w:line="610" w:lineRule="exact"/>
        <w:ind w:left="0" w:leftChars="0" w:firstLine="760"/>
        <w:jc w:val="center"/>
        <w:textAlignment w:val="auto"/>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13"/>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79" w:firstLineChars="99"/>
              <w:textAlignment w:val="auto"/>
              <w:rPr>
                <w:rFonts w:ascii="仿宋_GB2312" w:hAnsi="宋体" w:cs="宋体"/>
                <w:b/>
                <w:bCs/>
                <w:kern w:val="0"/>
                <w:sz w:val="18"/>
                <w:szCs w:val="18"/>
              </w:rPr>
            </w:pPr>
            <w:r>
              <w:rPr>
                <w:rFonts w:hint="eastAsia" w:ascii="仿宋_GB2312" w:hAnsi="宋体"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1"/>
              <w:jc w:val="center"/>
              <w:textAlignment w:val="auto"/>
              <w:rPr>
                <w:rFonts w:ascii="仿宋_GB2312" w:hAnsi="宋体" w:cs="宋体"/>
                <w:b/>
                <w:bCs/>
                <w:kern w:val="0"/>
                <w:sz w:val="18"/>
                <w:szCs w:val="18"/>
              </w:rPr>
            </w:pPr>
            <w:r>
              <w:rPr>
                <w:rFonts w:hint="eastAsia" w:ascii="仿宋_GB2312" w:hAnsi="宋体"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自评得 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spacing w:val="-10"/>
                <w:kern w:val="0"/>
                <w:sz w:val="18"/>
                <w:szCs w:val="18"/>
              </w:rPr>
            </w:pPr>
            <w:r>
              <w:rPr>
                <w:rFonts w:hint="eastAsia" w:ascii="仿宋_GB2312" w:hAnsi="宋体"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投  入</w:t>
            </w:r>
            <w:r>
              <w:rPr>
                <w:rFonts w:hint="eastAsia" w:ascii="仿宋_GB2312" w:hAnsi="宋体" w:cs="宋体"/>
                <w:kern w:val="0"/>
                <w:sz w:val="18"/>
                <w:szCs w:val="18"/>
              </w:rPr>
              <w:br w:type="textWrapping"/>
            </w:r>
            <w:r>
              <w:rPr>
                <w:rFonts w:hint="eastAsia" w:ascii="仿宋_GB2312" w:hAnsi="宋体"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预算配置</w:t>
            </w:r>
            <w:r>
              <w:rPr>
                <w:rFonts w:hint="eastAsia" w:ascii="仿宋_GB2312" w:hAnsi="宋体" w:cs="宋体"/>
                <w:kern w:val="0"/>
                <w:sz w:val="18"/>
                <w:szCs w:val="18"/>
              </w:rPr>
              <w:br w:type="textWrapping"/>
            </w:r>
            <w:r>
              <w:rPr>
                <w:rFonts w:hint="eastAsia" w:ascii="仿宋_GB2312" w:hAnsi="宋体"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财政供养人员控制率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以100%为标准。在职人员控制率100%，计5分；每超过一个百分点扣0.5分，扣完为止。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“三公经费”变动率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“三公经费”变动率100%,计5分；</w:t>
            </w:r>
            <w:r>
              <w:rPr>
                <w:rFonts w:hint="eastAsia" w:ascii="仿宋_GB2312" w:hAnsi="宋体" w:cs="宋体"/>
                <w:kern w:val="0"/>
                <w:sz w:val="18"/>
                <w:szCs w:val="18"/>
              </w:rPr>
              <w:br w:type="textWrapping"/>
            </w:r>
            <w:r>
              <w:rPr>
                <w:rFonts w:hint="eastAsia" w:ascii="仿宋_GB2312" w:hAnsi="宋体"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重点支出安排率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过  程</w:t>
            </w:r>
            <w:r>
              <w:rPr>
                <w:rFonts w:hint="eastAsia" w:ascii="仿宋_GB2312" w:hAnsi="宋体" w:cs="宋体"/>
                <w:kern w:val="0"/>
                <w:sz w:val="18"/>
                <w:szCs w:val="18"/>
              </w:rPr>
              <w:br w:type="textWrapping"/>
            </w:r>
            <w:r>
              <w:rPr>
                <w:rFonts w:hint="eastAsia" w:ascii="仿宋_GB2312" w:hAnsi="宋体"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预算执行</w:t>
            </w:r>
            <w:r>
              <w:rPr>
                <w:rFonts w:hint="eastAsia" w:ascii="仿宋_GB2312" w:hAnsi="宋体" w:cs="宋体"/>
                <w:kern w:val="0"/>
                <w:sz w:val="18"/>
                <w:szCs w:val="18"/>
              </w:rPr>
              <w:br w:type="textWrapping"/>
            </w:r>
            <w:r>
              <w:rPr>
                <w:rFonts w:hint="eastAsia" w:ascii="仿宋_GB2312" w:hAnsi="宋体"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jc w:val="center"/>
              <w:textAlignment w:val="auto"/>
              <w:rPr>
                <w:rFonts w:ascii="仿宋_GB2312" w:hAnsi="宋体" w:cs="宋体"/>
                <w:kern w:val="0"/>
                <w:sz w:val="18"/>
                <w:szCs w:val="18"/>
              </w:rPr>
            </w:pPr>
            <w:r>
              <w:rPr>
                <w:rFonts w:hint="eastAsia" w:ascii="仿宋_GB2312" w:hAnsi="宋体"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春节前下达全部专项资金的50%；6月底前所有专项资金指标全部下达完。</w:t>
            </w:r>
            <w:r>
              <w:rPr>
                <w:rFonts w:hint="eastAsia" w:ascii="仿宋_GB2312" w:hAnsi="宋体" w:cs="宋体"/>
                <w:kern w:val="0"/>
                <w:sz w:val="18"/>
                <w:szCs w:val="18"/>
              </w:rPr>
              <w:br w:type="textWrapping"/>
            </w:r>
            <w:r>
              <w:rPr>
                <w:rFonts w:hint="eastAsia" w:ascii="仿宋_GB2312" w:hAnsi="宋体"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jc w:val="center"/>
              <w:textAlignment w:val="auto"/>
              <w:rPr>
                <w:rFonts w:ascii="仿宋_GB2312" w:hAnsi="宋体" w:cs="宋体"/>
                <w:kern w:val="0"/>
                <w:sz w:val="18"/>
                <w:szCs w:val="18"/>
              </w:rPr>
            </w:pPr>
            <w:r>
              <w:rPr>
                <w:rFonts w:hint="eastAsia" w:ascii="仿宋_GB2312" w:hAnsi="宋体"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“三公经费”</w:t>
            </w:r>
            <w:r>
              <w:rPr>
                <w:rFonts w:hint="eastAsia" w:ascii="仿宋_GB2312" w:hAnsi="宋体" w:cs="宋体"/>
                <w:kern w:val="0"/>
                <w:sz w:val="18"/>
                <w:szCs w:val="18"/>
              </w:rPr>
              <w:br w:type="textWrapping"/>
            </w:r>
            <w:r>
              <w:rPr>
                <w:rFonts w:hint="eastAsia" w:ascii="仿宋_GB2312" w:hAnsi="宋体"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以100%为标准。三公经费控制率100%，计6分；</w:t>
            </w:r>
            <w:r>
              <w:rPr>
                <w:rFonts w:hint="eastAsia" w:ascii="仿宋_GB2312" w:hAnsi="宋体" w:cs="宋体"/>
                <w:kern w:val="0"/>
                <w:sz w:val="18"/>
                <w:szCs w:val="18"/>
              </w:rPr>
              <w:br w:type="textWrapping"/>
            </w:r>
            <w:r>
              <w:rPr>
                <w:rFonts w:hint="eastAsia" w:ascii="仿宋_GB2312" w:hAnsi="宋体"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6</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预算管理</w:t>
            </w:r>
            <w:r>
              <w:rPr>
                <w:rFonts w:hint="eastAsia" w:ascii="仿宋_GB2312" w:hAnsi="宋体" w:cs="宋体"/>
                <w:kern w:val="0"/>
                <w:sz w:val="18"/>
                <w:szCs w:val="18"/>
              </w:rPr>
              <w:br w:type="textWrapping"/>
            </w:r>
            <w:r>
              <w:rPr>
                <w:rFonts w:hint="eastAsia" w:ascii="仿宋_GB2312" w:hAnsi="宋体" w:cs="宋体"/>
                <w:kern w:val="0"/>
                <w:sz w:val="18"/>
                <w:szCs w:val="18"/>
              </w:rPr>
              <w:t>（15分）</w:t>
            </w:r>
          </w:p>
          <w:p>
            <w:pPr>
              <w:keepNext w:val="0"/>
              <w:keepLines w:val="0"/>
              <w:pageBreakBefore w:val="0"/>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r>
              <w:rPr>
                <w:rFonts w:hint="eastAsia" w:ascii="仿宋_GB2312" w:hAnsi="宋体" w:cs="宋体"/>
                <w:kern w:val="0"/>
                <w:sz w:val="18"/>
                <w:szCs w:val="18"/>
              </w:rPr>
              <w:t>　</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管理制度健全性</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①已制定或具有预算资金管理办法，内部财务管理制度、会计核算制度等管理制度，1分；</w:t>
            </w:r>
            <w:r>
              <w:rPr>
                <w:rFonts w:hint="eastAsia" w:ascii="仿宋_GB2312" w:hAnsi="宋体" w:cs="宋体"/>
                <w:kern w:val="0"/>
                <w:sz w:val="18"/>
                <w:szCs w:val="18"/>
              </w:rPr>
              <w:br w:type="textWrapping"/>
            </w:r>
            <w:r>
              <w:rPr>
                <w:rFonts w:hint="eastAsia" w:ascii="仿宋_GB2312" w:hAnsi="宋体" w:cs="宋体"/>
                <w:kern w:val="0"/>
                <w:sz w:val="18"/>
                <w:szCs w:val="18"/>
              </w:rPr>
              <w:t>②相关管理制度合法、合规、完整，1分；</w:t>
            </w:r>
            <w:r>
              <w:rPr>
                <w:rFonts w:hint="eastAsia" w:ascii="仿宋_GB2312" w:hAnsi="宋体" w:cs="宋体"/>
                <w:kern w:val="0"/>
                <w:sz w:val="18"/>
                <w:szCs w:val="18"/>
              </w:rPr>
              <w:br w:type="textWrapping"/>
            </w:r>
            <w:r>
              <w:rPr>
                <w:rFonts w:hint="eastAsia" w:ascii="仿宋_GB2312" w:hAnsi="宋体"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2</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资金使用合规性</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①支出符合国家财经法规和财务管理制度规定以及有关专项资金管理办法的规定；</w:t>
            </w:r>
            <w:r>
              <w:rPr>
                <w:rFonts w:hint="eastAsia" w:ascii="仿宋_GB2312" w:hAnsi="宋体" w:cs="宋体"/>
                <w:kern w:val="0"/>
                <w:sz w:val="18"/>
                <w:szCs w:val="18"/>
              </w:rPr>
              <w:br w:type="textWrapping"/>
            </w:r>
            <w:r>
              <w:rPr>
                <w:rFonts w:hint="eastAsia" w:ascii="仿宋_GB2312" w:hAnsi="宋体" w:cs="宋体"/>
                <w:kern w:val="0"/>
                <w:sz w:val="18"/>
                <w:szCs w:val="18"/>
              </w:rPr>
              <w:t>②资金拨付有完整的审批程序和手续；</w:t>
            </w:r>
            <w:r>
              <w:rPr>
                <w:rFonts w:hint="eastAsia" w:ascii="仿宋_GB2312" w:hAnsi="宋体" w:cs="宋体"/>
                <w:kern w:val="0"/>
                <w:sz w:val="18"/>
                <w:szCs w:val="18"/>
              </w:rPr>
              <w:br w:type="textWrapping"/>
            </w:r>
            <w:r>
              <w:rPr>
                <w:rFonts w:hint="eastAsia" w:ascii="仿宋_GB2312" w:hAnsi="宋体" w:cs="宋体"/>
                <w:kern w:val="0"/>
                <w:sz w:val="18"/>
                <w:szCs w:val="18"/>
              </w:rPr>
              <w:t>③项目支出按规定经过评估论证；</w:t>
            </w:r>
            <w:r>
              <w:rPr>
                <w:rFonts w:hint="eastAsia" w:ascii="仿宋_GB2312" w:hAnsi="宋体" w:cs="宋体"/>
                <w:kern w:val="0"/>
                <w:sz w:val="18"/>
                <w:szCs w:val="18"/>
              </w:rPr>
              <w:br w:type="textWrapping"/>
            </w:r>
            <w:r>
              <w:rPr>
                <w:rFonts w:hint="eastAsia" w:ascii="仿宋_GB2312" w:hAnsi="宋体" w:cs="宋体"/>
                <w:kern w:val="0"/>
                <w:sz w:val="18"/>
                <w:szCs w:val="18"/>
              </w:rPr>
              <w:t>④支出符合部门预算批复的用途；</w:t>
            </w:r>
            <w:r>
              <w:rPr>
                <w:rFonts w:hint="eastAsia" w:ascii="仿宋_GB2312" w:hAnsi="宋体" w:cs="宋体"/>
                <w:kern w:val="0"/>
                <w:sz w:val="18"/>
                <w:szCs w:val="18"/>
              </w:rPr>
              <w:br w:type="textWrapping"/>
            </w:r>
            <w:r>
              <w:rPr>
                <w:rFonts w:hint="eastAsia" w:ascii="仿宋_GB2312" w:hAnsi="宋体" w:cs="宋体"/>
                <w:spacing w:val="-6"/>
                <w:kern w:val="0"/>
                <w:sz w:val="18"/>
                <w:szCs w:val="18"/>
              </w:rPr>
              <w:t>⑤资金使用无截留、挤占、挪用、虚列支出等情况。</w:t>
            </w:r>
            <w:r>
              <w:rPr>
                <w:rFonts w:hint="eastAsia" w:ascii="仿宋_GB2312" w:hAnsi="宋体" w:cs="宋体"/>
                <w:spacing w:val="-6"/>
                <w:kern w:val="0"/>
                <w:sz w:val="18"/>
                <w:szCs w:val="18"/>
              </w:rPr>
              <w:br w:type="textWrapping"/>
            </w:r>
            <w:r>
              <w:rPr>
                <w:rFonts w:hint="eastAsia" w:ascii="仿宋_GB2312" w:hAnsi="宋体"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①按规定内容公开预决算信息，1分；</w:t>
            </w:r>
            <w:r>
              <w:rPr>
                <w:rFonts w:hint="eastAsia" w:ascii="仿宋_GB2312" w:hAnsi="宋体" w:cs="宋体"/>
                <w:kern w:val="0"/>
                <w:sz w:val="18"/>
                <w:szCs w:val="18"/>
              </w:rPr>
              <w:br w:type="textWrapping"/>
            </w:r>
            <w:r>
              <w:rPr>
                <w:rFonts w:hint="eastAsia" w:ascii="仿宋_GB2312" w:hAnsi="宋体" w:cs="宋体"/>
                <w:kern w:val="0"/>
                <w:sz w:val="18"/>
                <w:szCs w:val="18"/>
              </w:rPr>
              <w:t>②按规定时限公开预决算信息，0.5分；</w:t>
            </w:r>
            <w:r>
              <w:rPr>
                <w:rFonts w:hint="eastAsia" w:ascii="仿宋_GB2312" w:hAnsi="宋体" w:cs="宋体"/>
                <w:kern w:val="0"/>
                <w:sz w:val="18"/>
                <w:szCs w:val="18"/>
              </w:rPr>
              <w:br w:type="textWrapping"/>
            </w:r>
            <w:r>
              <w:rPr>
                <w:rFonts w:hint="eastAsia" w:ascii="仿宋_GB2312" w:hAnsi="宋体" w:cs="宋体"/>
                <w:kern w:val="0"/>
                <w:sz w:val="18"/>
                <w:szCs w:val="18"/>
              </w:rPr>
              <w:t>③基础数据信息和会计信息资料真实，0.5分；</w:t>
            </w:r>
            <w:r>
              <w:rPr>
                <w:rFonts w:hint="eastAsia" w:ascii="仿宋_GB2312" w:hAnsi="宋体" w:cs="宋体"/>
                <w:kern w:val="0"/>
                <w:sz w:val="18"/>
                <w:szCs w:val="18"/>
              </w:rPr>
              <w:br w:type="textWrapping"/>
            </w:r>
            <w:r>
              <w:rPr>
                <w:rFonts w:hint="eastAsia" w:ascii="仿宋_GB2312" w:hAnsi="宋体" w:cs="宋体"/>
                <w:kern w:val="0"/>
                <w:sz w:val="18"/>
                <w:szCs w:val="18"/>
              </w:rPr>
              <w:t>④基础数据信息和会计信息资料完整，0.5分；</w:t>
            </w:r>
            <w:r>
              <w:rPr>
                <w:rFonts w:hint="eastAsia" w:ascii="仿宋_GB2312" w:hAnsi="宋体" w:cs="宋体"/>
                <w:kern w:val="0"/>
                <w:sz w:val="18"/>
                <w:szCs w:val="18"/>
              </w:rPr>
              <w:br w:type="textWrapping"/>
            </w:r>
            <w:r>
              <w:rPr>
                <w:rFonts w:hint="eastAsia" w:ascii="仿宋_GB2312" w:hAnsi="宋体"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jc w:val="center"/>
              <w:textAlignment w:val="auto"/>
              <w:rPr>
                <w:rFonts w:ascii="仿宋_GB2312" w:hAnsi="宋体" w:cs="宋体"/>
                <w:kern w:val="0"/>
                <w:sz w:val="18"/>
                <w:szCs w:val="18"/>
              </w:rPr>
            </w:pPr>
            <w:r>
              <w:rPr>
                <w:rFonts w:hint="eastAsia" w:ascii="仿宋_GB2312" w:hAnsi="宋体" w:cs="宋体"/>
                <w:kern w:val="0"/>
                <w:sz w:val="18"/>
                <w:szCs w:val="18"/>
              </w:rPr>
              <w:t>政府采购</w:t>
            </w:r>
          </w:p>
          <w:p>
            <w:pPr>
              <w:keepNext w:val="0"/>
              <w:keepLines w:val="0"/>
              <w:pageBreakBefore w:val="0"/>
              <w:widowControl/>
              <w:kinsoku/>
              <w:wordWrap/>
              <w:overflowPunct/>
              <w:topLinePunct w:val="0"/>
              <w:bidi w:val="0"/>
              <w:spacing w:line="610" w:lineRule="exact"/>
              <w:ind w:left="0" w:leftChars="0" w:firstLine="379" w:firstLineChars="211"/>
              <w:jc w:val="center"/>
              <w:textAlignment w:val="auto"/>
              <w:rPr>
                <w:rFonts w:ascii="仿宋_GB2312" w:hAnsi="宋体" w:cs="宋体"/>
                <w:kern w:val="0"/>
                <w:sz w:val="18"/>
                <w:szCs w:val="18"/>
              </w:rPr>
            </w:pPr>
            <w:r>
              <w:rPr>
                <w:rFonts w:hint="eastAsia" w:ascii="仿宋_GB2312" w:hAnsi="宋体"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政府采购执行率等于100%的，得3分；</w:t>
            </w:r>
            <w:r>
              <w:rPr>
                <w:rFonts w:hint="eastAsia" w:ascii="仿宋_GB2312" w:hAnsi="宋体" w:cs="宋体"/>
                <w:kern w:val="0"/>
                <w:sz w:val="18"/>
                <w:szCs w:val="18"/>
              </w:rPr>
              <w:br w:type="textWrapping"/>
            </w:r>
            <w:r>
              <w:rPr>
                <w:rFonts w:hint="eastAsia" w:ascii="仿宋_GB2312" w:hAnsi="宋体"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公务卡刷卡率达50％以上的，得3分。</w:t>
            </w:r>
            <w:r>
              <w:rPr>
                <w:rFonts w:hint="eastAsia" w:ascii="仿宋_GB2312" w:hAnsi="宋体" w:cs="宋体"/>
                <w:kern w:val="0"/>
                <w:sz w:val="18"/>
                <w:szCs w:val="18"/>
              </w:rPr>
              <w:br w:type="textWrapping"/>
            </w:r>
            <w:r>
              <w:rPr>
                <w:rFonts w:hint="eastAsia" w:ascii="仿宋_GB2312" w:hAnsi="宋体"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hint="eastAsia" w:ascii="仿宋_GB2312" w:hAnsi="宋体" w:eastAsia="方正仿宋" w:cs="宋体"/>
                <w:kern w:val="0"/>
                <w:sz w:val="18"/>
                <w:szCs w:val="18"/>
                <w:lang w:eastAsia="zh-CN"/>
              </w:rPr>
            </w:pPr>
            <w:r>
              <w:rPr>
                <w:rFonts w:hint="eastAsia" w:ascii="仿宋_GB2312" w:hAnsi="宋体"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资产管理</w:t>
            </w:r>
            <w:r>
              <w:rPr>
                <w:rFonts w:hint="eastAsia" w:ascii="仿宋_GB2312" w:hAnsi="宋体" w:cs="宋体"/>
                <w:kern w:val="0"/>
                <w:sz w:val="18"/>
                <w:szCs w:val="18"/>
              </w:rPr>
              <w:br w:type="textWrapping"/>
            </w:r>
            <w:r>
              <w:rPr>
                <w:rFonts w:hint="eastAsia" w:ascii="仿宋_GB2312" w:hAnsi="宋体"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center"/>
              <w:textAlignment w:val="auto"/>
              <w:rPr>
                <w:rFonts w:ascii="仿宋_GB2312" w:hAnsi="宋体" w:cs="宋体"/>
                <w:kern w:val="0"/>
                <w:sz w:val="18"/>
                <w:szCs w:val="18"/>
              </w:rPr>
            </w:pPr>
            <w:r>
              <w:rPr>
                <w:rFonts w:hint="eastAsia" w:ascii="仿宋_GB2312" w:hAnsi="宋体" w:cs="宋体"/>
                <w:kern w:val="0"/>
                <w:sz w:val="18"/>
                <w:szCs w:val="18"/>
              </w:rPr>
              <w:t>管理制度</w:t>
            </w:r>
            <w:r>
              <w:rPr>
                <w:rFonts w:hint="eastAsia" w:ascii="仿宋_GB2312" w:hAnsi="宋体" w:cs="宋体"/>
                <w:kern w:val="0"/>
                <w:sz w:val="18"/>
                <w:szCs w:val="18"/>
              </w:rPr>
              <w:br w:type="textWrapping"/>
            </w:r>
            <w:r>
              <w:rPr>
                <w:rFonts w:hint="eastAsia" w:ascii="仿宋_GB2312" w:hAnsi="宋体"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①已制定或具有资产管理制度，且相关资产管理制度合法、合规、完整，2分；</w:t>
            </w:r>
            <w:r>
              <w:rPr>
                <w:rFonts w:hint="eastAsia" w:ascii="仿宋_GB2312" w:hAnsi="宋体" w:cs="宋体"/>
                <w:kern w:val="0"/>
                <w:sz w:val="18"/>
                <w:szCs w:val="18"/>
              </w:rPr>
              <w:br w:type="textWrapping"/>
            </w:r>
            <w:r>
              <w:rPr>
                <w:rFonts w:hint="eastAsia" w:ascii="仿宋_GB2312" w:hAnsi="宋体"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hint="eastAsia" w:ascii="仿宋_GB2312" w:hAnsi="宋体" w:eastAsia="仿宋_GB2312" w:cs="宋体"/>
                <w:kern w:val="0"/>
                <w:sz w:val="18"/>
                <w:szCs w:val="18"/>
                <w:lang w:eastAsia="zh-CN"/>
              </w:rPr>
            </w:pPr>
            <w:r>
              <w:rPr>
                <w:rFonts w:hint="eastAsia" w:ascii="仿宋_GB2312" w:hAnsi="宋体"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bl>
    <w:p>
      <w:pPr>
        <w:keepNext w:val="0"/>
        <w:keepLines w:val="0"/>
        <w:pageBreakBefore w:val="0"/>
        <w:kinsoku/>
        <w:wordWrap/>
        <w:overflowPunct/>
        <w:topLinePunct w:val="0"/>
        <w:bidi w:val="0"/>
        <w:spacing w:line="610" w:lineRule="exact"/>
        <w:ind w:left="0" w:leftChars="0" w:firstLine="760"/>
        <w:jc w:val="center"/>
        <w:textAlignment w:val="auto"/>
        <w:rPr>
          <w:rFonts w:ascii="方正小标宋简体" w:eastAsia="方正小标宋简体"/>
          <w:sz w:val="38"/>
          <w:szCs w:val="38"/>
        </w:rPr>
      </w:pPr>
    </w:p>
    <w:p>
      <w:pPr>
        <w:keepNext w:val="0"/>
        <w:keepLines w:val="0"/>
        <w:pageBreakBefore w:val="0"/>
        <w:kinsoku/>
        <w:wordWrap/>
        <w:overflowPunct/>
        <w:topLinePunct w:val="0"/>
        <w:bidi w:val="0"/>
        <w:spacing w:line="610" w:lineRule="exact"/>
        <w:ind w:left="0" w:leftChars="0" w:firstLine="760"/>
        <w:jc w:val="center"/>
        <w:textAlignment w:val="auto"/>
        <w:rPr>
          <w:rFonts w:ascii="方正小标宋简体" w:eastAsia="方正小标宋简体"/>
          <w:sz w:val="38"/>
          <w:szCs w:val="38"/>
        </w:rPr>
      </w:pPr>
      <w:r>
        <w:rPr>
          <w:rFonts w:hint="eastAsia" w:ascii="方正小标宋简体" w:eastAsia="方正小标宋简体"/>
          <w:sz w:val="38"/>
          <w:szCs w:val="38"/>
        </w:rPr>
        <w:t>部门整体支出绩效评价评分表（续表）</w:t>
      </w:r>
    </w:p>
    <w:tbl>
      <w:tblPr>
        <w:tblStyle w:val="1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0"/>
              <w:textAlignment w:val="auto"/>
              <w:rPr>
                <w:rFonts w:ascii="仿宋_GB2312" w:hAnsi="宋体" w:cs="宋体"/>
                <w:b/>
                <w:bCs/>
                <w:kern w:val="0"/>
                <w:sz w:val="18"/>
                <w:szCs w:val="18"/>
              </w:rPr>
            </w:pPr>
            <w:r>
              <w:rPr>
                <w:rFonts w:hint="eastAsia" w:ascii="仿宋_GB2312" w:hAnsi="宋体"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1"/>
              <w:jc w:val="center"/>
              <w:textAlignment w:val="auto"/>
              <w:rPr>
                <w:rFonts w:ascii="仿宋_GB2312" w:hAnsi="宋体" w:cs="宋体"/>
                <w:b/>
                <w:bCs/>
                <w:kern w:val="0"/>
                <w:sz w:val="18"/>
                <w:szCs w:val="18"/>
              </w:rPr>
            </w:pPr>
            <w:r>
              <w:rPr>
                <w:rFonts w:hint="eastAsia" w:ascii="仿宋_GB2312" w:hAnsi="宋体"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spacing w:val="-12"/>
                <w:kern w:val="0"/>
                <w:sz w:val="18"/>
                <w:szCs w:val="18"/>
              </w:rPr>
            </w:pPr>
            <w:r>
              <w:rPr>
                <w:rFonts w:hint="eastAsia" w:ascii="仿宋_GB2312" w:hAnsi="宋体"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过  程</w:t>
            </w:r>
          </w:p>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资产管理</w:t>
            </w:r>
            <w:r>
              <w:rPr>
                <w:rFonts w:hint="eastAsia" w:ascii="仿宋_GB2312" w:hAnsi="宋体" w:cs="宋体"/>
                <w:kern w:val="0"/>
                <w:sz w:val="18"/>
                <w:szCs w:val="18"/>
              </w:rPr>
              <w:br w:type="textWrapping"/>
            </w:r>
            <w:r>
              <w:rPr>
                <w:rFonts w:hint="eastAsia" w:ascii="仿宋_GB2312" w:hAnsi="宋体"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资产管理安全性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jc w:val="left"/>
              <w:textAlignment w:val="auto"/>
              <w:rPr>
                <w:rFonts w:ascii="仿宋_GB2312" w:hAnsi="宋体" w:cs="宋体"/>
                <w:kern w:val="0"/>
                <w:sz w:val="18"/>
                <w:szCs w:val="18"/>
              </w:rPr>
            </w:pPr>
            <w:r>
              <w:rPr>
                <w:rFonts w:hint="eastAsia" w:ascii="仿宋_GB2312" w:hAnsi="宋体" w:cs="宋体"/>
                <w:kern w:val="0"/>
                <w:sz w:val="18"/>
                <w:szCs w:val="18"/>
              </w:rPr>
              <w:t>①资产保存完整；</w:t>
            </w:r>
            <w:r>
              <w:rPr>
                <w:rFonts w:hint="eastAsia" w:ascii="仿宋_GB2312" w:hAnsi="宋体" w:cs="宋体"/>
                <w:kern w:val="0"/>
                <w:sz w:val="18"/>
                <w:szCs w:val="18"/>
              </w:rPr>
              <w:br w:type="textWrapping"/>
            </w:r>
            <w:r>
              <w:rPr>
                <w:rFonts w:hint="eastAsia" w:ascii="仿宋_GB2312" w:hAnsi="宋体" w:cs="宋体"/>
                <w:kern w:val="0"/>
                <w:sz w:val="18"/>
                <w:szCs w:val="18"/>
              </w:rPr>
              <w:t>②资产配置合理；</w:t>
            </w:r>
            <w:r>
              <w:rPr>
                <w:rFonts w:hint="eastAsia" w:ascii="仿宋_GB2312" w:hAnsi="宋体" w:cs="宋体"/>
                <w:kern w:val="0"/>
                <w:sz w:val="18"/>
                <w:szCs w:val="18"/>
              </w:rPr>
              <w:br w:type="textWrapping"/>
            </w:r>
            <w:r>
              <w:rPr>
                <w:rFonts w:hint="eastAsia" w:ascii="仿宋_GB2312" w:hAnsi="宋体" w:cs="宋体"/>
                <w:kern w:val="0"/>
                <w:sz w:val="18"/>
                <w:szCs w:val="18"/>
              </w:rPr>
              <w:t xml:space="preserve">③资产处置规范； </w:t>
            </w:r>
            <w:r>
              <w:rPr>
                <w:rFonts w:hint="eastAsia" w:ascii="仿宋_GB2312" w:hAnsi="宋体" w:cs="宋体"/>
                <w:kern w:val="0"/>
                <w:sz w:val="18"/>
                <w:szCs w:val="18"/>
              </w:rPr>
              <w:br w:type="textWrapping"/>
            </w:r>
            <w:r>
              <w:rPr>
                <w:rFonts w:hint="eastAsia" w:ascii="仿宋_GB2312" w:hAnsi="宋体" w:cs="宋体"/>
                <w:kern w:val="0"/>
                <w:sz w:val="18"/>
                <w:szCs w:val="18"/>
              </w:rPr>
              <w:t>④资产账务管理合规，帐实相符；</w:t>
            </w:r>
            <w:r>
              <w:rPr>
                <w:rFonts w:hint="eastAsia" w:ascii="仿宋_GB2312" w:hAnsi="宋体" w:cs="宋体"/>
                <w:kern w:val="0"/>
                <w:sz w:val="18"/>
                <w:szCs w:val="18"/>
              </w:rPr>
              <w:br w:type="textWrapping"/>
            </w:r>
            <w:r>
              <w:rPr>
                <w:rFonts w:hint="eastAsia" w:ascii="仿宋_GB2312" w:hAnsi="宋体" w:cs="宋体"/>
                <w:kern w:val="0"/>
                <w:sz w:val="18"/>
                <w:szCs w:val="18"/>
              </w:rPr>
              <w:t>⑤资产有偿使用及处置收入及时足额上缴；</w:t>
            </w:r>
            <w:r>
              <w:rPr>
                <w:rFonts w:hint="eastAsia" w:ascii="仿宋_GB2312" w:hAnsi="宋体" w:cs="宋体"/>
                <w:kern w:val="0"/>
                <w:sz w:val="18"/>
                <w:szCs w:val="18"/>
              </w:rPr>
              <w:br w:type="textWrapping"/>
            </w:r>
            <w:r>
              <w:rPr>
                <w:rFonts w:hint="eastAsia" w:ascii="仿宋_GB2312" w:hAnsi="宋体"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固定资产利用率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职责履行</w:t>
            </w:r>
            <w:r>
              <w:rPr>
                <w:rFonts w:hint="eastAsia" w:ascii="仿宋_GB2312" w:hAnsi="宋体" w:cs="宋体"/>
                <w:kern w:val="0"/>
                <w:sz w:val="18"/>
                <w:szCs w:val="18"/>
              </w:rPr>
              <w:br w:type="textWrapping"/>
            </w:r>
            <w:r>
              <w:rPr>
                <w:rFonts w:hint="eastAsia" w:ascii="仿宋_GB2312" w:hAnsi="宋体"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工作任务完成率</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本部门单位根据实际工作任务、完成情况进行自评打分。</w:t>
            </w:r>
            <w:r>
              <w:rPr>
                <w:rFonts w:hint="eastAsia" w:ascii="仿宋_GB2312" w:hAnsi="宋体"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履职完成情况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项目实施完成情况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工作质量情况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工作发展</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重点工作办理情况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4</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180" w:firstLineChars="100"/>
              <w:textAlignment w:val="auto"/>
              <w:rPr>
                <w:rFonts w:ascii="仿宋_GB2312" w:hAnsi="宋体" w:cs="宋体"/>
                <w:kern w:val="0"/>
                <w:sz w:val="18"/>
                <w:szCs w:val="18"/>
              </w:rPr>
            </w:pPr>
            <w:r>
              <w:rPr>
                <w:rFonts w:hint="eastAsia" w:ascii="仿宋_GB2312" w:hAnsi="宋体" w:cs="宋体"/>
                <w:kern w:val="0"/>
                <w:sz w:val="18"/>
                <w:szCs w:val="18"/>
              </w:rPr>
              <w:t>效  果</w:t>
            </w:r>
            <w:r>
              <w:rPr>
                <w:rFonts w:hint="eastAsia" w:ascii="仿宋_GB2312" w:hAnsi="宋体" w:cs="宋体"/>
                <w:kern w:val="0"/>
                <w:sz w:val="18"/>
                <w:szCs w:val="18"/>
              </w:rPr>
              <w:br w:type="textWrapping"/>
            </w:r>
            <w:r>
              <w:rPr>
                <w:rFonts w:hint="eastAsia" w:ascii="仿宋_GB2312" w:hAnsi="宋体"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履职效益</w:t>
            </w:r>
            <w:r>
              <w:rPr>
                <w:rFonts w:hint="eastAsia" w:ascii="仿宋_GB2312" w:hAnsi="宋体" w:cs="宋体"/>
                <w:kern w:val="0"/>
                <w:sz w:val="18"/>
                <w:szCs w:val="18"/>
              </w:rPr>
              <w:br w:type="textWrapping"/>
            </w:r>
            <w:r>
              <w:rPr>
                <w:rFonts w:hint="eastAsia" w:ascii="仿宋_GB2312" w:hAnsi="宋体"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通过对社会公众或部门（单位）的服务对象对部门履职效果的满意程度调查，反映和考核社会公众或服务对象对部门履职的满意度。</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0</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textAlignment w:val="auto"/>
              <w:rPr>
                <w:rFonts w:ascii="仿宋_GB2312" w:hAnsi="宋体"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9</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610" w:lineRule="exact"/>
              <w:ind w:left="0" w:leftChars="0" w:firstLine="360"/>
              <w:textAlignment w:val="auto"/>
              <w:rPr>
                <w:rFonts w:ascii="仿宋_GB2312" w:hAnsi="宋体"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6</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kern w:val="0"/>
                <w:sz w:val="18"/>
                <w:szCs w:val="18"/>
              </w:rPr>
            </w:pPr>
            <w:r>
              <w:rPr>
                <w:rFonts w:hint="eastAsia" w:ascii="仿宋_GB2312" w:hAnsi="宋体"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95%（含）以上计5分；</w:t>
            </w:r>
          </w:p>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85%（含）-95%，计3分；</w:t>
            </w:r>
          </w:p>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75%（含）-85%，计1分；</w:t>
            </w:r>
          </w:p>
          <w:p>
            <w:pPr>
              <w:keepNext w:val="0"/>
              <w:keepLines w:val="0"/>
              <w:pageBreakBefore w:val="0"/>
              <w:widowControl/>
              <w:kinsoku/>
              <w:wordWrap/>
              <w:overflowPunct/>
              <w:topLinePunct w:val="0"/>
              <w:bidi w:val="0"/>
              <w:spacing w:line="610" w:lineRule="exact"/>
              <w:ind w:left="0" w:leftChars="0" w:firstLine="360"/>
              <w:jc w:val="left"/>
              <w:textAlignment w:val="auto"/>
              <w:rPr>
                <w:rFonts w:ascii="仿宋_GB2312" w:hAnsi="宋体" w:cs="宋体"/>
                <w:kern w:val="0"/>
                <w:sz w:val="18"/>
                <w:szCs w:val="18"/>
              </w:rPr>
            </w:pPr>
            <w:r>
              <w:rPr>
                <w:rFonts w:hint="eastAsia" w:ascii="仿宋_GB2312" w:hAnsi="宋体"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99" w:firstLineChars="111"/>
              <w:textAlignment w:val="auto"/>
              <w:rPr>
                <w:rFonts w:ascii="仿宋_GB2312" w:hAnsi="宋体" w:cs="宋体"/>
                <w:kern w:val="0"/>
                <w:sz w:val="18"/>
                <w:szCs w:val="18"/>
              </w:rPr>
            </w:pPr>
            <w:r>
              <w:rPr>
                <w:rFonts w:hint="eastAsia" w:ascii="仿宋_GB2312" w:hAnsi="宋体" w:cs="宋体"/>
                <w:kern w:val="0"/>
                <w:sz w:val="18"/>
                <w:szCs w:val="18"/>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0"/>
              <w:jc w:val="center"/>
              <w:textAlignment w:val="auto"/>
              <w:rPr>
                <w:rFonts w:ascii="仿宋_GB2312" w:hAnsi="宋体"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kern w:val="0"/>
                <w:sz w:val="18"/>
                <w:szCs w:val="18"/>
              </w:rPr>
            </w:pPr>
            <w:r>
              <w:rPr>
                <w:rFonts w:hint="eastAsia" w:ascii="仿宋_GB2312" w:hAnsi="宋体"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1"/>
              <w:jc w:val="center"/>
              <w:textAlignment w:val="auto"/>
              <w:rPr>
                <w:rFonts w:ascii="仿宋_GB2312" w:hAnsi="宋体"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1"/>
              <w:jc w:val="center"/>
              <w:textAlignment w:val="auto"/>
              <w:rPr>
                <w:rFonts w:ascii="仿宋_GB2312" w:hAnsi="宋体"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1"/>
              <w:jc w:val="center"/>
              <w:textAlignment w:val="auto"/>
              <w:rPr>
                <w:rFonts w:ascii="仿宋_GB2312" w:hAnsi="宋体"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textAlignment w:val="auto"/>
              <w:rPr>
                <w:rFonts w:ascii="仿宋_GB2312" w:hAnsi="宋体" w:cs="宋体"/>
                <w:b/>
                <w:bCs/>
                <w:spacing w:val="-8"/>
                <w:kern w:val="0"/>
                <w:sz w:val="18"/>
                <w:szCs w:val="18"/>
              </w:rPr>
            </w:pPr>
            <w:r>
              <w:rPr>
                <w:rFonts w:hint="eastAsia" w:ascii="仿宋_GB2312" w:hAnsi="宋体"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181" w:firstLineChars="100"/>
              <w:textAlignment w:val="auto"/>
              <w:rPr>
                <w:rFonts w:hint="eastAsia" w:ascii="仿宋_GB2312" w:hAnsi="宋体" w:eastAsia="方正仿宋" w:cs="宋体"/>
                <w:b/>
                <w:bCs/>
                <w:kern w:val="0"/>
                <w:sz w:val="18"/>
                <w:szCs w:val="18"/>
                <w:lang w:eastAsia="zh-CN"/>
              </w:rPr>
            </w:pPr>
            <w:r>
              <w:rPr>
                <w:rFonts w:hint="eastAsia" w:ascii="仿宋_GB2312" w:hAnsi="宋体" w:cs="宋体"/>
                <w:b/>
                <w:bCs/>
                <w:kern w:val="0"/>
                <w:sz w:val="18"/>
                <w:szCs w:val="18"/>
              </w:rPr>
              <w:t>9</w:t>
            </w:r>
            <w:r>
              <w:rPr>
                <w:rFonts w:hint="eastAsia" w:ascii="仿宋_GB2312" w:hAnsi="宋体" w:cs="宋体"/>
                <w:b/>
                <w:bCs/>
                <w:kern w:val="0"/>
                <w:sz w:val="18"/>
                <w:szCs w:val="18"/>
                <w:lang w:val="en-US" w:eastAsia="zh-CN"/>
              </w:rPr>
              <w:t>9</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10" w:lineRule="exact"/>
              <w:ind w:left="0" w:leftChars="0" w:firstLine="361"/>
              <w:jc w:val="center"/>
              <w:textAlignment w:val="auto"/>
              <w:rPr>
                <w:rFonts w:ascii="仿宋_GB2312" w:hAnsi="宋体" w:cs="宋体"/>
                <w:b/>
                <w:bCs/>
                <w:kern w:val="0"/>
                <w:sz w:val="18"/>
                <w:szCs w:val="18"/>
              </w:rPr>
            </w:pPr>
          </w:p>
        </w:tc>
      </w:tr>
    </w:tbl>
    <w:p>
      <w:pPr>
        <w:pStyle w:val="7"/>
        <w:keepNext w:val="0"/>
        <w:keepLines w:val="0"/>
        <w:pageBreakBefore w:val="0"/>
        <w:widowControl w:val="0"/>
        <w:numPr>
          <w:ilvl w:val="0"/>
          <w:numId w:val="1"/>
        </w:numPr>
        <w:kinsoku/>
        <w:wordWrap/>
        <w:overflowPunct/>
        <w:topLinePunct w:val="0"/>
        <w:autoSpaceDE/>
        <w:autoSpaceDN/>
        <w:bidi w:val="0"/>
        <w:spacing w:line="580" w:lineRule="exact"/>
        <w:ind w:left="0" w:leftChars="0" w:firstLine="643" w:firstLineChars="200"/>
        <w:textAlignment w:val="auto"/>
        <w:rPr>
          <w:rFonts w:hint="eastAsia" w:ascii="仿宋_GB2312" w:hAnsi="仿宋_GB2312" w:cs="仿宋_GB2312"/>
          <w:b/>
          <w:szCs w:val="32"/>
        </w:rPr>
      </w:pPr>
      <w:r>
        <w:rPr>
          <w:rFonts w:hint="eastAsia" w:ascii="仿宋_GB2312" w:hAnsi="仿宋_GB2312" w:cs="仿宋_GB2312"/>
          <w:b/>
          <w:szCs w:val="32"/>
        </w:rPr>
        <w:t>部门整体支出绩效评价分析</w:t>
      </w:r>
    </w:p>
    <w:p>
      <w:pPr>
        <w:pStyle w:val="7"/>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default" w:ascii="楷体_GB2312" w:hAnsi="宋体" w:eastAsia="楷体_GB2312" w:cs="Times New Roman"/>
          <w:b/>
          <w:szCs w:val="32"/>
          <w:lang w:val="en-US" w:eastAsia="zh-CN"/>
        </w:rPr>
      </w:pPr>
      <w:r>
        <w:rPr>
          <w:rFonts w:hint="default" w:ascii="楷体_GB2312" w:hAnsi="宋体" w:eastAsia="楷体_GB2312" w:cs="Times New Roman"/>
          <w:b/>
          <w:szCs w:val="32"/>
          <w:lang w:val="en-US" w:eastAsia="zh-CN"/>
        </w:rPr>
        <w:t xml:space="preserve">（一）投入情况分析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eastAsia="仿宋_GB2312"/>
          <w:b/>
          <w:bCs/>
          <w:sz w:val="32"/>
          <w:szCs w:val="32"/>
          <w:lang w:val="en-US" w:eastAsia="zh-CN"/>
        </w:rPr>
      </w:pPr>
      <w:r>
        <w:rPr>
          <w:rFonts w:hint="default" w:ascii="仿宋_GB2312" w:eastAsia="仿宋_GB2312"/>
          <w:b/>
          <w:bCs/>
          <w:sz w:val="32"/>
          <w:szCs w:val="32"/>
          <w:lang w:val="en-US" w:eastAsia="zh-CN"/>
        </w:rPr>
        <w:t>1．</w:t>
      </w:r>
      <w:r>
        <w:rPr>
          <w:rFonts w:hint="eastAsia" w:ascii="仿宋_GB2312" w:eastAsia="仿宋_GB2312"/>
          <w:b/>
          <w:bCs/>
          <w:sz w:val="32"/>
          <w:szCs w:val="32"/>
          <w:lang w:val="en-US" w:eastAsia="zh-CN"/>
        </w:rPr>
        <w:t>预算编制</w:t>
      </w:r>
      <w:r>
        <w:rPr>
          <w:rFonts w:hint="default" w:ascii="仿宋_GB2312" w:eastAsia="仿宋_GB2312"/>
          <w:b/>
          <w:bCs/>
          <w:sz w:val="32"/>
          <w:szCs w:val="32"/>
          <w:lang w:val="en-US" w:eastAsia="zh-CN"/>
        </w:rPr>
        <w:t>情况分析</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基础数据信息真实、完整、准确，为单位预算编制数据提供支撑，年度预算总体绩效目标和具体绩效目标制定依据充分，符合客观实际。项目预算和决算不存在较大差异，绩效指标均与本年度的部门预算资金相匹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按照预算管理有关规定，202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年部门支出预算，仅包括机关本级预算。202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年支出预算</w:t>
      </w:r>
      <w:r>
        <w:rPr>
          <w:rFonts w:hint="eastAsia" w:ascii="仿宋_GB2312" w:hAnsi="宋体" w:cs="宋体"/>
          <w:kern w:val="0"/>
          <w:sz w:val="32"/>
          <w:szCs w:val="32"/>
          <w:lang w:val="en-US" w:eastAsia="zh-CN"/>
        </w:rPr>
        <w:t>1821.84</w:t>
      </w:r>
      <w:r>
        <w:rPr>
          <w:rFonts w:hint="eastAsia" w:ascii="仿宋_GB2312" w:hAnsi="宋体" w:eastAsia="仿宋_GB2312" w:cs="宋体"/>
          <w:kern w:val="0"/>
          <w:sz w:val="32"/>
          <w:szCs w:val="32"/>
          <w:lang w:eastAsia="zh-CN"/>
        </w:rPr>
        <w:t>万元，比202</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lang w:eastAsia="zh-CN"/>
        </w:rPr>
        <w:t>年预算</w:t>
      </w:r>
      <w:r>
        <w:rPr>
          <w:rFonts w:hint="eastAsia" w:ascii="仿宋_GB2312" w:hAnsi="宋体" w:cs="宋体"/>
          <w:kern w:val="0"/>
          <w:sz w:val="32"/>
          <w:szCs w:val="32"/>
          <w:lang w:eastAsia="zh-CN"/>
        </w:rPr>
        <w:t>减少</w:t>
      </w:r>
      <w:r>
        <w:rPr>
          <w:rFonts w:hint="eastAsia" w:ascii="仿宋_GB2312" w:hAnsi="宋体" w:cs="宋体"/>
          <w:kern w:val="0"/>
          <w:sz w:val="32"/>
          <w:szCs w:val="32"/>
          <w:lang w:val="en-US" w:eastAsia="zh-CN"/>
        </w:rPr>
        <w:t>1257.82</w:t>
      </w:r>
      <w:r>
        <w:rPr>
          <w:rFonts w:hint="eastAsia" w:ascii="仿宋_GB2312" w:hAnsi="宋体" w:eastAsia="仿宋_GB2312" w:cs="宋体"/>
          <w:kern w:val="0"/>
          <w:sz w:val="32"/>
          <w:szCs w:val="32"/>
          <w:lang w:eastAsia="zh-CN"/>
        </w:rPr>
        <w:t>万元，</w:t>
      </w:r>
      <w:r>
        <w:rPr>
          <w:rFonts w:hint="eastAsia" w:ascii="仿宋_GB2312" w:hAnsi="宋体" w:cs="宋体"/>
          <w:kern w:val="0"/>
          <w:sz w:val="32"/>
          <w:szCs w:val="32"/>
          <w:lang w:eastAsia="zh-CN"/>
        </w:rPr>
        <w:t>下降</w:t>
      </w:r>
      <w:r>
        <w:rPr>
          <w:rFonts w:hint="eastAsia" w:ascii="仿宋_GB2312" w:hAnsi="宋体" w:cs="宋体"/>
          <w:kern w:val="0"/>
          <w:sz w:val="32"/>
          <w:szCs w:val="32"/>
          <w:lang w:val="en-US" w:eastAsia="zh-CN"/>
        </w:rPr>
        <w:t>40.84</w:t>
      </w:r>
      <w:r>
        <w:rPr>
          <w:rFonts w:hint="eastAsia" w:ascii="仿宋_GB2312" w:hAnsi="宋体" w:eastAsia="仿宋_GB2312" w:cs="宋体"/>
          <w:kern w:val="0"/>
          <w:sz w:val="32"/>
          <w:szCs w:val="32"/>
          <w:lang w:eastAsia="zh-CN"/>
        </w:rPr>
        <w:t>％，</w:t>
      </w:r>
      <w:r>
        <w:rPr>
          <w:rFonts w:hint="eastAsia" w:ascii="仿宋_GB2312" w:hAnsi="宋体" w:cs="宋体"/>
          <w:kern w:val="0"/>
          <w:sz w:val="32"/>
          <w:szCs w:val="32"/>
          <w:lang w:eastAsia="zh-CN"/>
        </w:rPr>
        <w:t>下降</w:t>
      </w:r>
      <w:r>
        <w:rPr>
          <w:rFonts w:hint="eastAsia" w:ascii="仿宋_GB2312" w:hAnsi="宋体" w:eastAsia="仿宋_GB2312" w:cs="宋体"/>
          <w:kern w:val="0"/>
          <w:sz w:val="32"/>
          <w:szCs w:val="32"/>
          <w:lang w:eastAsia="zh-CN"/>
        </w:rPr>
        <w:t>的主要原因是202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w:t>
      </w:r>
      <w:r>
        <w:rPr>
          <w:rFonts w:hint="eastAsia" w:ascii="仿宋_GB2312" w:hAnsi="宋体" w:cs="宋体"/>
          <w:kern w:val="0"/>
          <w:sz w:val="32"/>
          <w:szCs w:val="32"/>
          <w:lang w:eastAsia="zh-CN"/>
        </w:rPr>
        <w:t>各类项目资金减少</w:t>
      </w:r>
      <w:r>
        <w:rPr>
          <w:rFonts w:hint="eastAsia" w:ascii="仿宋_GB2312" w:hAnsi="宋体" w:eastAsia="仿宋_GB2312" w:cs="宋体"/>
          <w:kern w:val="0"/>
          <w:sz w:val="32"/>
          <w:szCs w:val="32"/>
          <w:lang w:eastAsia="zh-CN"/>
        </w:rPr>
        <w:t>。当年财政拨款主要是：一般公共服务支出</w:t>
      </w:r>
      <w:r>
        <w:rPr>
          <w:rFonts w:hint="eastAsia" w:ascii="仿宋_GB2312" w:hAnsi="宋体" w:cs="宋体"/>
          <w:kern w:val="0"/>
          <w:sz w:val="32"/>
          <w:szCs w:val="32"/>
          <w:lang w:val="en-US" w:eastAsia="zh-CN"/>
        </w:rPr>
        <w:t>1568.26</w:t>
      </w:r>
      <w:r>
        <w:rPr>
          <w:rFonts w:hint="eastAsia" w:ascii="仿宋_GB2312" w:hAnsi="宋体" w:eastAsia="仿宋_GB2312" w:cs="宋体"/>
          <w:kern w:val="0"/>
          <w:sz w:val="32"/>
          <w:szCs w:val="32"/>
          <w:lang w:eastAsia="zh-CN"/>
        </w:rPr>
        <w:t>万元、社会保障和就业支出</w:t>
      </w:r>
      <w:r>
        <w:rPr>
          <w:rFonts w:hint="eastAsia" w:ascii="仿宋_GB2312" w:hAnsi="宋体" w:cs="宋体"/>
          <w:kern w:val="0"/>
          <w:sz w:val="32"/>
          <w:szCs w:val="32"/>
          <w:lang w:val="en-US" w:eastAsia="zh-CN"/>
        </w:rPr>
        <w:t>111.92</w:t>
      </w:r>
      <w:r>
        <w:rPr>
          <w:rFonts w:hint="eastAsia" w:ascii="仿宋_GB2312" w:hAnsi="宋体" w:eastAsia="仿宋_GB2312" w:cs="宋体"/>
          <w:kern w:val="0"/>
          <w:sz w:val="32"/>
          <w:szCs w:val="32"/>
          <w:lang w:eastAsia="zh-CN"/>
        </w:rPr>
        <w:t>万元、卫生健康支出</w:t>
      </w:r>
      <w:r>
        <w:rPr>
          <w:rFonts w:hint="eastAsia" w:ascii="仿宋_GB2312" w:hAnsi="宋体" w:cs="宋体"/>
          <w:kern w:val="0"/>
          <w:sz w:val="32"/>
          <w:szCs w:val="32"/>
          <w:lang w:val="en-US" w:eastAsia="zh-CN"/>
        </w:rPr>
        <w:t>62.6</w:t>
      </w:r>
      <w:r>
        <w:rPr>
          <w:rFonts w:hint="eastAsia" w:ascii="仿宋_GB2312" w:hAnsi="宋体" w:eastAsia="仿宋_GB2312" w:cs="宋体"/>
          <w:kern w:val="0"/>
          <w:sz w:val="32"/>
          <w:szCs w:val="32"/>
          <w:lang w:eastAsia="zh-CN"/>
        </w:rPr>
        <w:t>万元、住房保障支出</w:t>
      </w:r>
      <w:r>
        <w:rPr>
          <w:rFonts w:hint="eastAsia" w:ascii="仿宋_GB2312" w:hAnsi="宋体" w:cs="宋体"/>
          <w:kern w:val="0"/>
          <w:sz w:val="32"/>
          <w:szCs w:val="32"/>
          <w:lang w:val="en-US" w:eastAsia="zh-CN"/>
        </w:rPr>
        <w:t>79.06</w:t>
      </w:r>
      <w:r>
        <w:rPr>
          <w:rFonts w:hint="eastAsia" w:ascii="仿宋_GB2312" w:hAnsi="宋体" w:eastAsia="仿宋_GB2312" w:cs="宋体"/>
          <w:kern w:val="0"/>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2．预算配置情况分析</w:t>
      </w:r>
    </w:p>
    <w:p>
      <w:pPr>
        <w:keepNext w:val="0"/>
        <w:keepLines w:val="0"/>
        <w:pageBreakBefore w:val="0"/>
        <w:widowControl w:val="0"/>
        <w:numPr>
          <w:ilvl w:val="0"/>
          <w:numId w:val="0"/>
        </w:numPr>
        <w:kinsoku/>
        <w:wordWrap/>
        <w:overflowPunct/>
        <w:topLinePunct w:val="0"/>
        <w:autoSpaceDE/>
        <w:autoSpaceDN/>
        <w:bidi w:val="0"/>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三公经费严格按照年初预算执行，较上年度未超支，差旅费和公务接待费严格控制标准，坚决杜绝超支。对政府安排的重点项目，优先资源配置，保证项目按时完成。在职人员严格按照编办、人社部门下达的批复文件运行，未有超编制运行现象发生。</w:t>
      </w:r>
    </w:p>
    <w:p>
      <w:pPr>
        <w:keepNext w:val="0"/>
        <w:keepLines w:val="0"/>
        <w:pageBreakBefore w:val="0"/>
        <w:widowControl w:val="0"/>
        <w:kinsoku/>
        <w:wordWrap/>
        <w:overflowPunct/>
        <w:topLinePunct w:val="0"/>
        <w:bidi w:val="0"/>
        <w:snapToGrid w:val="0"/>
        <w:spacing w:line="580" w:lineRule="exact"/>
        <w:ind w:left="0" w:leftChars="0" w:firstLine="482"/>
        <w:textAlignment w:val="auto"/>
        <w:rPr>
          <w:rFonts w:hint="eastAsia" w:ascii="楷体_GB2312" w:hAnsi="宋体" w:eastAsia="楷体_GB2312" w:cs="Times New Roman"/>
          <w:b/>
          <w:szCs w:val="32"/>
          <w:lang w:val="en-US" w:eastAsia="zh-CN"/>
        </w:rPr>
      </w:pPr>
      <w:r>
        <w:rPr>
          <w:rFonts w:hint="default" w:ascii="楷体_GB2312" w:hAnsi="宋体" w:eastAsia="楷体_GB2312" w:cs="Times New Roman"/>
          <w:b/>
          <w:szCs w:val="32"/>
          <w:lang w:val="en-US" w:eastAsia="zh-CN"/>
        </w:rPr>
        <w:t>（二）</w:t>
      </w:r>
      <w:r>
        <w:rPr>
          <w:rFonts w:hint="eastAsia" w:ascii="楷体_GB2312" w:hAnsi="宋体" w:eastAsia="楷体_GB2312" w:cs="Times New Roman"/>
          <w:b/>
          <w:szCs w:val="32"/>
          <w:lang w:val="en-US" w:eastAsia="zh-CN"/>
        </w:rPr>
        <w:t>过程情况分析</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1．预算执行情况分析</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金支付均通过财政支付大平台进行资金支付计划申报、审核申报，经财政业务主管部门审核后再进行支付申报，严格履行支付流程和规定，严格按年初各项资金预算的项目、功能、类别及用途支付，没有超预算规定支付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2．预算管理情况分析</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管理制度健全、制度执行有效、资金的使用严格把关，不存在违规违法的问题，预决算信息全部按照财政要求在相应网站公开，财务信息制度完善。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w:t>
      </w: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资产管理情况分析</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资产管理制度健全，安排专人对各类资产造册登记，并按照“谁使用，谁管理，谁负责”的原则执行财产管理，将使用的财产分门别类归口到部门办公室及相应的个人名下，以保证财产的安全完整。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至202</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lang w:eastAsia="zh-CN"/>
        </w:rPr>
        <w:t>年12月31日，本部门共有车辆</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辆，其中，其他用车</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辆。</w:t>
      </w:r>
    </w:p>
    <w:p>
      <w:pPr>
        <w:keepNext w:val="0"/>
        <w:keepLines w:val="0"/>
        <w:pageBreakBefore w:val="0"/>
        <w:widowControl w:val="0"/>
        <w:kinsoku/>
        <w:wordWrap/>
        <w:overflowPunct/>
        <w:topLinePunct w:val="0"/>
        <w:bidi w:val="0"/>
        <w:snapToGrid w:val="0"/>
        <w:spacing w:line="580" w:lineRule="exact"/>
        <w:ind w:left="0" w:leftChars="0" w:firstLine="482"/>
        <w:textAlignment w:val="auto"/>
        <w:rPr>
          <w:rFonts w:hint="default" w:ascii="楷体_GB2312" w:hAnsi="宋体" w:eastAsia="楷体_GB2312" w:cs="Times New Roman"/>
          <w:b/>
          <w:szCs w:val="32"/>
          <w:lang w:val="en-US" w:eastAsia="zh-CN"/>
        </w:rPr>
      </w:pPr>
      <w:r>
        <w:rPr>
          <w:rFonts w:hint="default" w:ascii="楷体_GB2312" w:hAnsi="宋体" w:eastAsia="楷体_GB2312" w:cs="Times New Roman"/>
          <w:b/>
          <w:szCs w:val="32"/>
          <w:lang w:val="en-US" w:eastAsia="zh-CN"/>
        </w:rPr>
        <w:t>（三）</w:t>
      </w:r>
      <w:r>
        <w:rPr>
          <w:rFonts w:hint="eastAsia" w:ascii="楷体_GB2312" w:hAnsi="宋体" w:eastAsia="楷体_GB2312" w:cs="Times New Roman"/>
          <w:b/>
          <w:szCs w:val="32"/>
          <w:lang w:val="en-US" w:eastAsia="zh-CN"/>
        </w:rPr>
        <w:t>产出</w:t>
      </w:r>
      <w:r>
        <w:rPr>
          <w:rFonts w:hint="default" w:ascii="楷体_GB2312" w:hAnsi="宋体" w:eastAsia="楷体_GB2312" w:cs="Times New Roman"/>
          <w:b/>
          <w:szCs w:val="32"/>
          <w:lang w:val="en-US" w:eastAsia="zh-CN"/>
        </w:rPr>
        <w:t>情况分析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b/>
          <w:bCs/>
          <w:sz w:val="32"/>
          <w:szCs w:val="32"/>
          <w:lang w:val="en-US" w:eastAsia="zh-CN"/>
        </w:rPr>
        <w:t>职责履行方面：</w:t>
      </w:r>
      <w:r>
        <w:rPr>
          <w:rFonts w:hint="eastAsia" w:ascii="仿宋_GB2312" w:hAnsi="仿宋_GB2312" w:eastAsia="仿宋_GB2312" w:cs="仿宋_GB2312"/>
          <w:color w:val="auto"/>
          <w:sz w:val="32"/>
          <w:szCs w:val="32"/>
          <w:highlight w:val="none"/>
          <w:u w:val="none"/>
          <w:lang w:val="en-US" w:eastAsia="zh-CN"/>
        </w:rPr>
        <w:t>2023年，</w:t>
      </w:r>
      <w:r>
        <w:rPr>
          <w:rFonts w:hint="eastAsia" w:ascii="仿宋_GB2312" w:hAnsi="仿宋_GB2312" w:eastAsia="仿宋_GB2312"/>
          <w:spacing w:val="0"/>
          <w:sz w:val="32"/>
          <w:szCs w:val="32"/>
          <w:lang w:val="en-US" w:eastAsia="zh-CN"/>
        </w:rPr>
        <w:t>在县委、县政府和镇党委的坚强领导下，我们坚持以习近平新时代中国特色社会主义思想为指导，</w:t>
      </w:r>
      <w:r>
        <w:rPr>
          <w:rFonts w:hint="eastAsia" w:ascii="仿宋_GB2312" w:hAnsi="仿宋_GB2312" w:eastAsia="仿宋_GB2312" w:cs="仿宋_GB2312"/>
          <w:sz w:val="32"/>
          <w:szCs w:val="32"/>
          <w:lang w:eastAsia="zh-CN"/>
        </w:rPr>
        <w:t>全面贯彻落实党的二十大精神和</w:t>
      </w:r>
      <w:r>
        <w:rPr>
          <w:rFonts w:hint="eastAsia" w:ascii="仿宋_GB2312" w:hAnsi="仿宋_GB2312" w:eastAsia="仿宋_GB2312" w:cs="仿宋_GB2312"/>
          <w:sz w:val="32"/>
          <w:szCs w:val="32"/>
        </w:rPr>
        <w:t>习近平总书记对甘肃重要讲话</w:t>
      </w:r>
      <w:r>
        <w:rPr>
          <w:rFonts w:hint="eastAsia" w:ascii="仿宋_GB2312" w:hAnsi="仿宋_GB2312" w:eastAsia="仿宋_GB2312" w:cs="仿宋_GB2312"/>
          <w:sz w:val="32"/>
          <w:szCs w:val="32"/>
          <w:lang w:eastAsia="zh-CN"/>
        </w:rPr>
        <w:t>重要指示批示</w:t>
      </w:r>
      <w:r>
        <w:rPr>
          <w:rFonts w:hint="eastAsia" w:ascii="仿宋_GB2312" w:hAnsi="仿宋_GB2312" w:eastAsia="仿宋_GB2312" w:cs="Times New Roman"/>
          <w:spacing w:val="0"/>
          <w:sz w:val="32"/>
          <w:szCs w:val="32"/>
          <w:lang w:val="en-US" w:eastAsia="zh-CN"/>
        </w:rPr>
        <w:t>精神，积极融入全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kern w:val="0"/>
          <w:sz w:val="32"/>
          <w:szCs w:val="32"/>
          <w:lang w:val="en-US" w:eastAsia="zh-CN"/>
        </w:rPr>
        <w:t>“一核四廊多点”空间布局和“一城五县”建设目标，</w:t>
      </w:r>
      <w:r>
        <w:rPr>
          <w:rFonts w:hint="eastAsia" w:ascii="仿宋_GB2312" w:hAnsi="仿宋_GB2312" w:eastAsia="仿宋_GB2312" w:cs="仿宋_GB2312"/>
          <w:spacing w:val="0"/>
          <w:sz w:val="32"/>
          <w:szCs w:val="32"/>
          <w:lang w:val="en-US" w:eastAsia="zh-CN"/>
        </w:rPr>
        <w:t>奋力打造现代农业强镇、城乡融合发展示范镇、生态宜居特色镇，精准发力稳增长、调结构、促改革，倾心尽力强镇域、谋发展、惠民生，推进了一批要事，办成了一批实事，解决了一批难题，保持了经济社会持续健康发展的良好态势。</w:t>
      </w:r>
      <w:r>
        <w:rPr>
          <w:rFonts w:hint="eastAsia" w:ascii="仿宋_GB2312" w:hAnsi="仿宋_GB2312" w:eastAsia="仿宋_GB2312" w:cs="仿宋_GB2312"/>
          <w:spacing w:val="6"/>
          <w:sz w:val="32"/>
          <w:szCs w:val="32"/>
          <w:lang w:val="en-US" w:eastAsia="zh-CN"/>
        </w:rPr>
        <w:t>预计2023年全镇农村经济总收入达12.18亿元，农民人均可支配收入22609元，同比增长9.3%。</w:t>
      </w:r>
      <w:r>
        <w:rPr>
          <w:rFonts w:hint="eastAsia" w:ascii="仿宋_GB2312" w:hAnsi="仿宋_GB2312" w:eastAsia="仿宋_GB2312" w:cs="仿宋_GB2312"/>
          <w:color w:val="auto"/>
          <w:sz w:val="32"/>
          <w:szCs w:val="32"/>
          <w:highlight w:val="none"/>
          <w:u w:val="none"/>
          <w:lang w:val="en-US" w:eastAsia="zh-CN"/>
        </w:rPr>
        <w:t>镇域内经济实力持续增强、产业结构不断优化、生态环境明显改善、农业改革成效显著、民生福祉保障有力、总体安全形势稳定向好，全镇经济社会各项事业发展稳步向前。</w:t>
      </w:r>
    </w:p>
    <w:p>
      <w:pPr>
        <w:keepNext w:val="0"/>
        <w:keepLines w:val="0"/>
        <w:pageBreakBefore w:val="0"/>
        <w:widowControl w:val="0"/>
        <w:kinsoku/>
        <w:wordWrap/>
        <w:overflowPunct/>
        <w:topLinePunct w:val="0"/>
        <w:bidi w:val="0"/>
        <w:snapToGrid w:val="0"/>
        <w:spacing w:line="580" w:lineRule="exact"/>
        <w:ind w:left="0" w:leftChars="0" w:firstLine="482"/>
        <w:textAlignment w:val="auto"/>
        <w:rPr>
          <w:rFonts w:hint="default" w:ascii="楷体_GB2312" w:hAnsi="宋体" w:eastAsia="楷体_GB2312" w:cs="Times New Roman"/>
          <w:b/>
          <w:szCs w:val="32"/>
          <w:lang w:val="en-US" w:eastAsia="zh-CN"/>
        </w:rPr>
      </w:pPr>
      <w:r>
        <w:rPr>
          <w:rFonts w:hint="default" w:ascii="楷体_GB2312" w:hAnsi="宋体" w:eastAsia="楷体_GB2312" w:cs="Times New Roman"/>
          <w:b/>
          <w:szCs w:val="32"/>
          <w:lang w:val="en-US" w:eastAsia="zh-CN"/>
        </w:rPr>
        <w:t>（四）</w:t>
      </w:r>
      <w:r>
        <w:rPr>
          <w:rFonts w:hint="eastAsia" w:ascii="楷体_GB2312" w:hAnsi="宋体" w:eastAsia="楷体_GB2312" w:cs="Times New Roman"/>
          <w:b/>
          <w:szCs w:val="32"/>
          <w:lang w:val="en-US" w:eastAsia="zh-CN"/>
        </w:rPr>
        <w:t>效益</w:t>
      </w:r>
      <w:r>
        <w:rPr>
          <w:rFonts w:hint="default" w:ascii="楷体_GB2312" w:hAnsi="宋体" w:eastAsia="楷体_GB2312" w:cs="Times New Roman"/>
          <w:b/>
          <w:szCs w:val="32"/>
          <w:lang w:val="en-US" w:eastAsia="zh-CN"/>
        </w:rPr>
        <w:t>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根据本单位干部人事管理相关制度，及办公室领导干部分工管理职责，对部门管理进行如下梳理：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0" w:firstLineChars="196"/>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b/>
          <w:color w:val="000000"/>
          <w:kern w:val="0"/>
          <w:sz w:val="32"/>
          <w:szCs w:val="32"/>
          <w:lang w:eastAsia="zh-CN"/>
        </w:rPr>
        <w:t>一是干部职工管理。</w:t>
      </w:r>
      <w:r>
        <w:rPr>
          <w:rFonts w:hint="eastAsia" w:ascii="仿宋_GB2312" w:hAnsi="宋体" w:eastAsia="仿宋_GB2312" w:cs="宋体"/>
          <w:kern w:val="0"/>
          <w:sz w:val="32"/>
          <w:szCs w:val="32"/>
          <w:lang w:val="en-US" w:eastAsia="zh-CN"/>
        </w:rPr>
        <w:t>为了加强干部职工管理，确保各项工作高效、有序开展，我单位注重人员管理、学习制度、业务能力提高，每月制定学习计划按时组织学习，提交学习笔记。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0" w:firstLineChars="196"/>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color w:val="000000"/>
          <w:kern w:val="0"/>
          <w:sz w:val="32"/>
          <w:szCs w:val="32"/>
          <w:lang w:val="en-US" w:eastAsia="zh-CN"/>
        </w:rPr>
        <w:t>二是财务管理。</w:t>
      </w:r>
      <w:r>
        <w:rPr>
          <w:rFonts w:hint="eastAsia" w:ascii="仿宋_GB2312" w:hAnsi="宋体" w:eastAsia="仿宋_GB2312" w:cs="宋体"/>
          <w:kern w:val="0"/>
          <w:sz w:val="32"/>
          <w:szCs w:val="32"/>
          <w:lang w:val="en-US" w:eastAsia="zh-CN"/>
        </w:rPr>
        <w:t>我单位按照国家规定《政府会计制度》执行，并制定《财务管理内控制度》，主要从以下方面进行分析：</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经费管理方面，年初单位财务人员负责做好年度内所需经费预算，呈分管领导和主</w:t>
      </w:r>
      <w:r>
        <w:rPr>
          <w:rFonts w:hint="eastAsia" w:ascii="仿宋_GB2312" w:hAnsi="宋体" w:cs="宋体"/>
          <w:kern w:val="0"/>
          <w:sz w:val="32"/>
          <w:szCs w:val="32"/>
          <w:lang w:val="en-US" w:eastAsia="zh-CN"/>
        </w:rPr>
        <w:t>要</w:t>
      </w:r>
      <w:r>
        <w:rPr>
          <w:rFonts w:hint="eastAsia" w:ascii="仿宋_GB2312" w:hAnsi="宋体" w:eastAsia="仿宋_GB2312" w:cs="宋体"/>
          <w:kern w:val="0"/>
          <w:sz w:val="32"/>
          <w:szCs w:val="32"/>
          <w:lang w:val="en-US" w:eastAsia="zh-CN"/>
        </w:rPr>
        <w:t>领导审核后，按财政要求上报财政审核，并按预算程序和计划执行；各项费用报销，应按财务管理制度执行，做到支有凭，付有据；办公室所有经费开支，不论金额大小，均由分管财务领导审签后付款；每月终，财务人员向分管领导和主管领导汇报本月资金收支情况，以确保财政预算资金用到实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cs="仿宋_GB2312"/>
          <w:b/>
          <w:szCs w:val="32"/>
        </w:rPr>
      </w:pPr>
      <w:r>
        <w:rPr>
          <w:rFonts w:hint="eastAsia" w:ascii="仿宋_GB2312" w:hAnsi="仿宋_GB2312" w:cs="仿宋_GB2312"/>
          <w:b/>
          <w:szCs w:val="32"/>
        </w:rPr>
        <w:t>四、履职完成情况</w:t>
      </w:r>
    </w:p>
    <w:p>
      <w:pPr>
        <w:keepNext w:val="0"/>
        <w:keepLines w:val="0"/>
        <w:pageBreakBefore w:val="0"/>
        <w:widowControl w:val="0"/>
        <w:kinsoku/>
        <w:wordWrap/>
        <w:overflowPunct/>
        <w:topLinePunct w:val="0"/>
        <w:autoSpaceDE w:val="0"/>
        <w:autoSpaceDN w:val="0"/>
        <w:bidi w:val="0"/>
        <w:adjustRightInd w:val="0"/>
        <w:spacing w:line="580" w:lineRule="exact"/>
        <w:ind w:left="0" w:leftChars="0" w:firstLine="643"/>
        <w:textAlignment w:val="auto"/>
        <w:rPr>
          <w:rFonts w:hint="eastAsia" w:ascii="仿宋_GB2312" w:eastAsia="仿宋_GB2312" w:cs="仿宋_GB2312"/>
          <w:color w:val="auto"/>
          <w:sz w:val="32"/>
          <w:szCs w:val="32"/>
          <w:lang w:eastAsia="zh-CN" w:bidi="ar"/>
        </w:rPr>
      </w:pPr>
      <w:r>
        <w:rPr>
          <w:rFonts w:hint="eastAsia" w:ascii="楷体_GB2312" w:hAnsi="楷体" w:eastAsia="楷体_GB2312" w:cs="楷体_GB2312"/>
          <w:b/>
          <w:color w:val="auto"/>
          <w:sz w:val="32"/>
          <w:szCs w:val="32"/>
          <w:lang w:bidi="ar"/>
        </w:rPr>
        <w:t>（一）</w:t>
      </w:r>
      <w:r>
        <w:rPr>
          <w:rFonts w:hint="eastAsia" w:ascii="楷体_GB2312" w:hAnsi="楷体" w:eastAsia="楷体_GB2312" w:cs="楷体_GB2312"/>
          <w:b/>
          <w:color w:val="auto"/>
          <w:sz w:val="32"/>
          <w:szCs w:val="32"/>
          <w:lang w:eastAsia="zh-CN" w:bidi="ar"/>
        </w:rPr>
        <w:t>强化资格审核及</w:t>
      </w:r>
      <w:r>
        <w:rPr>
          <w:rFonts w:hint="eastAsia" w:ascii="楷体_GB2312" w:hAnsi="楷体" w:eastAsia="楷体_GB2312" w:cs="楷体_GB2312"/>
          <w:b/>
          <w:color w:val="auto"/>
          <w:sz w:val="32"/>
          <w:szCs w:val="32"/>
          <w:lang w:bidi="ar"/>
        </w:rPr>
        <w:t>安全管理。</w:t>
      </w:r>
      <w:r>
        <w:rPr>
          <w:rFonts w:hint="eastAsia" w:ascii="仿宋_GB2312" w:eastAsia="仿宋_GB2312" w:cs="仿宋_GB2312"/>
          <w:color w:val="auto"/>
          <w:sz w:val="32"/>
          <w:szCs w:val="32"/>
          <w:lang w:eastAsia="zh-CN" w:bidi="ar"/>
        </w:rPr>
        <w:t>严格执行中央及省市县有关财政资金管理办法，对提交的报账资料认真审核、严格把关，确保财务资料的真实性、完整性、合法性。</w:t>
      </w:r>
    </w:p>
    <w:p>
      <w:pPr>
        <w:keepNext w:val="0"/>
        <w:keepLines w:val="0"/>
        <w:pageBreakBefore w:val="0"/>
        <w:widowControl w:val="0"/>
        <w:kinsoku/>
        <w:wordWrap/>
        <w:overflowPunct/>
        <w:topLinePunct w:val="0"/>
        <w:autoSpaceDE w:val="0"/>
        <w:autoSpaceDN w:val="0"/>
        <w:bidi w:val="0"/>
        <w:adjustRightInd w:val="0"/>
        <w:spacing w:line="580" w:lineRule="exact"/>
        <w:ind w:left="0" w:leftChars="0" w:firstLine="643"/>
        <w:textAlignment w:val="auto"/>
        <w:rPr>
          <w:rFonts w:hint="eastAsia" w:ascii="仿宋_GB2312" w:hAnsi="Calibri" w:eastAsia="仿宋_GB2312" w:cs="仿宋"/>
          <w:color w:val="auto"/>
          <w:kern w:val="0"/>
          <w:szCs w:val="32"/>
          <w:lang w:val="zh-CN"/>
        </w:rPr>
      </w:pPr>
      <w:r>
        <w:rPr>
          <w:rFonts w:hint="eastAsia" w:ascii="楷体_GB2312" w:hAnsi="楷体" w:eastAsia="楷体_GB2312" w:cs="楷体_GB2312"/>
          <w:b/>
          <w:color w:val="auto"/>
          <w:sz w:val="32"/>
          <w:szCs w:val="32"/>
          <w:lang w:bidi="ar"/>
        </w:rPr>
        <w:t>（二）加强项目资金监管。</w:t>
      </w:r>
      <w:r>
        <w:rPr>
          <w:rFonts w:hint="eastAsia" w:ascii="仿宋_GB2312" w:eastAsia="仿宋_GB2312" w:cs="仿宋_GB2312"/>
          <w:color w:val="auto"/>
          <w:sz w:val="32"/>
          <w:szCs w:val="32"/>
          <w:lang w:bidi="ar"/>
        </w:rPr>
        <w:t>在积极争取</w:t>
      </w:r>
      <w:r>
        <w:rPr>
          <w:rFonts w:hint="eastAsia" w:ascii="仿宋_GB2312" w:eastAsia="仿宋_GB2312" w:cs="仿宋_GB2312"/>
          <w:color w:val="auto"/>
          <w:sz w:val="32"/>
          <w:szCs w:val="32"/>
          <w:lang w:eastAsia="zh-CN" w:bidi="ar"/>
        </w:rPr>
        <w:t>中央及省市县</w:t>
      </w:r>
      <w:r>
        <w:rPr>
          <w:rFonts w:hint="eastAsia" w:ascii="仿宋_GB2312" w:eastAsia="仿宋_GB2312" w:cs="仿宋_GB2312"/>
          <w:color w:val="auto"/>
          <w:sz w:val="32"/>
          <w:szCs w:val="32"/>
          <w:lang w:bidi="ar"/>
        </w:rPr>
        <w:t>补</w:t>
      </w:r>
      <w:r>
        <w:rPr>
          <w:rFonts w:hint="eastAsia" w:ascii="仿宋_GB2312" w:hAnsi="仿宋" w:eastAsia="仿宋_GB2312" w:cs="仿宋_GB2312"/>
          <w:color w:val="auto"/>
          <w:sz w:val="32"/>
          <w:szCs w:val="32"/>
          <w:lang w:bidi="ar"/>
        </w:rPr>
        <w:t>助资金的同时，</w:t>
      </w:r>
      <w:r>
        <w:rPr>
          <w:rFonts w:hint="eastAsia" w:ascii="仿宋_GB2312" w:eastAsia="仿宋_GB2312" w:cs="仿宋_GB2312"/>
          <w:color w:val="auto"/>
          <w:sz w:val="32"/>
          <w:szCs w:val="32"/>
          <w:lang w:bidi="ar"/>
        </w:rPr>
        <w:t>严格执行财政大平台指标系统核算要求，认</w:t>
      </w:r>
      <w:r>
        <w:rPr>
          <w:rFonts w:hint="eastAsia" w:ascii="仿宋_GB2312" w:hAnsi="仿宋" w:eastAsia="仿宋_GB2312" w:cs="仿宋_GB2312"/>
          <w:color w:val="auto"/>
          <w:sz w:val="32"/>
          <w:szCs w:val="32"/>
          <w:lang w:bidi="ar"/>
        </w:rPr>
        <w:t>真落实项目资金管理规定，严</w:t>
      </w:r>
      <w:r>
        <w:rPr>
          <w:rFonts w:hint="eastAsia" w:ascii="仿宋_GB2312" w:hAnsi="仿宋" w:eastAsia="仿宋_GB2312" w:cs="仿宋_GB2312"/>
          <w:color w:val="auto"/>
          <w:sz w:val="32"/>
          <w:szCs w:val="32"/>
          <w:lang w:eastAsia="zh-CN" w:bidi="ar"/>
        </w:rPr>
        <w:t>格把控</w:t>
      </w:r>
      <w:r>
        <w:rPr>
          <w:rFonts w:hint="eastAsia" w:ascii="仿宋_GB2312" w:hAnsi="仿宋" w:eastAsia="仿宋_GB2312" w:cs="仿宋_GB2312"/>
          <w:color w:val="auto"/>
          <w:sz w:val="32"/>
          <w:szCs w:val="32"/>
          <w:lang w:bidi="ar"/>
        </w:rPr>
        <w:t>资金拨付、监管环节，定期接</w:t>
      </w:r>
      <w:r>
        <w:rPr>
          <w:rFonts w:hint="eastAsia" w:ascii="仿宋_GB2312" w:hAnsi="仿宋" w:eastAsia="仿宋_GB2312" w:cs="仿宋_GB2312"/>
          <w:color w:val="auto"/>
          <w:sz w:val="32"/>
          <w:szCs w:val="32"/>
          <w:lang w:eastAsia="zh-CN" w:bidi="ar"/>
        </w:rPr>
        <w:t>受</w:t>
      </w:r>
      <w:r>
        <w:rPr>
          <w:rFonts w:hint="eastAsia" w:ascii="仿宋_GB2312" w:hAnsi="仿宋" w:eastAsia="仿宋_GB2312" w:cs="仿宋_GB2312"/>
          <w:color w:val="auto"/>
          <w:sz w:val="32"/>
          <w:szCs w:val="32"/>
          <w:lang w:bidi="ar"/>
        </w:rPr>
        <w:t>财政、监察、审计等部门开展专项检查，确保项目资金安全高效运行。</w:t>
      </w:r>
    </w:p>
    <w:p>
      <w:pPr>
        <w:keepNext w:val="0"/>
        <w:keepLines w:val="0"/>
        <w:pageBreakBefore w:val="0"/>
        <w:widowControl w:val="0"/>
        <w:kinsoku/>
        <w:wordWrap/>
        <w:overflowPunct/>
        <w:topLinePunct w:val="0"/>
        <w:bidi w:val="0"/>
        <w:spacing w:line="580" w:lineRule="exact"/>
        <w:ind w:left="0" w:leftChars="0" w:firstLine="643" w:firstLineChars="200"/>
        <w:textAlignment w:val="auto"/>
        <w:rPr>
          <w:rFonts w:hint="eastAsia" w:ascii="仿宋_GB2312" w:hAnsi="仿宋" w:eastAsia="仿宋_GB2312" w:cs="仿宋_GB2312"/>
          <w:color w:val="auto"/>
          <w:szCs w:val="32"/>
          <w:lang w:val="zh-CN"/>
        </w:rPr>
      </w:pPr>
      <w:r>
        <w:rPr>
          <w:rFonts w:hint="eastAsia" w:ascii="楷体_GB2312" w:hAnsi="楷体" w:eastAsia="楷体_GB2312" w:cs="楷体_GB2312"/>
          <w:b/>
          <w:color w:val="auto"/>
          <w:sz w:val="32"/>
          <w:szCs w:val="32"/>
          <w:lang w:bidi="ar"/>
        </w:rPr>
        <w:t>（</w:t>
      </w:r>
      <w:r>
        <w:rPr>
          <w:rFonts w:hint="eastAsia" w:ascii="楷体_GB2312" w:hAnsi="楷体" w:eastAsia="楷体_GB2312" w:cs="楷体_GB2312"/>
          <w:b/>
          <w:color w:val="auto"/>
          <w:sz w:val="32"/>
          <w:szCs w:val="32"/>
          <w:lang w:eastAsia="zh-CN" w:bidi="ar"/>
        </w:rPr>
        <w:t>三</w:t>
      </w:r>
      <w:r>
        <w:rPr>
          <w:rFonts w:hint="eastAsia" w:ascii="楷体_GB2312" w:hAnsi="楷体" w:eastAsia="楷体_GB2312" w:cs="楷体_GB2312"/>
          <w:b/>
          <w:color w:val="auto"/>
          <w:sz w:val="32"/>
          <w:szCs w:val="32"/>
          <w:lang w:bidi="ar"/>
        </w:rPr>
        <w:t>）严格</w:t>
      </w:r>
      <w:r>
        <w:rPr>
          <w:rFonts w:hint="eastAsia" w:ascii="楷体_GB2312" w:hAnsi="楷体" w:eastAsia="楷体_GB2312" w:cs="楷体_GB2312"/>
          <w:b/>
          <w:color w:val="auto"/>
          <w:sz w:val="32"/>
          <w:szCs w:val="32"/>
          <w:lang w:eastAsia="zh-CN" w:bidi="ar"/>
        </w:rPr>
        <w:t>资金拨付</w:t>
      </w:r>
      <w:r>
        <w:rPr>
          <w:rFonts w:hint="eastAsia" w:ascii="楷体_GB2312" w:hAnsi="楷体" w:eastAsia="楷体_GB2312" w:cs="楷体_GB2312"/>
          <w:b/>
          <w:color w:val="auto"/>
          <w:sz w:val="32"/>
          <w:szCs w:val="32"/>
          <w:lang w:bidi="ar"/>
        </w:rPr>
        <w:t>程序。</w:t>
      </w:r>
      <w:r>
        <w:rPr>
          <w:rFonts w:hint="eastAsia" w:ascii="仿宋_GB2312" w:hAnsi="仿宋" w:eastAsia="仿宋_GB2312" w:cs="仿宋_GB2312"/>
          <w:color w:val="auto"/>
          <w:sz w:val="32"/>
          <w:szCs w:val="32"/>
          <w:lang w:bidi="ar"/>
        </w:rPr>
        <w:t>认真开展</w:t>
      </w:r>
      <w:r>
        <w:rPr>
          <w:rFonts w:hint="eastAsia" w:ascii="仿宋_GB2312" w:hAnsi="仿宋" w:eastAsia="仿宋_GB2312" w:cs="仿宋_GB2312"/>
          <w:color w:val="auto"/>
          <w:sz w:val="32"/>
          <w:szCs w:val="32"/>
          <w:lang w:eastAsia="zh-CN" w:bidi="ar"/>
        </w:rPr>
        <w:t>报账人申请、业务人员复核、分管领导审批的资金拨付</w:t>
      </w:r>
      <w:r>
        <w:rPr>
          <w:rFonts w:hint="eastAsia" w:ascii="仿宋_GB2312" w:hAnsi="仿宋" w:eastAsia="仿宋_GB2312" w:cs="仿宋_GB2312"/>
          <w:color w:val="auto"/>
          <w:sz w:val="32"/>
          <w:szCs w:val="32"/>
          <w:lang w:bidi="ar"/>
        </w:rPr>
        <w:t>机制，</w:t>
      </w:r>
      <w:r>
        <w:rPr>
          <w:rFonts w:hint="eastAsia" w:ascii="仿宋_GB2312" w:hAnsi="仿宋" w:eastAsia="仿宋_GB2312" w:cs="仿宋_GB2312"/>
          <w:color w:val="auto"/>
          <w:sz w:val="32"/>
          <w:szCs w:val="32"/>
          <w:lang w:eastAsia="zh-CN" w:bidi="ar"/>
        </w:rPr>
        <w:t>在确认符合资金申报条件的基础上，</w:t>
      </w:r>
      <w:r>
        <w:rPr>
          <w:rFonts w:hint="eastAsia" w:ascii="仿宋_GB2312" w:hAnsi="仿宋" w:eastAsia="仿宋_GB2312" w:cs="仿宋_GB2312"/>
          <w:color w:val="auto"/>
          <w:sz w:val="32"/>
          <w:szCs w:val="32"/>
          <w:lang w:bidi="ar"/>
        </w:rPr>
        <w:t>实现</w:t>
      </w:r>
      <w:r>
        <w:rPr>
          <w:rFonts w:hint="eastAsia" w:ascii="仿宋_GB2312" w:hAnsi="仿宋" w:eastAsia="仿宋_GB2312" w:cs="仿宋_GB2312"/>
          <w:color w:val="auto"/>
          <w:sz w:val="32"/>
          <w:szCs w:val="32"/>
          <w:lang w:eastAsia="zh-CN" w:bidi="ar"/>
        </w:rPr>
        <w:t>资金拨付</w:t>
      </w:r>
      <w:r>
        <w:rPr>
          <w:rFonts w:hint="eastAsia" w:ascii="仿宋_GB2312" w:hAnsi="仿宋" w:eastAsia="仿宋_GB2312" w:cs="仿宋_GB2312"/>
          <w:color w:val="auto"/>
          <w:sz w:val="32"/>
          <w:szCs w:val="32"/>
          <w:lang w:bidi="ar"/>
        </w:rPr>
        <w:t>程序规范化、过程公开化、结果透明化。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cs="仿宋_GB2312"/>
          <w:b/>
          <w:szCs w:val="32"/>
        </w:rPr>
      </w:pPr>
      <w:r>
        <w:rPr>
          <w:rFonts w:hint="eastAsia" w:ascii="仿宋_GB2312" w:hAnsi="仿宋_GB2312" w:cs="仿宋_GB2312"/>
          <w:b/>
          <w:szCs w:val="32"/>
        </w:rPr>
        <w:t>五、存在的问题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我单位经费的执行，取得了较好的成效，圆满完成了各项工作任务，但在预算编制与申报，以及相应的预算与绩效管理方面还存在一些问题与改善空间，主要表现为：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部门年度工作计划仅对工作内容与时间节点进行计划与责任分工，但整体与相关明细的绩效目标不够具体和量化，明细预算不详尽。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cs="仿宋_GB2312"/>
          <w:b/>
          <w:szCs w:val="32"/>
          <w:lang w:val="en-US" w:eastAsia="zh-CN"/>
        </w:rPr>
      </w:pPr>
      <w:r>
        <w:rPr>
          <w:rFonts w:hint="eastAsia" w:ascii="仿宋_GB2312" w:hAnsi="仿宋_GB2312" w:cs="仿宋_GB2312"/>
          <w:b/>
          <w:szCs w:val="32"/>
        </w:rPr>
        <w:t>整改措施或建议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仿宋_GB2312" w:hAnsi="宋体" w:eastAsia="仿宋_GB2312" w:cs="宋体"/>
          <w:b/>
          <w:bCs/>
          <w:kern w:val="0"/>
          <w:sz w:val="32"/>
          <w:szCs w:val="32"/>
          <w:lang w:eastAsia="zh-CN"/>
        </w:rPr>
        <w:t>一是</w:t>
      </w:r>
      <w:r>
        <w:rPr>
          <w:rFonts w:hint="eastAsia" w:ascii="仿宋_GB2312" w:hAnsi="宋体" w:eastAsia="仿宋_GB2312" w:cs="宋体"/>
          <w:kern w:val="0"/>
          <w:sz w:val="32"/>
          <w:szCs w:val="32"/>
          <w:lang w:eastAsia="zh-CN"/>
        </w:rPr>
        <w:t>加强部门预算的细化编制。在对部门预算总额与总体目标进行科学测算的基础上，进一步细化基本支出的细化预算。基本支出的人员、公用经费支出的预算进一步细化。</w:t>
      </w:r>
      <w:r>
        <w:rPr>
          <w:rFonts w:hint="eastAsia" w:ascii="仿宋_GB2312" w:hAnsi="宋体" w:eastAsia="仿宋_GB2312" w:cs="宋体"/>
          <w:b/>
          <w:bCs/>
          <w:kern w:val="0"/>
          <w:sz w:val="32"/>
          <w:szCs w:val="32"/>
          <w:lang w:eastAsia="zh-CN"/>
        </w:rPr>
        <w:t>二是</w:t>
      </w:r>
      <w:r>
        <w:rPr>
          <w:rFonts w:hint="eastAsia" w:ascii="仿宋_GB2312" w:hAnsi="宋体" w:eastAsia="仿宋_GB2312" w:cs="宋体"/>
          <w:kern w:val="0"/>
          <w:sz w:val="32"/>
          <w:szCs w:val="32"/>
          <w:lang w:eastAsia="zh-CN"/>
        </w:rPr>
        <w:t>强化预算执行管理力度。严格执行相关支出预算，及时保障本年度支出预算的执行率。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cs="仿宋_GB2312"/>
          <w:b w:val="0"/>
          <w:bCs w:val="0"/>
          <w:szCs w:val="32"/>
        </w:rPr>
      </w:pPr>
      <w:r>
        <w:rPr>
          <w:rFonts w:hint="eastAsia" w:ascii="仿宋_GB2312" w:hAnsi="仿宋_GB2312" w:cs="仿宋_GB2312"/>
          <w:sz w:val="32"/>
          <w:szCs w:val="32"/>
          <w:lang w:val="en-US" w:eastAsia="zh-CN"/>
        </w:rPr>
        <w:t xml:space="preserve"> </w:t>
      </w:r>
      <w:r>
        <w:rPr>
          <w:rFonts w:hint="eastAsia" w:ascii="仿宋_GB2312" w:hAnsi="仿宋_GB2312" w:cs="仿宋_GB2312"/>
          <w:b w:val="0"/>
          <w:bCs w:val="0"/>
          <w:sz w:val="32"/>
          <w:szCs w:val="32"/>
          <w:lang w:val="en-US" w:eastAsia="zh-CN"/>
        </w:rPr>
        <w:t>无</w:t>
      </w:r>
      <w:r>
        <w:rPr>
          <w:rFonts w:hint="eastAsia" w:ascii="仿宋_GB2312" w:hAnsi="仿宋_GB2312" w:cs="仿宋_GB2312"/>
          <w:b w:val="0"/>
          <w:bCs w:val="0"/>
          <w:szCs w:val="32"/>
        </w:rPr>
        <w:t>其他需要说明的问题</w:t>
      </w:r>
    </w:p>
    <w:p>
      <w:pPr>
        <w:pStyle w:val="8"/>
        <w:keepNext w:val="0"/>
        <w:keepLines w:val="0"/>
        <w:pageBreakBefore w:val="0"/>
        <w:kinsoku/>
        <w:wordWrap/>
        <w:overflowPunct/>
        <w:topLinePunct w:val="0"/>
        <w:bidi w:val="0"/>
        <w:spacing w:after="0" w:afterLines="0" w:line="610" w:lineRule="exact"/>
        <w:ind w:left="0" w:leftChars="0"/>
        <w:textAlignment w:val="auto"/>
        <w:rPr>
          <w:rFonts w:hint="eastAsia" w:ascii="仿宋_GB2312" w:hAnsi="仿宋_GB2312" w:cs="仿宋_GB2312"/>
          <w:b/>
          <w:szCs w:val="32"/>
        </w:rPr>
      </w:pPr>
    </w:p>
    <w:p>
      <w:pPr>
        <w:pStyle w:val="4"/>
        <w:keepNext w:val="0"/>
        <w:keepLines w:val="0"/>
        <w:pageBreakBefore w:val="0"/>
        <w:kinsoku/>
        <w:wordWrap/>
        <w:overflowPunct/>
        <w:topLinePunct w:val="0"/>
        <w:bidi w:val="0"/>
        <w:spacing w:after="0" w:line="610" w:lineRule="exact"/>
        <w:ind w:left="0" w:leftChars="0"/>
        <w:textAlignment w:val="auto"/>
        <w:rPr>
          <w:rFonts w:hint="eastAsia"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cs="宋体"/>
          <w:kern w:val="0"/>
          <w:sz w:val="32"/>
          <w:szCs w:val="32"/>
          <w:lang w:val="en-US" w:eastAsia="zh-CN"/>
        </w:rPr>
        <w:t xml:space="preserve">                        沙河镇</w:t>
      </w:r>
      <w:r>
        <w:rPr>
          <w:rFonts w:hint="eastAsia" w:ascii="仿宋_GB2312" w:hAnsi="宋体" w:eastAsia="仿宋_GB2312" w:cs="宋体"/>
          <w:kern w:val="0"/>
          <w:sz w:val="32"/>
          <w:szCs w:val="32"/>
          <w:lang w:val="en-US" w:eastAsia="zh-CN"/>
        </w:rPr>
        <w:t>人民政府</w:t>
      </w:r>
    </w:p>
    <w:p>
      <w:pPr>
        <w:pStyle w:val="8"/>
        <w:keepNext w:val="0"/>
        <w:keepLines w:val="0"/>
        <w:pageBreakBefore w:val="0"/>
        <w:kinsoku/>
        <w:wordWrap/>
        <w:overflowPunct/>
        <w:topLinePunct w:val="0"/>
        <w:bidi w:val="0"/>
        <w:spacing w:after="0" w:afterLines="0" w:line="610" w:lineRule="exact"/>
        <w:ind w:left="0" w:leftChars="0"/>
        <w:textAlignment w:val="auto"/>
        <w:rPr>
          <w:rFonts w:hint="default"/>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lang w:val="en-US" w:eastAsia="zh-CN"/>
        </w:rPr>
        <w:t>202</w:t>
      </w:r>
      <w:r>
        <w:rPr>
          <w:rFonts w:hint="eastAsia" w:ascii="仿宋_GB2312" w:hAnsi="宋体" w:cs="宋体"/>
          <w:kern w:val="0"/>
          <w:sz w:val="32"/>
          <w:szCs w:val="32"/>
          <w:lang w:val="en-US" w:eastAsia="zh-CN"/>
        </w:rPr>
        <w:t>4</w:t>
      </w:r>
      <w:r>
        <w:rPr>
          <w:rFonts w:hint="eastAsia" w:ascii="仿宋_GB2312" w:hAnsi="宋体" w:eastAsia="仿宋_GB2312" w:cs="宋体"/>
          <w:kern w:val="0"/>
          <w:sz w:val="32"/>
          <w:szCs w:val="32"/>
          <w:lang w:val="en-US" w:eastAsia="zh-CN"/>
        </w:rPr>
        <w:t>年</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lang w:val="en-US" w:eastAsia="zh-CN"/>
        </w:rPr>
        <w:t>月</w:t>
      </w:r>
      <w:r>
        <w:rPr>
          <w:rFonts w:hint="eastAsia" w:ascii="仿宋_GB2312" w:hAnsi="宋体" w:cs="宋体"/>
          <w:kern w:val="0"/>
          <w:sz w:val="32"/>
          <w:szCs w:val="32"/>
          <w:lang w:val="en-US" w:eastAsia="zh-CN"/>
        </w:rPr>
        <w:t>20日</w:t>
      </w:r>
    </w:p>
    <w:p>
      <w:pPr>
        <w:pStyle w:val="5"/>
        <w:keepNext w:val="0"/>
        <w:keepLines w:val="0"/>
        <w:pageBreakBefore w:val="0"/>
        <w:kinsoku/>
        <w:wordWrap/>
        <w:overflowPunct/>
        <w:topLinePunct w:val="0"/>
        <w:bidi w:val="0"/>
        <w:spacing w:line="610" w:lineRule="exact"/>
        <w:ind w:left="0" w:leftChars="0"/>
        <w:textAlignment w:val="auto"/>
        <w:rPr>
          <w:rFonts w:hint="eastAsia"/>
        </w:rPr>
      </w:pPr>
    </w:p>
    <w:p>
      <w:pPr>
        <w:pStyle w:val="8"/>
        <w:keepNext w:val="0"/>
        <w:keepLines w:val="0"/>
        <w:pageBreakBefore w:val="0"/>
        <w:numPr>
          <w:ilvl w:val="0"/>
          <w:numId w:val="0"/>
        </w:numPr>
        <w:kinsoku/>
        <w:wordWrap/>
        <w:overflowPunct/>
        <w:topLinePunct w:val="0"/>
        <w:autoSpaceDE/>
        <w:autoSpaceDN/>
        <w:bidi w:val="0"/>
        <w:spacing w:after="0" w:afterLines="0" w:line="610" w:lineRule="exact"/>
        <w:ind w:left="0" w:leftChars="0"/>
        <w:textAlignment w:val="auto"/>
        <w:rPr>
          <w:rFonts w:hint="eastAsia" w:eastAsia="仿宋_GB2312"/>
          <w:lang w:eastAsia="zh-CN"/>
        </w:rPr>
      </w:pPr>
    </w:p>
    <w:sectPr>
      <w:pgSz w:w="11906" w:h="16838"/>
      <w:pgMar w:top="1701" w:right="1531" w:bottom="1587" w:left="1587" w:header="851" w:footer="1417" w:gutter="0"/>
      <w:pgNumType w:start="4"/>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AD6B"/>
    <w:multiLevelType w:val="singleLevel"/>
    <w:tmpl w:val="A312AD6B"/>
    <w:lvl w:ilvl="0" w:tentative="0">
      <w:start w:val="6"/>
      <w:numFmt w:val="chineseCounting"/>
      <w:suff w:val="nothing"/>
      <w:lvlText w:val="%1、"/>
      <w:lvlJc w:val="left"/>
      <w:rPr>
        <w:rFonts w:hint="eastAsia"/>
      </w:rPr>
    </w:lvl>
  </w:abstractNum>
  <w:abstractNum w:abstractNumId="1">
    <w:nsid w:val="2E42E42B"/>
    <w:multiLevelType w:val="singleLevel"/>
    <w:tmpl w:val="2E42E42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TJiMmViYzc3Yzk5NDdjNjEyMDUzOTk2ODJhOTM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B754B3"/>
    <w:rsid w:val="050C6887"/>
    <w:rsid w:val="05164C02"/>
    <w:rsid w:val="052C10AC"/>
    <w:rsid w:val="059F1735"/>
    <w:rsid w:val="05A8373F"/>
    <w:rsid w:val="07084F30"/>
    <w:rsid w:val="07EF58A1"/>
    <w:rsid w:val="08B2398D"/>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81747C7"/>
    <w:rsid w:val="192172B5"/>
    <w:rsid w:val="19AC0DF5"/>
    <w:rsid w:val="1AFE4936"/>
    <w:rsid w:val="1DAC3DE4"/>
    <w:rsid w:val="1E656262"/>
    <w:rsid w:val="1E9551B4"/>
    <w:rsid w:val="1F616DAB"/>
    <w:rsid w:val="1FAB2F6B"/>
    <w:rsid w:val="1FD34689"/>
    <w:rsid w:val="2006644D"/>
    <w:rsid w:val="206B123E"/>
    <w:rsid w:val="20D538D0"/>
    <w:rsid w:val="20FF1CE3"/>
    <w:rsid w:val="215B0A1A"/>
    <w:rsid w:val="21966D7F"/>
    <w:rsid w:val="223203B0"/>
    <w:rsid w:val="22874567"/>
    <w:rsid w:val="24F31ED8"/>
    <w:rsid w:val="25AA29B2"/>
    <w:rsid w:val="26483F30"/>
    <w:rsid w:val="265C1EEB"/>
    <w:rsid w:val="26660934"/>
    <w:rsid w:val="2673108C"/>
    <w:rsid w:val="27722488"/>
    <w:rsid w:val="2A8C7222"/>
    <w:rsid w:val="2A965067"/>
    <w:rsid w:val="2B2A0714"/>
    <w:rsid w:val="2C065DA4"/>
    <w:rsid w:val="2C096F1D"/>
    <w:rsid w:val="2C362D24"/>
    <w:rsid w:val="2C7D3482"/>
    <w:rsid w:val="2CC21EA8"/>
    <w:rsid w:val="2CF84A76"/>
    <w:rsid w:val="2D1A3F92"/>
    <w:rsid w:val="2D725DD0"/>
    <w:rsid w:val="2D8C5BE1"/>
    <w:rsid w:val="2DE4456A"/>
    <w:rsid w:val="2DE514DA"/>
    <w:rsid w:val="2E35300E"/>
    <w:rsid w:val="2EAF7F39"/>
    <w:rsid w:val="2F124B01"/>
    <w:rsid w:val="2FAF1ED5"/>
    <w:rsid w:val="307B29B7"/>
    <w:rsid w:val="30A9101A"/>
    <w:rsid w:val="31170A16"/>
    <w:rsid w:val="313F6F61"/>
    <w:rsid w:val="324C6402"/>
    <w:rsid w:val="32BE6308"/>
    <w:rsid w:val="32D218A0"/>
    <w:rsid w:val="330E71A0"/>
    <w:rsid w:val="33806D65"/>
    <w:rsid w:val="341A0F4F"/>
    <w:rsid w:val="34D86FD8"/>
    <w:rsid w:val="366900D9"/>
    <w:rsid w:val="36B756E5"/>
    <w:rsid w:val="36CC66A9"/>
    <w:rsid w:val="385F541F"/>
    <w:rsid w:val="39090ACC"/>
    <w:rsid w:val="3A4A475A"/>
    <w:rsid w:val="3A564E97"/>
    <w:rsid w:val="3A775788"/>
    <w:rsid w:val="3A7C5B6F"/>
    <w:rsid w:val="3BDF62D0"/>
    <w:rsid w:val="3D6F5574"/>
    <w:rsid w:val="3DB71999"/>
    <w:rsid w:val="3DFE7E20"/>
    <w:rsid w:val="3EDE6683"/>
    <w:rsid w:val="3FB15639"/>
    <w:rsid w:val="3FF95CCA"/>
    <w:rsid w:val="40E70444"/>
    <w:rsid w:val="42325117"/>
    <w:rsid w:val="425F6DF0"/>
    <w:rsid w:val="431C4020"/>
    <w:rsid w:val="45316902"/>
    <w:rsid w:val="46560FFD"/>
    <w:rsid w:val="46A630A7"/>
    <w:rsid w:val="470537CD"/>
    <w:rsid w:val="47385682"/>
    <w:rsid w:val="47CF2E17"/>
    <w:rsid w:val="47DA54D2"/>
    <w:rsid w:val="483161C9"/>
    <w:rsid w:val="48BF5B4C"/>
    <w:rsid w:val="49877B8F"/>
    <w:rsid w:val="4D1A250B"/>
    <w:rsid w:val="4D2B15F6"/>
    <w:rsid w:val="4D441002"/>
    <w:rsid w:val="4D60672E"/>
    <w:rsid w:val="4E424783"/>
    <w:rsid w:val="4EAE71F4"/>
    <w:rsid w:val="4F6A4788"/>
    <w:rsid w:val="50312200"/>
    <w:rsid w:val="50B64F9D"/>
    <w:rsid w:val="50CF30C7"/>
    <w:rsid w:val="51970D16"/>
    <w:rsid w:val="51C831D6"/>
    <w:rsid w:val="51FB53CA"/>
    <w:rsid w:val="527E3C5D"/>
    <w:rsid w:val="52A219E3"/>
    <w:rsid w:val="534C5C9D"/>
    <w:rsid w:val="53E939B1"/>
    <w:rsid w:val="545D7232"/>
    <w:rsid w:val="55120C02"/>
    <w:rsid w:val="55B92675"/>
    <w:rsid w:val="55CA7946"/>
    <w:rsid w:val="573319C2"/>
    <w:rsid w:val="573F66F7"/>
    <w:rsid w:val="57767448"/>
    <w:rsid w:val="58614B5E"/>
    <w:rsid w:val="586B0DAE"/>
    <w:rsid w:val="58DB507A"/>
    <w:rsid w:val="59744CA8"/>
    <w:rsid w:val="5C434333"/>
    <w:rsid w:val="5C617EA2"/>
    <w:rsid w:val="5CBE3182"/>
    <w:rsid w:val="5D655292"/>
    <w:rsid w:val="5E1060ED"/>
    <w:rsid w:val="5E2B7A29"/>
    <w:rsid w:val="5E5273CC"/>
    <w:rsid w:val="60711C34"/>
    <w:rsid w:val="607F783A"/>
    <w:rsid w:val="60846CF1"/>
    <w:rsid w:val="613C039B"/>
    <w:rsid w:val="630302A6"/>
    <w:rsid w:val="637E428B"/>
    <w:rsid w:val="64CE2822"/>
    <w:rsid w:val="64E677CE"/>
    <w:rsid w:val="64FF1454"/>
    <w:rsid w:val="66F46C93"/>
    <w:rsid w:val="670021E9"/>
    <w:rsid w:val="677F5B67"/>
    <w:rsid w:val="67A142C9"/>
    <w:rsid w:val="68B33A79"/>
    <w:rsid w:val="69E96192"/>
    <w:rsid w:val="6AAA26C2"/>
    <w:rsid w:val="6BAE1707"/>
    <w:rsid w:val="6BDF63C2"/>
    <w:rsid w:val="6CD33AEF"/>
    <w:rsid w:val="6E112F9E"/>
    <w:rsid w:val="6E1B78B0"/>
    <w:rsid w:val="6E57590B"/>
    <w:rsid w:val="6E6B353C"/>
    <w:rsid w:val="6E8547B9"/>
    <w:rsid w:val="6E984B28"/>
    <w:rsid w:val="6EE771D7"/>
    <w:rsid w:val="6F49468F"/>
    <w:rsid w:val="70051CAA"/>
    <w:rsid w:val="700B69D4"/>
    <w:rsid w:val="705C6487"/>
    <w:rsid w:val="72A71511"/>
    <w:rsid w:val="72FC6E43"/>
    <w:rsid w:val="73A56B29"/>
    <w:rsid w:val="74B9514E"/>
    <w:rsid w:val="74F22E08"/>
    <w:rsid w:val="75797088"/>
    <w:rsid w:val="76466FF6"/>
    <w:rsid w:val="76CA1658"/>
    <w:rsid w:val="7747487C"/>
    <w:rsid w:val="77E23029"/>
    <w:rsid w:val="780853DB"/>
    <w:rsid w:val="78647052"/>
    <w:rsid w:val="79BB7C6D"/>
    <w:rsid w:val="7A485754"/>
    <w:rsid w:val="7A646DD9"/>
    <w:rsid w:val="7BD062B5"/>
    <w:rsid w:val="7C1A1A27"/>
    <w:rsid w:val="7D6D005F"/>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autoRedefine/>
    <w:qFormat/>
    <w:uiPriority w:val="99"/>
    <w:rPr>
      <w:rFonts w:ascii="仿宋_GB2312" w:hAnsi="黑体" w:cs="黑体"/>
      <w:color w:val="000000"/>
    </w:rPr>
  </w:style>
  <w:style w:type="paragraph" w:styleId="3">
    <w:name w:val="Normal Indent"/>
    <w:basedOn w:val="1"/>
    <w:autoRedefine/>
    <w:unhideWhenUsed/>
    <w:qFormat/>
    <w:uiPriority w:val="99"/>
    <w:pPr>
      <w:ind w:firstLine="556"/>
    </w:pPr>
    <w:rPr>
      <w:rFonts w:cs="仿宋_GB2312"/>
      <w:kern w:val="0"/>
    </w:rPr>
  </w:style>
  <w:style w:type="paragraph" w:styleId="4">
    <w:name w:val="Body Text"/>
    <w:basedOn w:val="1"/>
    <w:next w:val="5"/>
    <w:autoRedefine/>
    <w:qFormat/>
    <w:uiPriority w:val="99"/>
    <w:pPr>
      <w:spacing w:after="120"/>
    </w:pPr>
    <w:rPr>
      <w:rFonts w:eastAsia="仿宋_GB2312"/>
      <w:sz w:val="32"/>
    </w:rPr>
  </w:style>
  <w:style w:type="paragraph" w:customStyle="1" w:styleId="5">
    <w:name w:val="p0"/>
    <w:basedOn w:val="1"/>
    <w:next w:val="6"/>
    <w:autoRedefine/>
    <w:qFormat/>
    <w:uiPriority w:val="0"/>
    <w:pPr>
      <w:widowControl/>
    </w:pPr>
    <w:rPr>
      <w:rFonts w:ascii="Times New Roman" w:hAnsi="Times New Roman" w:eastAsia="宋体" w:cs="Times New Roman"/>
      <w:kern w:val="0"/>
      <w:szCs w:val="22"/>
    </w:rPr>
  </w:style>
  <w:style w:type="paragraph" w:styleId="6">
    <w:name w:val="index 9"/>
    <w:basedOn w:val="1"/>
    <w:next w:val="1"/>
    <w:autoRedefine/>
    <w:qFormat/>
    <w:uiPriority w:val="0"/>
    <w:pPr>
      <w:ind w:left="1600" w:leftChars="1600"/>
    </w:pPr>
    <w:rPr>
      <w:rFonts w:ascii="Times New Roman" w:hAnsi="Times New Roman" w:eastAsia="宋体" w:cs="Times New Roman"/>
    </w:rPr>
  </w:style>
  <w:style w:type="paragraph" w:styleId="7">
    <w:name w:val="Body Text Indent"/>
    <w:basedOn w:val="1"/>
    <w:autoRedefine/>
    <w:qFormat/>
    <w:uiPriority w:val="0"/>
    <w:pPr>
      <w:adjustRightInd w:val="0"/>
      <w:snapToGrid w:val="0"/>
      <w:spacing w:line="560" w:lineRule="atLeast"/>
      <w:ind w:firstLine="640" w:firstLineChars="200"/>
    </w:pPr>
    <w:rPr>
      <w:kern w:val="0"/>
      <w:szCs w:val="28"/>
    </w:rPr>
  </w:style>
  <w:style w:type="paragraph" w:styleId="8">
    <w:name w:val="Body Text Indent 2"/>
    <w:basedOn w:val="1"/>
    <w:next w:val="4"/>
    <w:autoRedefine/>
    <w:unhideWhenUsed/>
    <w:qFormat/>
    <w:uiPriority w:val="99"/>
    <w:pPr>
      <w:spacing w:after="120" w:afterLines="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11">
    <w:name w:val="Normal (Web)"/>
    <w:basedOn w:val="1"/>
    <w:autoRedefine/>
    <w:qFormat/>
    <w:uiPriority w:val="0"/>
    <w:pPr>
      <w:spacing w:before="0" w:beforeAutospacing="0" w:after="0" w:afterAutospacing="0"/>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mbria" w:hAnsi="Cambria" w:eastAsia="宋体"/>
      <w:b/>
      <w:bCs/>
      <w:kern w:val="0"/>
      <w:szCs w:val="32"/>
    </w:rPr>
  </w:style>
  <w:style w:type="character" w:styleId="15">
    <w:name w:val="FollowedHyperlink"/>
    <w:basedOn w:val="14"/>
    <w:autoRedefine/>
    <w:qFormat/>
    <w:uiPriority w:val="0"/>
    <w:rPr>
      <w:color w:val="444444"/>
      <w:u w:val="none"/>
    </w:rPr>
  </w:style>
  <w:style w:type="character" w:styleId="16">
    <w:name w:val="Emphasis"/>
    <w:basedOn w:val="14"/>
    <w:autoRedefine/>
    <w:qFormat/>
    <w:uiPriority w:val="0"/>
  </w:style>
  <w:style w:type="character" w:styleId="17">
    <w:name w:val="Hyperlink"/>
    <w:basedOn w:val="14"/>
    <w:autoRedefine/>
    <w:qFormat/>
    <w:uiPriority w:val="0"/>
    <w:rPr>
      <w:color w:val="444444"/>
      <w:u w:val="none"/>
    </w:rPr>
  </w:style>
  <w:style w:type="character" w:styleId="18">
    <w:name w:val="HTML Cite"/>
    <w:basedOn w:val="14"/>
    <w:autoRedefine/>
    <w:qFormat/>
    <w:uiPriority w:val="0"/>
    <w:rPr>
      <w:i/>
    </w:rPr>
  </w:style>
  <w:style w:type="paragraph" w:customStyle="1" w:styleId="19">
    <w:name w:val="办公自动化专用标题"/>
    <w:basedOn w:val="12"/>
    <w:autoRedefine/>
    <w:qFormat/>
    <w:uiPriority w:val="0"/>
    <w:pPr>
      <w:spacing w:line="560" w:lineRule="atLeast"/>
    </w:pPr>
    <w:rPr>
      <w:rFonts w:ascii="宋体" w:hAnsi="Arial" w:cs="Times New Roman"/>
      <w:bCs w:val="0"/>
      <w:sz w:val="44"/>
      <w:szCs w:val="20"/>
    </w:rPr>
  </w:style>
  <w:style w:type="character" w:customStyle="1" w:styleId="20">
    <w:name w:val="hover11"/>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290</Words>
  <Characters>299</Characters>
  <Lines>2</Lines>
  <Paragraphs>1</Paragraphs>
  <TotalTime>177</TotalTime>
  <ScaleCrop>false</ScaleCrop>
  <LinksUpToDate>false</LinksUpToDate>
  <CharactersWithSpaces>303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乖乖</cp:lastModifiedBy>
  <cp:lastPrinted>2024-01-15T15:52:00Z</cp:lastPrinted>
  <dcterms:modified xsi:type="dcterms:W3CDTF">2024-02-21T08:28:57Z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0FE70FFF028444629F784AC24A64B8A5_13</vt:lpwstr>
  </property>
</Properties>
</file>