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top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5" w:type="pct"/>
            <w:vAlign w:val="top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ind w:left="315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ind w:left="295"/>
        <w:textAlignment w:val="auto"/>
        <w:rPr>
          <w:rFonts w:ascii="仿宋" w:hAnsi="仿宋" w:eastAsia="仿宋" w:cs="仿宋"/>
          <w:spacing w:val="-10"/>
          <w:sz w:val="28"/>
          <w:szCs w:val="28"/>
          <w:u w:val="single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8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27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日</w:t>
      </w:r>
    </w:p>
    <w:p/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42C647F"/>
    <w:rsid w:val="063470C2"/>
    <w:rsid w:val="0AF67B2D"/>
    <w:rsid w:val="0B4E737A"/>
    <w:rsid w:val="0D7966DA"/>
    <w:rsid w:val="107977E3"/>
    <w:rsid w:val="112F78F5"/>
    <w:rsid w:val="158F4E06"/>
    <w:rsid w:val="19872D49"/>
    <w:rsid w:val="1CD56514"/>
    <w:rsid w:val="21F82AFE"/>
    <w:rsid w:val="2E701821"/>
    <w:rsid w:val="2F944160"/>
    <w:rsid w:val="33A855B9"/>
    <w:rsid w:val="3C9C3718"/>
    <w:rsid w:val="42511122"/>
    <w:rsid w:val="481E606F"/>
    <w:rsid w:val="4BB52B12"/>
    <w:rsid w:val="4C433C79"/>
    <w:rsid w:val="4CB72A21"/>
    <w:rsid w:val="5701451D"/>
    <w:rsid w:val="594722D0"/>
    <w:rsid w:val="65975EE4"/>
    <w:rsid w:val="663171D9"/>
    <w:rsid w:val="683E632A"/>
    <w:rsid w:val="6A29793A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1689</Words>
  <Characters>2134</Characters>
  <Lines>2</Lines>
  <Paragraphs>1</Paragraphs>
  <TotalTime>45</TotalTime>
  <ScaleCrop>false</ScaleCrop>
  <LinksUpToDate>false</LinksUpToDate>
  <CharactersWithSpaces>2267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2024-08-27T02:40:00Z</cp:lastPrinted>
  <dcterms:modified xsi:type="dcterms:W3CDTF">2024-08-30T06:39:41Z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</Properties>
</file>